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2" w:afterAutospacing="0"/>
        <w:jc w:val="center"/>
      </w:pPr>
      <w:r>
        <w:rPr>
          <w:rFonts w:ascii="宋体" w:hAnsi="宋体" w:eastAsia="宋体" w:cs="宋体"/>
          <w:color w:val="000000"/>
          <w:sz w:val="48"/>
          <w:szCs w:val="48"/>
        </w:rPr>
        <w:t xml:space="preserve">2024年龙山县工伤保险服务中心部门预算公开 </w:t>
      </w:r>
    </w:p>
    <w:p>
      <w:pPr>
        <w:spacing w:before="0" w:beforeAutospacing="0" w:after="2" w:afterAutospacing="0"/>
        <w:jc w:val="center"/>
      </w:pPr>
    </w:p>
    <w:p>
      <w:pPr>
        <w:spacing w:before="0" w:beforeAutospacing="0" w:after="2" w:afterAutospacing="0"/>
        <w:jc w:val="center"/>
      </w:pPr>
      <w:r>
        <w:rPr>
          <w:rFonts w:ascii="宋体" w:hAnsi="宋体" w:eastAsia="宋体" w:cs="宋体"/>
          <w:color w:val="000000"/>
          <w:sz w:val="36"/>
          <w:szCs w:val="36"/>
        </w:rPr>
        <w:t>目</w:t>
      </w:r>
      <w:r>
        <w:rPr>
          <w:color w:val="000000"/>
          <w:sz w:val="36"/>
          <w:szCs w:val="36"/>
        </w:rPr>
        <w:t> </w:t>
      </w:r>
      <w:r>
        <w:rPr>
          <w:rFonts w:ascii="宋体" w:hAnsi="宋体" w:eastAsia="宋体" w:cs="宋体"/>
          <w:color w:val="000000"/>
          <w:sz w:val="36"/>
          <w:szCs w:val="36"/>
        </w:rPr>
        <w:t>录</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第一部分</w:t>
      </w:r>
      <w:r>
        <w:rPr>
          <w:b/>
          <w:bCs/>
          <w:color w:val="000000"/>
          <w:sz w:val="32"/>
          <w:szCs w:val="32"/>
        </w:rPr>
        <w:t> </w:t>
      </w:r>
      <w:r>
        <w:rPr>
          <w:rFonts w:ascii="宋体" w:hAnsi="宋体" w:eastAsia="宋体" w:cs="宋体"/>
          <w:b/>
          <w:bCs/>
          <w:color w:val="000000"/>
          <w:sz w:val="32"/>
          <w:szCs w:val="32"/>
        </w:rPr>
        <w:t>2024年部门预算说明</w:t>
      </w:r>
      <w:r>
        <w:rPr>
          <w:color w:val="000000"/>
        </w:rPr>
        <w:t xml:space="preserve"> </w:t>
      </w:r>
    </w:p>
    <w:p>
      <w:pPr>
        <w:spacing w:before="0" w:beforeAutospacing="0" w:after="2" w:afterAutospacing="0"/>
        <w:ind w:left="0" w:firstLine="640"/>
      </w:pPr>
      <w:r>
        <w:rPr>
          <w:rStyle w:val="12"/>
          <w:rFonts w:ascii="宋体" w:hAnsi="宋体" w:eastAsia="宋体" w:cs="宋体"/>
          <w:color w:val="000000"/>
          <w:sz w:val="32"/>
          <w:szCs w:val="32"/>
        </w:rPr>
        <w:t>一、部门基本概况</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（一）职能职责</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（二）机构设置</w:t>
      </w:r>
      <w:r>
        <w:rPr>
          <w:color w:val="000000"/>
        </w:rPr>
        <w:t xml:space="preserve"> </w:t>
      </w:r>
    </w:p>
    <w:p>
      <w:pPr>
        <w:spacing w:before="0" w:beforeAutospacing="0" w:after="2" w:afterAutospacing="0"/>
        <w:ind w:left="0" w:firstLine="640"/>
      </w:pPr>
      <w:r>
        <w:rPr>
          <w:rStyle w:val="12"/>
          <w:rFonts w:ascii="宋体" w:hAnsi="宋体" w:eastAsia="宋体" w:cs="宋体"/>
          <w:color w:val="000000"/>
          <w:sz w:val="32"/>
          <w:szCs w:val="32"/>
        </w:rPr>
        <w:t>二、部门预算单位构成</w:t>
      </w:r>
      <w:r>
        <w:rPr>
          <w:color w:val="000000"/>
        </w:rPr>
        <w:t xml:space="preserve"> </w:t>
      </w:r>
    </w:p>
    <w:p>
      <w:pPr>
        <w:spacing w:before="0" w:beforeAutospacing="0" w:after="2" w:afterAutospacing="0"/>
        <w:ind w:left="0" w:firstLine="640"/>
      </w:pPr>
      <w:r>
        <w:rPr>
          <w:rStyle w:val="12"/>
          <w:rFonts w:ascii="宋体" w:hAnsi="宋体" w:eastAsia="宋体" w:cs="宋体"/>
          <w:color w:val="000000"/>
          <w:sz w:val="32"/>
          <w:szCs w:val="32"/>
        </w:rPr>
        <w:t>三、部门收支总体情况</w:t>
      </w:r>
      <w:r>
        <w:rPr>
          <w:color w:val="000000"/>
        </w:rPr>
        <w:t xml:space="preserve"> </w:t>
      </w:r>
    </w:p>
    <w:p>
      <w:pPr>
        <w:spacing w:before="0" w:beforeAutospacing="0" w:after="2" w:afterAutospacing="0"/>
        <w:ind w:left="0" w:firstLine="640"/>
      </w:pPr>
      <w:r>
        <w:rPr>
          <w:rStyle w:val="12"/>
          <w:rFonts w:ascii="宋体" w:hAnsi="宋体" w:eastAsia="宋体" w:cs="宋体"/>
          <w:color w:val="000000"/>
          <w:sz w:val="32"/>
          <w:szCs w:val="32"/>
        </w:rPr>
        <w:t>四、一般公共预算拨款支出</w:t>
      </w:r>
      <w:r>
        <w:rPr>
          <w:color w:val="000000"/>
        </w:rPr>
        <w:t xml:space="preserve"> </w:t>
      </w:r>
    </w:p>
    <w:p>
      <w:pPr>
        <w:spacing w:before="0" w:beforeAutospacing="0" w:after="2" w:afterAutospacing="0"/>
        <w:ind w:left="0" w:firstLine="640"/>
      </w:pPr>
      <w:r>
        <w:rPr>
          <w:rStyle w:val="12"/>
          <w:rFonts w:ascii="宋体" w:hAnsi="宋体" w:eastAsia="宋体" w:cs="宋体"/>
          <w:color w:val="000000"/>
          <w:sz w:val="32"/>
          <w:szCs w:val="32"/>
        </w:rPr>
        <w:t>五、政府性基金预算支出</w:t>
      </w:r>
      <w:r>
        <w:rPr>
          <w:color w:val="000000"/>
        </w:rPr>
        <w:t xml:space="preserve"> </w:t>
      </w:r>
    </w:p>
    <w:p>
      <w:pPr>
        <w:spacing w:before="0" w:beforeAutospacing="0" w:after="2" w:afterAutospacing="0"/>
        <w:ind w:left="0" w:firstLine="640"/>
      </w:pPr>
      <w:r>
        <w:rPr>
          <w:rStyle w:val="12"/>
          <w:rFonts w:ascii="宋体" w:hAnsi="宋体" w:eastAsia="宋体" w:cs="宋体"/>
          <w:color w:val="000000"/>
          <w:sz w:val="32"/>
          <w:szCs w:val="32"/>
        </w:rPr>
        <w:t>六、其他重要事项的情况说明</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（一）机关运行经费</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（二）“三公”经费预算</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（三）一般性支出情况</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（四）政府采购情况</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（五）国有资产占用使用及新增资产配置情况</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（六）预算绩效目标说明</w:t>
      </w:r>
      <w:r>
        <w:rPr>
          <w:color w:val="000000"/>
        </w:rPr>
        <w:t xml:space="preserve"> </w:t>
      </w:r>
    </w:p>
    <w:p>
      <w:pPr>
        <w:spacing w:before="0" w:beforeAutospacing="0" w:after="2" w:afterAutospacing="0"/>
        <w:ind w:left="0" w:firstLine="640"/>
      </w:pPr>
      <w:r>
        <w:rPr>
          <w:rStyle w:val="12"/>
          <w:rFonts w:ascii="宋体" w:hAnsi="宋体" w:eastAsia="宋体" w:cs="宋体"/>
          <w:color w:val="000000"/>
          <w:sz w:val="32"/>
          <w:szCs w:val="32"/>
        </w:rPr>
        <w:t>七、单位离退休预算情况说明</w:t>
      </w:r>
    </w:p>
    <w:p>
      <w:pPr>
        <w:spacing w:before="0" w:beforeAutospacing="0" w:after="2" w:afterAutospacing="0"/>
        <w:ind w:left="0" w:firstLine="640"/>
      </w:pPr>
      <w:r>
        <w:rPr>
          <w:rStyle w:val="12"/>
          <w:rFonts w:ascii="宋体" w:hAnsi="宋体" w:eastAsia="宋体" w:cs="宋体"/>
          <w:color w:val="000000"/>
          <w:sz w:val="32"/>
          <w:szCs w:val="32"/>
        </w:rPr>
        <w:t>八、国有资本经营预算支出</w:t>
      </w:r>
      <w:r>
        <w:rPr>
          <w:color w:val="000000"/>
        </w:rPr>
        <w:t xml:space="preserve"> </w:t>
      </w:r>
    </w:p>
    <w:p>
      <w:pPr>
        <w:spacing w:before="0" w:beforeAutospacing="0" w:after="2" w:afterAutospacing="0"/>
        <w:ind w:left="0" w:firstLine="640"/>
      </w:pPr>
      <w:r>
        <w:rPr>
          <w:rStyle w:val="12"/>
          <w:rFonts w:ascii="宋体" w:hAnsi="宋体" w:eastAsia="宋体" w:cs="宋体"/>
          <w:color w:val="000000"/>
          <w:sz w:val="32"/>
          <w:szCs w:val="32"/>
        </w:rPr>
        <w:t>九、名词解释</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第二部分</w:t>
      </w:r>
      <w:r>
        <w:rPr>
          <w:b/>
          <w:bCs/>
          <w:color w:val="000000"/>
          <w:sz w:val="32"/>
          <w:szCs w:val="32"/>
        </w:rPr>
        <w:t> </w:t>
      </w:r>
      <w:r>
        <w:rPr>
          <w:rFonts w:ascii="宋体" w:hAnsi="宋体" w:eastAsia="宋体" w:cs="宋体"/>
          <w:b/>
          <w:bCs/>
          <w:color w:val="000000"/>
          <w:sz w:val="32"/>
          <w:szCs w:val="32"/>
        </w:rPr>
        <w:t>2024年部门预算公开表格</w:t>
      </w:r>
      <w:r>
        <w:rPr>
          <w:color w:val="000000"/>
        </w:rPr>
        <w:t xml:space="preserve"> </w:t>
      </w:r>
    </w:p>
    <w:p>
      <w:pPr>
        <w:pStyle w:val="9"/>
        <w:keepNext w:val="0"/>
        <w:keepLines w:val="0"/>
        <w:widowControl/>
        <w:suppressLineNumbers w:val="0"/>
        <w:shd w:val="clear" w:fill="FFFFFF"/>
        <w:spacing w:before="0" w:beforeAutospacing="0" w:after="2" w:afterAutospacing="0"/>
        <w:ind w:left="0" w:firstLine="640"/>
      </w:pPr>
      <w:r>
        <w:rPr>
          <w:rFonts w:ascii="宋体" w:hAnsi="宋体" w:eastAsia="宋体" w:cs="宋体"/>
          <w:color w:val="000000"/>
          <w:sz w:val="32"/>
          <w:szCs w:val="32"/>
          <w:shd w:val="clear" w:fill="FFFFFF"/>
        </w:rPr>
        <w:t>一、收支总表</w:t>
      </w:r>
      <w:r>
        <w:rPr>
          <w:color w:val="000000"/>
          <w:shd w:val="clear" w:fill="FFFFFF"/>
        </w:rPr>
        <w:t xml:space="preserve"> </w:t>
      </w:r>
    </w:p>
    <w:p>
      <w:pPr>
        <w:pStyle w:val="9"/>
        <w:keepNext w:val="0"/>
        <w:keepLines w:val="0"/>
        <w:widowControl/>
        <w:suppressLineNumbers w:val="0"/>
        <w:shd w:val="clear" w:fill="FFFFFF"/>
        <w:spacing w:before="0" w:beforeAutospacing="0" w:after="2" w:afterAutospacing="0"/>
        <w:ind w:left="0" w:firstLine="640"/>
      </w:pPr>
      <w:r>
        <w:rPr>
          <w:rFonts w:ascii="宋体" w:hAnsi="宋体" w:eastAsia="宋体" w:cs="宋体"/>
          <w:color w:val="000000"/>
          <w:sz w:val="32"/>
          <w:szCs w:val="32"/>
          <w:shd w:val="clear" w:fill="FFFFFF"/>
        </w:rPr>
        <w:t>二、收入总表</w:t>
      </w:r>
      <w:r>
        <w:rPr>
          <w:color w:val="000000"/>
          <w:shd w:val="clear" w:fill="FFFFFF"/>
        </w:rPr>
        <w:t xml:space="preserve"> </w:t>
      </w:r>
    </w:p>
    <w:p>
      <w:pPr>
        <w:pStyle w:val="9"/>
        <w:keepNext w:val="0"/>
        <w:keepLines w:val="0"/>
        <w:widowControl/>
        <w:suppressLineNumbers w:val="0"/>
        <w:shd w:val="clear" w:fill="FFFFFF"/>
        <w:spacing w:before="0" w:beforeAutospacing="0" w:after="2" w:afterAutospacing="0"/>
        <w:ind w:left="0" w:firstLine="640"/>
      </w:pPr>
      <w:r>
        <w:rPr>
          <w:rFonts w:ascii="宋体" w:hAnsi="宋体" w:eastAsia="宋体" w:cs="宋体"/>
          <w:color w:val="000000"/>
          <w:sz w:val="32"/>
          <w:szCs w:val="32"/>
          <w:shd w:val="clear" w:fill="FFFFFF"/>
        </w:rPr>
        <w:t>三、支出总表</w:t>
      </w:r>
      <w:r>
        <w:rPr>
          <w:color w:val="000000"/>
          <w:shd w:val="clear" w:fill="FFFFFF"/>
        </w:rPr>
        <w:t xml:space="preserve"> </w:t>
      </w:r>
    </w:p>
    <w:p>
      <w:pPr>
        <w:pStyle w:val="9"/>
        <w:keepNext w:val="0"/>
        <w:keepLines w:val="0"/>
        <w:widowControl/>
        <w:suppressLineNumbers w:val="0"/>
        <w:shd w:val="clear" w:fill="FFFFFF"/>
        <w:spacing w:before="0" w:beforeAutospacing="0" w:after="2" w:afterAutospacing="0"/>
        <w:ind w:left="0" w:firstLine="640"/>
      </w:pPr>
      <w:r>
        <w:rPr>
          <w:rFonts w:ascii="宋体" w:hAnsi="宋体" w:eastAsia="宋体" w:cs="宋体"/>
          <w:color w:val="000000"/>
          <w:sz w:val="32"/>
          <w:szCs w:val="32"/>
          <w:shd w:val="clear" w:fill="FFFFFF"/>
        </w:rPr>
        <w:t>四、支出预算分类汇总表（按政府预算经济分类）</w:t>
      </w:r>
      <w:r>
        <w:rPr>
          <w:color w:val="000000"/>
          <w:shd w:val="clear" w:fill="FFFFFF"/>
        </w:rPr>
        <w:t xml:space="preserve"> </w:t>
      </w:r>
    </w:p>
    <w:p>
      <w:pPr>
        <w:pStyle w:val="9"/>
        <w:keepNext w:val="0"/>
        <w:keepLines w:val="0"/>
        <w:widowControl/>
        <w:suppressLineNumbers w:val="0"/>
        <w:shd w:val="clear" w:fill="FFFFFF"/>
        <w:spacing w:before="0" w:beforeAutospacing="0" w:after="2" w:afterAutospacing="0"/>
        <w:ind w:left="0" w:firstLine="640"/>
      </w:pPr>
      <w:r>
        <w:rPr>
          <w:rFonts w:ascii="宋体" w:hAnsi="宋体" w:eastAsia="宋体" w:cs="宋体"/>
          <w:color w:val="000000"/>
          <w:sz w:val="32"/>
          <w:szCs w:val="32"/>
          <w:shd w:val="clear" w:fill="FFFFFF"/>
        </w:rPr>
        <w:t>五、支出预算分类汇总表（按部门预算经济分类）</w:t>
      </w:r>
      <w:r>
        <w:rPr>
          <w:color w:val="000000"/>
          <w:shd w:val="clear" w:fill="FFFFFF"/>
        </w:rPr>
        <w:t xml:space="preserve"> </w:t>
      </w:r>
    </w:p>
    <w:p>
      <w:pPr>
        <w:spacing w:before="0" w:beforeAutospacing="0" w:after="2" w:afterAutospacing="0"/>
        <w:ind w:left="0" w:firstLine="640"/>
      </w:pPr>
      <w:r>
        <w:rPr>
          <w:rFonts w:ascii="宋体" w:hAnsi="宋体" w:eastAsia="宋体" w:cs="宋体"/>
          <w:color w:val="000000"/>
          <w:sz w:val="32"/>
          <w:szCs w:val="32"/>
        </w:rPr>
        <w:t>六、财政拨款收支总表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七、一般公共预算支出表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八、一般公共预算基本支出表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九、一般公共预算基本支出表——人员经费（工资福利支出）（按政府预算经济分类）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十、一般公共预算基本支出表——人员经费（工资福利支出）（按部门预算经济分类）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十一、一般公共预算基本支出表——人员经费（对个人和家庭的补助）（按政府预算经济分类）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十二、一般公共预算基本支出表——人员经费（对个人和家庭的补助）（按部门预算经济分类）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十三、一般公共预算基本支出表——公用经费（商品和服务支出）（按政府预算经济分类）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十四、一般公共预算基本支出表——公用经费（商品和服务支出）（按部门预算经济分类）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十五、一般公共预算“三公”经费支出表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十六、政府性基金预算支出表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十七、政府性基金预算支出分类汇总表（按政府预算经济分类）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十八、政府性基金预算支出分类汇总表（按部门预算经济分类）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十九、国有资本经营预算表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二十、财政专户管理资金预算支出表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二十一、专项资金预算汇总表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二十二、其他项目支出绩效目标表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二十三、部门整体支出绩效目标表</w:t>
      </w:r>
      <w:r>
        <w:rPr>
          <w:color w:val="000000"/>
        </w:rPr>
        <w:t xml:space="preserve"> </w:t>
      </w:r>
    </w:p>
    <w:p>
      <w:pPr>
        <w:spacing w:before="0" w:beforeAutospacing="0" w:after="2" w:afterAutospacing="0"/>
        <w:ind w:left="0" w:firstLine="640"/>
      </w:pPr>
    </w:p>
    <w:p>
      <w:pPr>
        <w:spacing w:before="0" w:beforeAutospacing="0" w:after="2" w:afterAutospacing="0"/>
        <w:ind w:left="0" w:firstLine="640"/>
      </w:pPr>
      <w:r>
        <w:rPr>
          <w:rFonts w:ascii="宋体" w:hAnsi="宋体" w:eastAsia="宋体" w:cs="宋体"/>
          <w:color w:val="000000"/>
          <w:sz w:val="32"/>
          <w:szCs w:val="32"/>
        </w:rPr>
        <w:t>注：以上部门预算报表中，空表表示本部门无相关收支情况。</w:t>
      </w:r>
      <w:r>
        <w:rPr>
          <w:color w:val="000000"/>
        </w:rPr>
        <w:t xml:space="preserve"> </w:t>
      </w:r>
    </w:p>
    <w:p>
      <w:pPr>
        <w:pStyle w:val="9"/>
        <w:keepNext w:val="0"/>
        <w:keepLines w:val="0"/>
        <w:widowControl/>
        <w:suppressLineNumbers w:val="0"/>
        <w:spacing w:before="0" w:beforeAutospacing="0" w:after="2" w:afterAutospacing="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jc w:val="center"/>
      </w:pPr>
      <w:r>
        <w:rPr>
          <w:rFonts w:ascii="宋体" w:hAnsi="宋体" w:eastAsia="宋体" w:cs="宋体"/>
          <w:color w:val="000000"/>
          <w:sz w:val="36"/>
          <w:szCs w:val="36"/>
        </w:rPr>
        <w:t>第一部分</w:t>
      </w:r>
      <w:r>
        <w:rPr>
          <w:color w:val="000000"/>
          <w:sz w:val="36"/>
          <w:szCs w:val="36"/>
        </w:rPr>
        <w:t xml:space="preserve"> </w:t>
      </w:r>
      <w:r>
        <w:rPr>
          <w:rFonts w:ascii="宋体" w:hAnsi="宋体" w:eastAsia="宋体" w:cs="宋体"/>
          <w:color w:val="000000"/>
          <w:sz w:val="36"/>
          <w:szCs w:val="36"/>
        </w:rPr>
        <w:t>2024年部门预算说明</w:t>
      </w:r>
      <w:r>
        <w:rPr>
          <w:color w:val="000000"/>
        </w:rPr>
        <w:t xml:space="preserve"> </w:t>
      </w:r>
    </w:p>
    <w:p>
      <w:pPr>
        <w:spacing w:before="0" w:beforeAutospacing="0" w:after="2" w:afterAutospacing="0"/>
        <w:jc w:val="center"/>
      </w:pPr>
    </w:p>
    <w:p>
      <w:pPr>
        <w:spacing w:before="0" w:beforeAutospacing="0" w:after="2" w:afterAutospacing="0"/>
        <w:ind w:left="0" w:firstLine="627"/>
      </w:pPr>
      <w:r>
        <w:rPr>
          <w:rStyle w:val="12"/>
          <w:rFonts w:ascii="宋体" w:hAnsi="宋体" w:eastAsia="宋体" w:cs="宋体"/>
          <w:color w:val="000000"/>
          <w:sz w:val="32"/>
          <w:szCs w:val="32"/>
        </w:rPr>
        <w:t>一、部门基本概况</w:t>
      </w:r>
      <w:r>
        <w:rPr>
          <w:color w:val="000000"/>
        </w:rPr>
        <w:t xml:space="preserve"> </w:t>
      </w:r>
    </w:p>
    <w:p>
      <w:pPr>
        <w:spacing w:before="0" w:beforeAutospacing="0" w:after="2" w:afterAutospacing="0"/>
        <w:ind w:left="0" w:firstLine="627"/>
      </w:pPr>
      <w:r>
        <w:rPr>
          <w:rFonts w:ascii="宋体" w:hAnsi="宋体" w:eastAsia="宋体" w:cs="宋体"/>
          <w:b/>
          <w:bCs/>
          <w:color w:val="000000"/>
          <w:sz w:val="32"/>
          <w:szCs w:val="32"/>
        </w:rPr>
        <w:t>（一）职能职责</w:t>
      </w:r>
      <w:r>
        <w:rPr>
          <w:color w:val="000000"/>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1、工伤参保登记。</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2、工伤认定调查。</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3、劳动能力鉴定。</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4、工伤待遇支付。</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5、基金监督管理。</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6、基金监督管理。</w:t>
      </w:r>
      <w:r>
        <w:rPr>
          <w:color w:val="000000"/>
          <w:sz w:val="27"/>
          <w:szCs w:val="27"/>
        </w:rPr>
        <w:t xml:space="preserve"> </w:t>
      </w:r>
    </w:p>
    <w:p>
      <w:pPr>
        <w:spacing w:before="0" w:beforeAutospacing="0" w:after="2" w:afterAutospacing="0"/>
        <w:ind w:left="0" w:firstLine="627"/>
      </w:pPr>
      <w:r>
        <w:rPr>
          <w:rFonts w:ascii="宋体" w:hAnsi="宋体" w:eastAsia="宋体" w:cs="宋体"/>
          <w:b/>
          <w:bCs/>
          <w:color w:val="000000"/>
          <w:sz w:val="32"/>
          <w:szCs w:val="32"/>
        </w:rPr>
        <w:t>（二）机构设置</w:t>
      </w:r>
      <w:r>
        <w:rPr>
          <w:color w:val="000000"/>
        </w:rPr>
        <w:t xml:space="preserve"> </w:t>
      </w:r>
    </w:p>
    <w:p>
      <w:pPr>
        <w:spacing w:before="0" w:beforeAutospacing="0" w:after="2" w:afterAutospacing="0"/>
        <w:ind w:left="0" w:firstLine="627"/>
      </w:pPr>
      <w:r>
        <w:rPr>
          <w:rFonts w:hint="eastAsia" w:ascii="宋体" w:hAnsi="宋体" w:eastAsia="宋体" w:cs="宋体"/>
          <w:color w:val="000000"/>
          <w:sz w:val="32"/>
          <w:szCs w:val="32"/>
        </w:rPr>
        <w:t>龙山县工伤保险服务中心内设股室3个包括：</w:t>
      </w:r>
      <w:r>
        <w:rPr>
          <w:rFonts w:ascii="宋体" w:hAnsi="宋体" w:eastAsia="宋体" w:cs="宋体"/>
          <w:color w:val="000000"/>
          <w:sz w:val="32"/>
          <w:szCs w:val="32"/>
        </w:rPr>
        <w:t>业务股，财务股，办公室。本部门共有编制人数8人，实有人数8人。</w:t>
      </w:r>
      <w:r>
        <w:rPr>
          <w:color w:val="000000"/>
        </w:rPr>
        <w:t xml:space="preserve"> </w:t>
      </w:r>
    </w:p>
    <w:p>
      <w:pPr>
        <w:spacing w:before="0" w:beforeAutospacing="0" w:after="2" w:afterAutospacing="0"/>
        <w:ind w:left="0" w:firstLine="627"/>
      </w:pPr>
      <w:r>
        <w:rPr>
          <w:rStyle w:val="12"/>
          <w:rFonts w:ascii="宋体" w:hAnsi="宋体" w:eastAsia="宋体" w:cs="宋体"/>
          <w:color w:val="000000"/>
          <w:sz w:val="32"/>
          <w:szCs w:val="32"/>
        </w:rPr>
        <w:t>二、部门预算单位构成</w:t>
      </w:r>
      <w:r>
        <w:rPr>
          <w:color w:val="000000"/>
        </w:rPr>
        <w:t xml:space="preserve"> </w:t>
      </w:r>
    </w:p>
    <w:p>
      <w:pPr>
        <w:spacing w:before="0" w:beforeAutospacing="0" w:after="2" w:afterAutospacing="0"/>
        <w:ind w:left="0" w:firstLine="627"/>
      </w:pPr>
      <w:r>
        <w:rPr>
          <w:rFonts w:ascii="宋体" w:hAnsi="宋体" w:eastAsia="宋体" w:cs="宋体"/>
          <w:color w:val="000000"/>
          <w:sz w:val="32"/>
          <w:szCs w:val="32"/>
        </w:rPr>
        <w:t>龙山县工伤保险服务中心部门只有本级，没有其他预算单位，因此本部门预算仅含本级预算。</w:t>
      </w:r>
      <w:r>
        <w:rPr>
          <w:color w:val="000000"/>
        </w:rPr>
        <w:t xml:space="preserve"> </w:t>
      </w:r>
    </w:p>
    <w:p>
      <w:pPr>
        <w:spacing w:before="0" w:beforeAutospacing="0" w:after="2" w:afterAutospacing="0"/>
        <w:ind w:left="0" w:firstLine="627"/>
      </w:pPr>
      <w:r>
        <w:rPr>
          <w:rStyle w:val="12"/>
          <w:rFonts w:ascii="宋体" w:hAnsi="宋体" w:eastAsia="宋体" w:cs="宋体"/>
          <w:color w:val="000000"/>
          <w:sz w:val="32"/>
          <w:szCs w:val="32"/>
        </w:rPr>
        <w:t>三、部门收支总体情况</w:t>
      </w:r>
      <w:r>
        <w:rPr>
          <w:color w:val="000000"/>
        </w:rPr>
        <w:t xml:space="preserve"> </w:t>
      </w:r>
    </w:p>
    <w:p>
      <w:pPr>
        <w:spacing w:before="0" w:beforeAutospacing="0" w:after="2" w:afterAutospacing="0"/>
        <w:ind w:left="0" w:firstLine="627"/>
      </w:pPr>
      <w:r>
        <w:rPr>
          <w:rFonts w:ascii="宋体" w:hAnsi="宋体" w:eastAsia="宋体" w:cs="宋体"/>
          <w:b/>
          <w:bCs/>
          <w:color w:val="000000"/>
          <w:sz w:val="32"/>
          <w:szCs w:val="32"/>
        </w:rPr>
        <w:t>（一）收入预算：</w:t>
      </w:r>
      <w:r>
        <w:rPr>
          <w:rFonts w:ascii="宋体" w:hAnsi="宋体" w:eastAsia="宋体" w:cs="宋体"/>
          <w:i w:val="0"/>
          <w:iCs w:val="0"/>
          <w:caps w:val="0"/>
          <w:color w:val="000000"/>
          <w:spacing w:val="0"/>
          <w:sz w:val="32"/>
          <w:szCs w:val="32"/>
        </w:rPr>
        <w:t>包括一般预算拨款、政府性基金收入、上级补助收入，以及经营收入、事业收入等单位资金。2024年本部门收入预算108.92万元，其中：一般公共预算拨款收入108.92万元。收入较去年增加0.01万元，增长0%，主要是养老保险基数增加。。</w:t>
      </w:r>
      <w:r>
        <w:rPr>
          <w:color w:val="000000"/>
        </w:rPr>
        <w:t xml:space="preserve"> </w:t>
      </w:r>
    </w:p>
    <w:p>
      <w:pPr>
        <w:spacing w:before="0" w:beforeAutospacing="0" w:after="2" w:afterAutospacing="0"/>
        <w:ind w:left="0" w:firstLine="627"/>
      </w:pPr>
      <w:r>
        <w:rPr>
          <w:rFonts w:ascii="宋体" w:hAnsi="宋体" w:eastAsia="宋体" w:cs="宋体"/>
          <w:b/>
          <w:bCs/>
          <w:color w:val="000000"/>
          <w:sz w:val="32"/>
          <w:szCs w:val="32"/>
        </w:rPr>
        <w:t>（二）支出预算：</w:t>
      </w:r>
      <w:r>
        <w:rPr>
          <w:rFonts w:ascii="宋体" w:hAnsi="宋体" w:eastAsia="宋体" w:cs="宋体"/>
          <w:i w:val="0"/>
          <w:iCs w:val="0"/>
          <w:caps w:val="0"/>
          <w:color w:val="000000"/>
          <w:spacing w:val="0"/>
          <w:sz w:val="32"/>
          <w:szCs w:val="32"/>
        </w:rPr>
        <w:t>2024年本部门支出预算108.92万元，其中，一般公共服务支出10万元，社会保障和就业支出87.83万元，卫生健康支出3.08万元，住房保障支出8.01万元。支出较去年增加0.01万元，增长0%，主要是养老保险基数增加。。</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四、一般公共预算拨款支出</w:t>
      </w:r>
      <w:r>
        <w:rPr>
          <w:color w:val="000000"/>
        </w:rPr>
        <w:t xml:space="preserve"> </w:t>
      </w:r>
    </w:p>
    <w:p>
      <w:pPr>
        <w:spacing w:before="0" w:beforeAutospacing="0" w:after="2" w:afterAutospacing="0"/>
        <w:ind w:left="0" w:firstLine="660"/>
      </w:pPr>
      <w:r>
        <w:rPr>
          <w:rFonts w:ascii="宋体" w:hAnsi="宋体" w:eastAsia="宋体" w:cs="宋体"/>
          <w:i w:val="0"/>
          <w:iCs w:val="0"/>
          <w:caps w:val="0"/>
          <w:color w:val="000000"/>
          <w:spacing w:val="0"/>
          <w:sz w:val="32"/>
          <w:szCs w:val="32"/>
        </w:rPr>
        <w:t>2024年本部门一般公共预算拨款支出预算108.92万元，</w:t>
      </w:r>
      <w:r>
        <w:rPr>
          <w:rFonts w:ascii="宋体" w:hAnsi="宋体" w:eastAsia="宋体" w:cs="宋体"/>
          <w:i w:val="0"/>
          <w:iCs w:val="0"/>
          <w:caps w:val="0"/>
          <w:color w:val="000000"/>
          <w:spacing w:val="0"/>
          <w:sz w:val="32"/>
          <w:szCs w:val="32"/>
          <w:shd w:val="clear" w:fill="FFFFFF"/>
        </w:rPr>
        <w:t>其中，一般公共服务支出10万元，占9.18%；社会保障和就业支出87.83万元，占80.64%；卫生健康支出3.08万元，占2.82%；住房保障支出8.01万元，占7.35%。具体安排情况如下：</w:t>
      </w:r>
      <w:r>
        <w:rPr>
          <w:rFonts w:ascii="仿宋_GB2312" w:hAnsi="宋体" w:eastAsia="仿宋_GB2312" w:cs="仿宋_GB2312"/>
          <w:color w:val="000000"/>
          <w:sz w:val="32"/>
          <w:szCs w:val="32"/>
        </w:rPr>
        <w:t xml:space="preserve"> </w:t>
      </w:r>
    </w:p>
    <w:p>
      <w:pPr>
        <w:spacing w:before="0" w:beforeAutospacing="0" w:after="2" w:afterAutospacing="0"/>
        <w:ind w:left="0" w:right="0" w:firstLine="660"/>
        <w:rPr>
          <w:rFonts w:hint="default" w:ascii="仿宋_GB2312" w:eastAsia="仿宋_GB2312" w:cs="仿宋_GB2312"/>
          <w:i w:val="0"/>
          <w:iCs w:val="0"/>
          <w:caps w:val="0"/>
          <w:color w:val="000000"/>
          <w:spacing w:val="0"/>
          <w:sz w:val="21"/>
          <w:szCs w:val="21"/>
        </w:rPr>
      </w:pPr>
      <w:r>
        <w:rPr>
          <w:rStyle w:val="12"/>
          <w:rFonts w:ascii="宋体" w:hAnsi="宋体" w:eastAsia="宋体" w:cs="宋体"/>
          <w:b/>
          <w:bCs/>
          <w:i w:val="0"/>
          <w:iCs w:val="0"/>
          <w:caps w:val="0"/>
          <w:color w:val="000000"/>
          <w:spacing w:val="0"/>
          <w:sz w:val="32"/>
          <w:szCs w:val="32"/>
        </w:rPr>
        <w:t>（一）基本支出：</w:t>
      </w:r>
      <w:r>
        <w:rPr>
          <w:rFonts w:ascii="宋体" w:hAnsi="宋体" w:eastAsia="宋体" w:cs="宋体"/>
          <w:i w:val="0"/>
          <w:iCs w:val="0"/>
          <w:caps w:val="0"/>
          <w:color w:val="000000"/>
          <w:spacing w:val="0"/>
          <w:sz w:val="32"/>
          <w:szCs w:val="32"/>
        </w:rPr>
        <w:t>2024年本部门基本支出预算数98.92万元，主要是为保障部门正常运转、完成日常工作任务而发生的各项支出，包括用于工资福利支出等人员经费以及办公费、印刷费、水电费、办公设备购置等公用经费。支出较去年持平。增长0.01%，主要是养老保险基数增加。。</w:t>
      </w:r>
      <w:r>
        <w:rPr>
          <w:rFonts w:hint="default" w:ascii="仿宋_GB2312" w:eastAsia="仿宋_GB2312" w:cs="仿宋_GB2312"/>
          <w:i w:val="0"/>
          <w:iCs w:val="0"/>
          <w:caps w:val="0"/>
          <w:color w:val="000000"/>
          <w:spacing w:val="0"/>
          <w:sz w:val="21"/>
          <w:szCs w:val="21"/>
        </w:rPr>
        <w:t xml:space="preserve"> </w:t>
      </w:r>
    </w:p>
    <w:p>
      <w:pPr>
        <w:spacing w:before="0" w:beforeAutospacing="0" w:after="2" w:afterAutospacing="0"/>
        <w:ind w:left="0" w:right="0" w:firstLine="660"/>
        <w:rPr>
          <w:rFonts w:hint="default" w:ascii="仿宋_GB2312" w:eastAsia="仿宋_GB2312" w:cs="仿宋_GB2312"/>
          <w:i w:val="0"/>
          <w:iCs w:val="0"/>
          <w:caps w:val="0"/>
          <w:color w:val="000000"/>
          <w:spacing w:val="0"/>
          <w:sz w:val="21"/>
          <w:szCs w:val="21"/>
        </w:rPr>
      </w:pPr>
      <w:r>
        <w:rPr>
          <w:rStyle w:val="12"/>
          <w:rFonts w:ascii="宋体" w:hAnsi="宋体" w:eastAsia="宋体" w:cs="宋体"/>
          <w:b/>
          <w:bCs/>
          <w:i w:val="0"/>
          <w:iCs w:val="0"/>
          <w:caps w:val="0"/>
          <w:color w:val="000000"/>
          <w:spacing w:val="0"/>
          <w:sz w:val="32"/>
          <w:szCs w:val="32"/>
        </w:rPr>
        <w:t>（二）项目支出：</w:t>
      </w:r>
      <w:r>
        <w:rPr>
          <w:rFonts w:ascii="宋体" w:hAnsi="宋体" w:eastAsia="宋体" w:cs="宋体"/>
          <w:i w:val="0"/>
          <w:iCs w:val="0"/>
          <w:caps w:val="0"/>
          <w:color w:val="000000"/>
          <w:spacing w:val="0"/>
          <w:sz w:val="32"/>
          <w:szCs w:val="32"/>
        </w:rPr>
        <w:t>2024年本部门项目支出预算10万元，主要是部门为完成特定行政工作任务或事业发展目标而发生的支出，包括有关事业发展专项、专项业务费、基本建设支出等，其中：社会保险经办机构10万元，主要用于工伤调查等方面。支出较去年持平。</w:t>
      </w:r>
      <w:r>
        <w:rPr>
          <w:rFonts w:hint="default" w:ascii="仿宋_GB2312" w:eastAsia="仿宋_GB2312" w:cs="仿宋_GB2312"/>
          <w:i w:val="0"/>
          <w:iCs w:val="0"/>
          <w:caps w:val="0"/>
          <w:color w:val="000000"/>
          <w:spacing w:val="0"/>
          <w:sz w:val="21"/>
          <w:szCs w:val="21"/>
        </w:rPr>
        <w:t xml:space="preserve"> </w:t>
      </w:r>
    </w:p>
    <w:p>
      <w:pPr>
        <w:spacing w:before="0" w:beforeAutospacing="0" w:after="2" w:afterAutospacing="0"/>
        <w:ind w:left="0" w:firstLine="660"/>
      </w:pPr>
      <w:r>
        <w:rPr>
          <w:rStyle w:val="12"/>
          <w:rFonts w:ascii="宋体" w:hAnsi="宋体" w:eastAsia="宋体" w:cs="宋体"/>
          <w:color w:val="000000"/>
          <w:sz w:val="32"/>
          <w:szCs w:val="32"/>
        </w:rPr>
        <w:t>五、政府性基金预算支出</w:t>
      </w:r>
      <w:r>
        <w:rPr>
          <w:color w:val="000000"/>
        </w:rPr>
        <w:t xml:space="preserve"> </w:t>
      </w:r>
    </w:p>
    <w:p>
      <w:pPr>
        <w:spacing w:before="0" w:beforeAutospacing="0" w:after="2" w:afterAutospacing="0"/>
        <w:ind w:left="0" w:firstLine="660"/>
      </w:pPr>
      <w:r>
        <w:rPr>
          <w:rFonts w:ascii="宋体" w:hAnsi="宋体" w:eastAsia="宋体" w:cs="宋体"/>
          <w:i w:val="0"/>
          <w:iCs w:val="0"/>
          <w:caps w:val="0"/>
          <w:color w:val="000000"/>
          <w:spacing w:val="0"/>
          <w:sz w:val="32"/>
          <w:szCs w:val="32"/>
        </w:rPr>
        <w:t>2024年本部门无政府性基金安排的支出。</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六、其他重要事项的情况说明</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（一）机关运行经费</w:t>
      </w:r>
      <w:r>
        <w:rPr>
          <w:color w:val="000000"/>
        </w:rPr>
        <w:t xml:space="preserve"> </w:t>
      </w:r>
    </w:p>
    <w:p>
      <w:pPr>
        <w:spacing w:before="0" w:beforeAutospacing="0" w:after="2" w:afterAutospacing="0"/>
        <w:ind w:left="0" w:firstLine="660"/>
      </w:pPr>
      <w:r>
        <w:rPr>
          <w:rFonts w:ascii="宋体" w:hAnsi="宋体" w:eastAsia="宋体" w:cs="宋体"/>
          <w:i w:val="0"/>
          <w:iCs w:val="0"/>
          <w:caps w:val="0"/>
          <w:color w:val="000000"/>
          <w:spacing w:val="0"/>
          <w:sz w:val="32"/>
          <w:szCs w:val="32"/>
        </w:rPr>
        <w:t>2024年本部门机关运行经费8.8万元，比上年预算减少1.2万元，比上年预算下降12%，</w:t>
      </w:r>
      <w:r>
        <w:rPr>
          <w:rFonts w:ascii="宋体" w:hAnsi="宋体" w:eastAsia="宋体" w:cs="宋体"/>
          <w:color w:val="000000"/>
          <w:sz w:val="32"/>
          <w:szCs w:val="32"/>
        </w:rPr>
        <w:t>主要是减少的1.2万元用于办公设备购置。。</w:t>
      </w:r>
    </w:p>
    <w:p>
      <w:pPr>
        <w:spacing w:before="0" w:beforeAutospacing="0" w:after="2" w:afterAutospacing="0"/>
        <w:ind w:left="0" w:firstLine="660"/>
      </w:pPr>
      <w:r>
        <w:rPr>
          <w:rFonts w:ascii="宋体" w:hAnsi="宋体" w:eastAsia="宋体" w:cs="宋体"/>
          <w:b/>
          <w:bCs/>
          <w:color w:val="000000"/>
          <w:sz w:val="32"/>
          <w:szCs w:val="32"/>
        </w:rPr>
        <w:t>（二）“三公”经费预算</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2024年本部门“三公”经费预算数为0万元，其中，公务接待费0万元，公务用车购置及运行费0万元（其中，公务用车购置费0万元，公务用车运行费0万元），因公出国（境）费0万元</w:t>
      </w:r>
      <w:r>
        <w:rPr>
          <w:rFonts w:hint="default" w:ascii="仿宋_GB2312" w:hAnsi="宋体" w:eastAsia="仿宋_GB2312" w:cs="仿宋_GB2312"/>
          <w:color w:val="000000"/>
          <w:sz w:val="32"/>
          <w:szCs w:val="32"/>
        </w:rPr>
        <w:t>。</w:t>
      </w:r>
      <w:r>
        <w:rPr>
          <w:rFonts w:ascii="宋体" w:hAnsi="宋体" w:eastAsia="宋体" w:cs="宋体"/>
          <w:color w:val="000000"/>
          <w:sz w:val="32"/>
          <w:szCs w:val="32"/>
        </w:rPr>
        <w:t xml:space="preserve">2024年“三公”经费预算较2023年减少1万元，主要是节约开支。。 </w:t>
      </w:r>
    </w:p>
    <w:p>
      <w:pPr>
        <w:spacing w:before="0" w:beforeAutospacing="0" w:after="2" w:afterAutospacing="0"/>
        <w:ind w:left="0" w:firstLine="660"/>
      </w:pPr>
      <w:r>
        <w:rPr>
          <w:rFonts w:ascii="宋体" w:hAnsi="宋体" w:eastAsia="宋体" w:cs="宋体"/>
          <w:b/>
          <w:bCs/>
          <w:color w:val="000000"/>
          <w:sz w:val="32"/>
          <w:szCs w:val="32"/>
        </w:rPr>
        <w:t>（三）一般性支出情况</w:t>
      </w:r>
      <w:r>
        <w:rPr>
          <w:color w:val="000000"/>
        </w:rPr>
        <w:t xml:space="preserve"> </w:t>
      </w:r>
    </w:p>
    <w:p>
      <w:pPr>
        <w:spacing w:before="0" w:beforeAutospacing="0" w:after="2" w:afterAutospacing="0"/>
        <w:ind w:left="0" w:firstLine="660"/>
      </w:pPr>
      <w:r>
        <w:rPr>
          <w:rFonts w:ascii="宋体" w:hAnsi="宋体" w:eastAsia="宋体" w:cs="宋体"/>
          <w:i w:val="0"/>
          <w:iCs w:val="0"/>
          <w:caps w:val="0"/>
          <w:color w:val="000000"/>
          <w:spacing w:val="0"/>
          <w:sz w:val="32"/>
          <w:szCs w:val="32"/>
        </w:rPr>
        <w:t>2024年本部门会议费预算0万元，未安排会议费支出；培训费预算0.96万元，拟开展事业单位教育培训，人数30人，培训内容为事业单位教育培训；未拟举办节庆、晚会、论坛、赛事活动等。</w:t>
      </w:r>
      <w:r>
        <w:rPr>
          <w:color w:val="000000"/>
        </w:rPr>
        <w:t xml:space="preserve"> </w:t>
      </w:r>
    </w:p>
    <w:p>
      <w:pPr>
        <w:spacing w:before="0" w:beforeAutospacing="0" w:after="2" w:afterAutospacing="0"/>
        <w:ind w:left="0" w:right="0" w:firstLine="660"/>
        <w:jc w:val="both"/>
        <w:rPr>
          <w:sz w:val="21"/>
          <w:szCs w:val="21"/>
        </w:rPr>
      </w:pPr>
      <w:r>
        <w:rPr>
          <w:rFonts w:ascii="宋体" w:hAnsi="宋体" w:eastAsia="宋体" w:cs="宋体"/>
          <w:b/>
          <w:bCs/>
          <w:color w:val="000000"/>
          <w:sz w:val="32"/>
          <w:szCs w:val="32"/>
        </w:rPr>
        <w:t>（四）政府采购情况</w:t>
      </w:r>
      <w:r>
        <w:rPr>
          <w:color w:val="000000"/>
          <w:sz w:val="21"/>
          <w:szCs w:val="21"/>
        </w:rPr>
        <w:t xml:space="preserve"> </w:t>
      </w:r>
    </w:p>
    <w:p>
      <w:pPr>
        <w:spacing w:before="0" w:beforeAutospacing="0" w:after="2" w:afterAutospacing="0"/>
        <w:ind w:left="0" w:right="0" w:firstLine="660"/>
        <w:jc w:val="both"/>
        <w:rPr>
          <w:rFonts w:hint="default" w:ascii="仿宋_GB2312" w:eastAsia="仿宋_GB2312" w:cs="仿宋_GB2312"/>
          <w:sz w:val="21"/>
          <w:szCs w:val="21"/>
        </w:rPr>
      </w:pPr>
      <w:r>
        <w:rPr>
          <w:rFonts w:ascii="宋体" w:hAnsi="宋体" w:eastAsia="宋体" w:cs="宋体"/>
          <w:color w:val="000000"/>
          <w:sz w:val="32"/>
          <w:szCs w:val="32"/>
        </w:rPr>
        <w:t>2024年本部门政府采购预算总额0万元，其中，货物类采购预算0万元；工程类采购预算0万元；服务类采购预算0万元。</w:t>
      </w:r>
      <w:r>
        <w:rPr>
          <w:rFonts w:hint="default" w:ascii="仿宋_GB2312" w:eastAsia="仿宋_GB2312" w:cs="仿宋_GB2312"/>
          <w:color w:val="000000"/>
          <w:sz w:val="21"/>
          <w:szCs w:val="21"/>
        </w:rPr>
        <w:t xml:space="preserve"> </w:t>
      </w:r>
    </w:p>
    <w:p>
      <w:pPr>
        <w:spacing w:before="0" w:beforeAutospacing="0" w:after="2" w:afterAutospacing="0"/>
        <w:ind w:left="0" w:right="0" w:firstLine="660"/>
        <w:rPr>
          <w:sz w:val="21"/>
          <w:szCs w:val="21"/>
        </w:rPr>
      </w:pPr>
      <w:r>
        <w:rPr>
          <w:rFonts w:ascii="宋体" w:hAnsi="宋体" w:eastAsia="宋体" w:cs="宋体"/>
          <w:b/>
          <w:bCs/>
          <w:color w:val="000000"/>
          <w:sz w:val="32"/>
          <w:szCs w:val="32"/>
        </w:rPr>
        <w:t>（五）国有资产占用使用及新增资产配置情况</w:t>
      </w:r>
      <w:r>
        <w:rPr>
          <w:color w:val="000000"/>
          <w:sz w:val="21"/>
          <w:szCs w:val="21"/>
        </w:rPr>
        <w:t xml:space="preserve"> </w:t>
      </w:r>
    </w:p>
    <w:p>
      <w:pPr>
        <w:spacing w:before="0" w:beforeAutospacing="0" w:after="2" w:afterAutospacing="0"/>
        <w:ind w:left="0" w:right="0" w:firstLine="660"/>
        <w:rPr>
          <w:rFonts w:hint="default" w:ascii="仿宋_GB2312" w:eastAsia="仿宋_GB2312" w:cs="仿宋_GB2312"/>
          <w:sz w:val="21"/>
          <w:szCs w:val="21"/>
        </w:rPr>
      </w:pPr>
      <w:r>
        <w:rPr>
          <w:rFonts w:ascii="宋体" w:hAnsi="宋体" w:eastAsia="宋体" w:cs="宋体"/>
          <w:color w:val="000000"/>
          <w:sz w:val="32"/>
          <w:szCs w:val="32"/>
        </w:rPr>
        <w:t>截至2023年12月底，本部门共有公务用车0辆，其中，机要通信用车0辆，应急保障用车0辆，执法执勤用车0辆，特种专业技术用车0辆，其他按照规定配备的公务用车0辆；单位价值50万元以上通用设备0台，单位价值100万元以上专用设备0台。2024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r>
        <w:rPr>
          <w:rFonts w:hint="default" w:ascii="仿宋_GB2312" w:eastAsia="仿宋_GB2312" w:cs="仿宋_GB2312"/>
          <w:color w:val="000000"/>
          <w:sz w:val="32"/>
          <w:szCs w:val="32"/>
        </w:rPr>
        <w:t xml:space="preserve"> </w:t>
      </w:r>
    </w:p>
    <w:p>
      <w:pPr>
        <w:spacing w:before="0" w:beforeAutospacing="0" w:after="2" w:afterAutospacing="0"/>
        <w:ind w:left="0" w:right="0" w:firstLine="643"/>
      </w:pPr>
      <w:r>
        <w:rPr>
          <w:rFonts w:ascii="宋体" w:hAnsi="宋体" w:eastAsia="宋体" w:cs="宋体"/>
          <w:b/>
          <w:bCs/>
          <w:color w:val="000000"/>
          <w:sz w:val="32"/>
          <w:szCs w:val="32"/>
        </w:rPr>
        <w:t>（六）预算绩效目标说明</w:t>
      </w:r>
      <w:r>
        <w:rPr>
          <w:color w:val="000000"/>
        </w:rPr>
        <w:t xml:space="preserve"> </w:t>
      </w:r>
    </w:p>
    <w:p>
      <w:pPr>
        <w:spacing w:before="0" w:beforeAutospacing="0" w:after="2" w:afterAutospacing="0"/>
        <w:ind w:left="0" w:right="0" w:firstLine="643"/>
      </w:pPr>
      <w:r>
        <w:rPr>
          <w:rFonts w:ascii="宋体" w:hAnsi="宋体" w:eastAsia="宋体" w:cs="宋体"/>
          <w:color w:val="000000"/>
          <w:sz w:val="32"/>
          <w:szCs w:val="32"/>
        </w:rPr>
        <w:t xml:space="preserve">本部门所有支出实行绩效目标管理。纳入2024年部门整体支出绩效目标的金额为108.92万元，其中，基本支出98.92万元，项目支出10万元，具体绩效目标详见报表。 </w:t>
      </w:r>
    </w:p>
    <w:p>
      <w:pPr>
        <w:spacing w:before="0" w:beforeAutospacing="0" w:after="2" w:afterAutospacing="0"/>
        <w:ind w:left="0" w:right="0" w:firstLine="643"/>
      </w:pPr>
      <w:r>
        <w:rPr>
          <w:rStyle w:val="12"/>
          <w:rFonts w:ascii="宋体" w:hAnsi="宋体" w:eastAsia="宋体" w:cs="宋体"/>
          <w:color w:val="000000"/>
          <w:sz w:val="32"/>
          <w:szCs w:val="32"/>
        </w:rPr>
        <w:t>七、单位离退休预算情况说明</w:t>
      </w:r>
      <w:r>
        <w:rPr>
          <w:color w:val="000000"/>
        </w:rPr>
        <w:t xml:space="preserve"> </w:t>
      </w:r>
    </w:p>
    <w:p>
      <w:pPr>
        <w:spacing w:before="0" w:beforeAutospacing="0" w:after="2" w:afterAutospacing="0"/>
        <w:ind w:left="0" w:right="0" w:firstLine="660"/>
      </w:pPr>
      <w:r>
        <w:rPr>
          <w:rFonts w:ascii="宋体" w:hAnsi="宋体" w:eastAsia="宋体" w:cs="宋体"/>
          <w:color w:val="000000"/>
          <w:sz w:val="32"/>
          <w:szCs w:val="32"/>
        </w:rPr>
        <w:t>2024年本部门离退休人员共1人，收入0万元，含退休人员医疗保险缴费及福利费和离退休人员福利费及相关待遇。支出0万元，主要是因为全县离退休人员工资由社保中心统一编制预算。。</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八、国有资本经营预算支出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2024年本部门无国有资本经营安排的支出。</w:t>
      </w:r>
      <w:r>
        <w:rPr>
          <w:color w:val="000000"/>
        </w:rPr>
        <w:t xml:space="preserve"> </w:t>
      </w:r>
    </w:p>
    <w:p>
      <w:pPr>
        <w:spacing w:before="0" w:beforeAutospacing="0" w:after="2" w:afterAutospacing="0"/>
        <w:ind w:left="0" w:right="0" w:firstLine="660"/>
      </w:pPr>
      <w:r>
        <w:rPr>
          <w:rStyle w:val="12"/>
          <w:rFonts w:ascii="宋体" w:hAnsi="宋体" w:eastAsia="宋体" w:cs="宋体"/>
          <w:color w:val="000000"/>
          <w:sz w:val="32"/>
          <w:szCs w:val="32"/>
        </w:rPr>
        <w:t>九、名词解释</w:t>
      </w:r>
      <w:r>
        <w:rPr>
          <w:color w:val="000000"/>
        </w:rPr>
        <w:t xml:space="preserve"> </w:t>
      </w:r>
    </w:p>
    <w:p>
      <w:pPr>
        <w:spacing w:before="0" w:beforeAutospacing="0" w:after="2" w:afterAutospacing="0"/>
        <w:ind w:left="0" w:right="0" w:firstLine="643"/>
      </w:pPr>
      <w:r>
        <w:rPr>
          <w:rFonts w:ascii="宋体" w:hAnsi="宋体" w:eastAsia="宋体" w:cs="宋体"/>
          <w:color w:val="000000"/>
          <w:sz w:val="32"/>
          <w:szCs w:val="32"/>
        </w:rPr>
        <w:t>1、基本支出：是指为保障机构正常运转、完成日常工作任务而发生的各项支出，包括用于基本工资、津贴补贴等人员经费以及办公费、印刷费、水电费、办公设备购置等日常公用经费。</w:t>
      </w:r>
      <w:r>
        <w:rPr>
          <w:color w:val="000000"/>
        </w:rPr>
        <w:t xml:space="preserve"> </w:t>
      </w:r>
    </w:p>
    <w:p>
      <w:pPr>
        <w:spacing w:before="0" w:beforeAutospacing="0" w:after="2" w:afterAutospacing="0"/>
        <w:ind w:left="0" w:right="0" w:firstLine="643"/>
      </w:pPr>
      <w:r>
        <w:rPr>
          <w:rFonts w:ascii="宋体" w:hAnsi="宋体" w:eastAsia="宋体" w:cs="宋体"/>
          <w:color w:val="000000"/>
          <w:sz w:val="32"/>
          <w:szCs w:val="32"/>
        </w:rPr>
        <w:t>2、项目支出：是指在基本支出之外为完成特定行政工作任务和事业发展目标而发生的支出。</w:t>
      </w:r>
      <w:r>
        <w:rPr>
          <w:color w:val="000000"/>
        </w:rPr>
        <w:t xml:space="preserve"> </w:t>
      </w:r>
    </w:p>
    <w:p>
      <w:pPr>
        <w:spacing w:before="0" w:beforeAutospacing="0" w:after="2" w:afterAutospacing="0"/>
        <w:ind w:left="0" w:right="0" w:firstLine="643"/>
      </w:pPr>
      <w:r>
        <w:rPr>
          <w:rFonts w:ascii="宋体" w:hAnsi="宋体" w:eastAsia="宋体" w:cs="宋体"/>
          <w:color w:val="000000"/>
          <w:sz w:val="32"/>
          <w:szCs w:val="32"/>
        </w:rPr>
        <w:t>3、机关运行经费：是指为保障行政单位（包括参照公务员法管理的事业单位）运行用于购买货物和服务的各项资金，包括办公及印刷费、邮电费、差旅费、会议费、福利费、日常维修费、专用资料及一般设备购置费、办公用房水电费、办公用房取暖费、办公用房物业管理费、公务用车运行维护费以及其他费用。</w:t>
      </w:r>
      <w:r>
        <w:rPr>
          <w:color w:val="000000"/>
        </w:rPr>
        <w:t xml:space="preserve"> </w:t>
      </w:r>
    </w:p>
    <w:p>
      <w:pPr>
        <w:spacing w:before="0" w:beforeAutospacing="0" w:after="2" w:afterAutospacing="0"/>
        <w:ind w:left="0" w:right="0" w:firstLine="643"/>
      </w:pPr>
      <w:r>
        <w:rPr>
          <w:rFonts w:ascii="宋体" w:hAnsi="宋体" w:eastAsia="宋体" w:cs="宋体"/>
          <w:color w:val="000000"/>
          <w:sz w:val="32"/>
          <w:szCs w:val="32"/>
        </w:rPr>
        <w:t>4、“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color w:val="000000"/>
        </w:rPr>
        <w:t xml:space="preserve"> </w:t>
      </w:r>
    </w:p>
    <w:p>
      <w:pPr>
        <w:keepNext w:val="0"/>
        <w:keepLines w:val="0"/>
        <w:widowControl/>
        <w:suppressLineNumbers w:val="0"/>
        <w:jc w:val="left"/>
      </w:pPr>
    </w:p>
    <w:p>
      <w:pPr>
        <w:pStyle w:val="9"/>
        <w:keepNext w:val="0"/>
        <w:keepLines w:val="0"/>
        <w:widowControl/>
        <w:suppressLineNumbers w:val="0"/>
        <w:spacing w:before="0" w:beforeAutospacing="0" w:after="2" w:afterAutospacing="0"/>
      </w:pPr>
    </w:p>
    <w:p>
      <w:pPr>
        <w:keepNext w:val="0"/>
        <w:keepLines w:val="0"/>
        <w:widowControl/>
        <w:suppressLineNumbers w:val="0"/>
        <w:jc w:val="left"/>
      </w:pPr>
    </w:p>
    <w:p>
      <w:pPr>
        <w:pStyle w:val="9"/>
        <w:keepNext w:val="0"/>
        <w:keepLines w:val="0"/>
        <w:widowControl/>
        <w:suppressLineNumbers w:val="0"/>
        <w:spacing w:before="0" w:beforeAutospacing="0" w:after="2" w:afterAutospacing="0"/>
      </w:pPr>
    </w:p>
    <w:p>
      <w:pPr>
        <w:keepNext w:val="0"/>
        <w:keepLines w:val="0"/>
        <w:widowControl/>
        <w:suppressLineNumbers w:val="0"/>
        <w:jc w:val="left"/>
      </w:pPr>
    </w:p>
    <w:p>
      <w:pPr>
        <w:pStyle w:val="9"/>
        <w:keepNext w:val="0"/>
        <w:keepLines w:val="0"/>
        <w:widowControl/>
        <w:suppressLineNumbers w:val="0"/>
        <w:spacing w:before="0" w:beforeAutospacing="0" w:after="2" w:afterAutospacing="0"/>
      </w:pPr>
    </w:p>
    <w:p>
      <w:pPr>
        <w:spacing w:before="0" w:beforeAutospacing="0" w:after="2" w:afterAutospacing="0"/>
        <w:ind w:left="0" w:right="0" w:firstLine="720"/>
        <w:jc w:val="center"/>
        <w:rPr>
          <w:i w:val="0"/>
          <w:iCs w:val="0"/>
          <w:caps w:val="0"/>
          <w:color w:val="000000"/>
          <w:spacing w:val="0"/>
          <w:sz w:val="24"/>
          <w:szCs w:val="24"/>
        </w:rPr>
      </w:pPr>
      <w:r>
        <w:rPr>
          <w:rFonts w:ascii="宋体" w:hAnsi="宋体" w:eastAsia="宋体" w:cs="宋体"/>
          <w:i w:val="0"/>
          <w:iCs w:val="0"/>
          <w:caps w:val="0"/>
          <w:color w:val="000000"/>
          <w:spacing w:val="0"/>
          <w:sz w:val="36"/>
          <w:szCs w:val="36"/>
        </w:rPr>
        <w:t>第二部分 2024年部门预算公开表格</w:t>
      </w:r>
      <w:r>
        <w:rPr>
          <w:i w:val="0"/>
          <w:iCs w:val="0"/>
          <w:caps w:val="0"/>
          <w:color w:val="000000"/>
          <w:spacing w:val="0"/>
          <w:sz w:val="24"/>
          <w:szCs w:val="24"/>
        </w:rPr>
        <w:t xml:space="preserve"> </w:t>
      </w:r>
    </w:p>
    <w:p>
      <w:pPr>
        <w:spacing w:before="0" w:beforeAutospacing="0" w:after="2" w:afterAutospacing="0"/>
        <w:ind w:left="0" w:right="0" w:firstLine="720"/>
        <w:jc w:val="center"/>
        <w:rPr>
          <w:i w:val="0"/>
          <w:iCs w:val="0"/>
          <w:caps w:val="0"/>
          <w:color w:val="000000"/>
          <w:spacing w:val="0"/>
          <w:sz w:val="24"/>
          <w:szCs w:val="24"/>
        </w:rPr>
      </w:pPr>
      <w:r>
        <w:rPr>
          <w:rFonts w:ascii="宋体" w:hAnsi="宋体" w:eastAsia="宋体" w:cs="宋体"/>
          <w:i w:val="0"/>
          <w:iCs w:val="0"/>
          <w:caps w:val="0"/>
          <w:spacing w:val="0"/>
          <w:sz w:val="32"/>
          <w:szCs w:val="32"/>
        </w:rPr>
        <w:fldChar w:fldCharType="begin"/>
      </w:r>
      <w:r>
        <w:rPr>
          <w:rFonts w:ascii="宋体" w:hAnsi="宋体" w:eastAsia="宋体" w:cs="宋体"/>
          <w:i w:val="0"/>
          <w:iCs w:val="0"/>
          <w:caps w:val="0"/>
          <w:spacing w:val="0"/>
          <w:sz w:val="32"/>
          <w:szCs w:val="32"/>
        </w:rPr>
        <w:instrText xml:space="preserve"> HYPERLINK "http://yjs.jbreport.com/home/downloadAttachment?attachGUID=52542f40fbe64077ae0be83b3f4f4e72" \t "_blank" </w:instrText>
      </w:r>
      <w:r>
        <w:rPr>
          <w:rFonts w:ascii="宋体" w:hAnsi="宋体" w:eastAsia="宋体" w:cs="宋体"/>
          <w:i w:val="0"/>
          <w:iCs w:val="0"/>
          <w:caps w:val="0"/>
          <w:spacing w:val="0"/>
          <w:sz w:val="32"/>
          <w:szCs w:val="32"/>
        </w:rPr>
        <w:fldChar w:fldCharType="separate"/>
      </w:r>
      <w:r>
        <w:rPr>
          <w:rStyle w:val="13"/>
          <w:rFonts w:ascii="宋体" w:hAnsi="宋体" w:eastAsia="宋体" w:cs="宋体"/>
          <w:i w:val="0"/>
          <w:iCs w:val="0"/>
          <w:caps w:val="0"/>
          <w:spacing w:val="0"/>
          <w:sz w:val="32"/>
          <w:szCs w:val="32"/>
        </w:rPr>
        <w:t>307001龙山县工伤保险服务中心2024年部门预算公开表.xlsx</w:t>
      </w:r>
      <w:r>
        <w:rPr>
          <w:rFonts w:ascii="宋体" w:hAnsi="宋体" w:eastAsia="宋体" w:cs="宋体"/>
          <w:i w:val="0"/>
          <w:iCs w:val="0"/>
          <w:caps w:val="0"/>
          <w:spacing w:val="0"/>
          <w:sz w:val="32"/>
          <w:szCs w:val="32"/>
        </w:rPr>
        <w:fldChar w:fldCharType="end"/>
      </w:r>
    </w:p>
    <w:p>
      <w:pPr>
        <w:pStyle w:val="9"/>
        <w:keepNext w:val="0"/>
        <w:keepLines w:val="0"/>
        <w:widowControl/>
        <w:suppressLineNumbers w:val="0"/>
        <w:spacing w:before="0" w:beforeAutospacing="0" w:after="2" w:afterAutospacing="0"/>
      </w:pPr>
    </w:p>
    <w:p>
      <w:pPr>
        <w:keepNext w:val="0"/>
        <w:keepLines w:val="0"/>
        <w:widowControl/>
        <w:suppressLineNumbers w:val="0"/>
        <w:jc w:val="left"/>
      </w:pPr>
    </w:p>
    <w:p>
      <w:pPr>
        <w:pStyle w:val="9"/>
        <w:keepNext w:val="0"/>
        <w:keepLines w:val="0"/>
        <w:widowControl/>
        <w:suppressLineNumbers w:val="0"/>
        <w:spacing w:before="0" w:beforeAutospacing="0" w:after="2" w:afterAutospacing="0"/>
      </w:pPr>
    </w:p>
    <w:p>
      <w:pPr>
        <w:pStyle w:val="9"/>
        <w:keepNext w:val="0"/>
        <w:keepLines w:val="0"/>
        <w:widowControl/>
        <w:suppressLineNumbers w:val="0"/>
        <w:spacing w:before="0" w:beforeAutospacing="0" w:after="2" w:afterAutospacing="0"/>
        <w:ind w:left="0" w:right="0"/>
      </w:pPr>
    </w:p>
    <w:p>
      <w:pPr>
        <w:pStyle w:val="9"/>
        <w:keepNext w:val="0"/>
        <w:keepLines w:val="0"/>
        <w:widowControl/>
        <w:suppressLineNumbers w:val="0"/>
        <w:spacing w:before="0" w:beforeAutospacing="0" w:after="2" w:afterAutospacing="0"/>
      </w:pPr>
    </w:p>
    <w:p>
      <w:pPr>
        <w:keepNext w:val="0"/>
        <w:keepLines w:val="0"/>
        <w:widowControl/>
        <w:suppressLineNumbers w:val="0"/>
        <w:jc w:val="left"/>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variable"/>
    <w:sig w:usb0="E00002FF" w:usb1="420024FF" w:usb2="00000000" w:usb3="00000000" w:csb0="2000019F" w:csb1="00000000"/>
  </w:font>
  <w:font w:name="等线">
    <w:altName w:val="微软雅黑"/>
    <w:panose1 w:val="02010600030101010101"/>
    <w:charset w:val="86"/>
    <w:family w:val="auto"/>
    <w:pitch w:val="variable"/>
    <w:sig w:usb0="A00002BF" w:usb1="38CF7CFA" w:usb2="00000016" w:usb3="00000000" w:csb0="0004000F" w:csb1="00000000"/>
  </w:font>
  <w:font w:name="@等线">
    <w:altName w:val="宋体"/>
    <w:panose1 w:val="02010600030101010101"/>
    <w:charset w:val="86"/>
    <w:family w:val="auto"/>
    <w:pitch w:val="variable"/>
    <w:sig w:usb0="A00002BF" w:usb1="38CF7CFA" w:usb2="00000016" w:usb3="00000000" w:csb0="0004000F" w:csb1="00000000"/>
  </w:font>
  <w:font w:name="楷体">
    <w:panose1 w:val="02010609060101010101"/>
    <w:charset w:val="86"/>
    <w:family w:val="auto"/>
    <w:pitch w:val="fixed"/>
    <w:sig w:usb0="800002BF" w:usb1="38CF7CFA" w:usb2="00000016" w:usb3="00000000" w:csb0="00040001" w:csb1="00000000"/>
  </w:font>
  <w:font w:name="Verdana">
    <w:panose1 w:val="020B0604030504040204"/>
    <w:charset w:val="00"/>
    <w:family w:val="auto"/>
    <w:pitch w:val="variable"/>
    <w:sig w:usb0="A10006FF" w:usb1="4000205B" w:usb2="00000010" w:usb3="00000000" w:csb0="2000019F" w:csb1="00000000"/>
  </w:font>
  <w:font w:name="微软雅黑">
    <w:panose1 w:val="020B0503020204020204"/>
    <w:charset w:val="86"/>
    <w:family w:val="auto"/>
    <w:pitch w:val="variable"/>
    <w:sig w:usb0="80000287" w:usb1="280F3C52" w:usb2="00000016" w:usb3="00000000" w:csb0="0004001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新宋体">
    <w:panose1 w:val="02010609030101010101"/>
    <w:charset w:val="86"/>
    <w:family w:val="auto"/>
    <w:pitch w:val="fixed"/>
    <w:sig w:usb0="00000003" w:usb1="288F0000" w:usb2="00000006" w:usb3="00000000" w:csb0="00040001" w:csb1="00000000"/>
  </w:font>
  <w:font w:name="@楷体">
    <w:panose1 w:val="02010609060101010101"/>
    <w:charset w:val="86"/>
    <w:family w:val="auto"/>
    <w:pitch w:val="fixed"/>
    <w:sig w:usb0="800002BF" w:usb1="38CF7CFA" w:usb2="00000016" w:usb3="00000000" w:csb0="00040001" w:csb1="00000000"/>
  </w:font>
  <w:font w:name="@微软雅黑">
    <w:panose1 w:val="020B0503020204020204"/>
    <w:charset w:val="86"/>
    <w:family w:val="auto"/>
    <w:pitch w:val="variable"/>
    <w:sig w:usb0="80000287" w:usb1="280F3C52" w:usb2="00000016" w:usb3="00000000" w:csb0="0004001F" w:csb1="00000000"/>
  </w:font>
  <w:font w:name="Arial Black">
    <w:panose1 w:val="020B0A04020102020204"/>
    <w:charset w:val="00"/>
    <w:family w:val="auto"/>
    <w:pitch w:val="variable"/>
    <w:sig w:usb0="00000287" w:usb1="00000000" w:usb2="00000000" w:usb3="00000000" w:csb0="2000009F" w:csb1="DFD70000"/>
  </w:font>
  <w:font w:name="新宋体">
    <w:panose1 w:val="02010609030101010101"/>
    <w:charset w:val="86"/>
    <w:family w:val="auto"/>
    <w:pitch w:val="fixed"/>
    <w:sig w:usb0="00000003" w:usb1="288F0000" w:usb2="00000006" w:usb3="00000000" w:csb0="00040001" w:csb1="00000000"/>
  </w:font>
  <w:font w:name="Tahoma">
    <w:panose1 w:val="020B0604030504040204"/>
    <w:charset w:val="00"/>
    <w:family w:val="auto"/>
    <w:pitch w:val="variable"/>
    <w:sig w:usb0="E1002EFF" w:usb1="C000605B" w:usb2="00000029" w:usb3="00000000" w:csb0="200101FF" w:csb1="20280000"/>
  </w:font>
  <w:font w:name="仿宋">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CB0F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12">
    <w:name w:val="Strong"/>
    <w:basedOn w:val="11"/>
    <w:qFormat/>
    <w:uiPriority w:val="0"/>
    <w:rPr>
      <w:b/>
    </w:rPr>
  </w:style>
  <w:style w:type="character" w:styleId="13">
    <w:name w:val="Hyperlink"/>
    <w:basedOn w:val="11"/>
    <w:uiPriority w:val="0"/>
    <w:rPr>
      <w:color w:val="0000FF"/>
      <w:u w:val="single"/>
    </w:rPr>
  </w:style>
  <w:style w:type="paragraph" w:customStyle="1" w:styleId="14">
    <w:name w:val="18"/>
    <w:basedOn w:val="1"/>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2024-03-22T01:37:20Z</dcterms:created>
  <dc:creator>Administrator</dc:creator>
  <cp:lastModifiedBy>飞飞</cp:lastModifiedBy>
  <dcterms:modified xsi:type="dcterms:W3CDTF">2024-03-22T01:38:20Z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A503EBD47BAA4E41A2EFAA2C82DC3E4C_13</vt:lpwstr>
  </property>
</Properties>
</file>