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3DB6D">
      <w:pPr>
        <w:keepNext w:val="0"/>
        <w:keepLines w:val="0"/>
        <w:pageBreakBefore w:val="0"/>
        <w:widowControl/>
        <w:kinsoku/>
        <w:wordWrap/>
        <w:topLinePunct w:val="0"/>
        <w:autoSpaceDE/>
        <w:autoSpaceDN/>
        <w:bidi w:val="0"/>
        <w:adjustRightInd/>
        <w:snapToGrid/>
        <w:spacing w:line="52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val="en-US" w:eastAsia="zh-CN"/>
        </w:rPr>
        <w:t>《龙山县被征地农民养老保险实施办法（修订草案征求意见稿）》的政策解读</w:t>
      </w:r>
    </w:p>
    <w:p w14:paraId="3A104AC5">
      <w:pPr>
        <w:keepNext w:val="0"/>
        <w:keepLines w:val="0"/>
        <w:pageBreakBefore w:val="0"/>
        <w:widowControl/>
        <w:kinsoku/>
        <w:wordWrap/>
        <w:topLinePunct w:val="0"/>
        <w:autoSpaceDE/>
        <w:autoSpaceDN/>
        <w:bidi w:val="0"/>
        <w:adjustRightInd/>
        <w:snapToGrid/>
        <w:spacing w:line="52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bookmarkStart w:id="0" w:name="_GoBack"/>
      <w:bookmarkEnd w:id="0"/>
    </w:p>
    <w:p w14:paraId="5628B540">
      <w:pPr>
        <w:keepNext w:val="0"/>
        <w:keepLines w:val="0"/>
        <w:pageBreakBefore w:val="0"/>
        <w:widowControl/>
        <w:kinsoku/>
        <w:wordWrap/>
        <w:topLinePunct w:val="0"/>
        <w:autoSpaceDE/>
        <w:autoSpaceDN/>
        <w:bidi w:val="0"/>
        <w:adjustRightInd/>
        <w:snapToGrid/>
        <w:spacing w:line="52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《龙山县被征地农民养老保险实施办法（修订草案征求意见稿）》将对我县被征地农民基本养老保险制度予以规范和保护。现将有关问题说明如下：</w:t>
      </w:r>
    </w:p>
    <w:p w14:paraId="52977391">
      <w:pPr>
        <w:keepNext w:val="0"/>
        <w:keepLines w:val="0"/>
        <w:pageBreakBefore w:val="0"/>
        <w:widowControl/>
        <w:numPr>
          <w:ilvl w:val="0"/>
          <w:numId w:val="1"/>
        </w:numPr>
        <w:kinsoku/>
        <w:wordWrap/>
        <w:topLinePunct w:val="0"/>
        <w:autoSpaceDE/>
        <w:autoSpaceDN/>
        <w:bidi w:val="0"/>
        <w:adjustRightInd/>
        <w:snapToGrid/>
        <w:spacing w:line="520" w:lineRule="exact"/>
        <w:ind w:firstLine="643" w:firstLineChars="200"/>
        <w:jc w:val="both"/>
        <w:textAlignment w:val="baseline"/>
        <w:rPr>
          <w:rStyle w:val="10"/>
          <w:rFonts w:hint="eastAsia" w:ascii="仿宋_GB2312" w:hAnsi="仿宋_GB2312" w:eastAsia="仿宋_GB2312" w:cs="仿宋_GB2312"/>
          <w:b/>
          <w:bCs/>
          <w:kern w:val="2"/>
          <w:sz w:val="32"/>
          <w:szCs w:val="32"/>
          <w:lang w:val="en-US" w:eastAsia="zh-CN" w:bidi="ar-SA"/>
        </w:rPr>
      </w:pPr>
      <w:r>
        <w:rPr>
          <w:rStyle w:val="10"/>
          <w:rFonts w:hint="eastAsia" w:ascii="仿宋_GB2312" w:hAnsi="仿宋_GB2312" w:eastAsia="仿宋_GB2312" w:cs="仿宋_GB2312"/>
          <w:b/>
          <w:bCs/>
          <w:kern w:val="2"/>
          <w:sz w:val="32"/>
          <w:szCs w:val="32"/>
          <w:lang w:val="en-US" w:eastAsia="zh-CN" w:bidi="ar-SA"/>
        </w:rPr>
        <w:t>制定的基本情况</w:t>
      </w:r>
    </w:p>
    <w:p w14:paraId="17E66A9E">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Style w:val="10"/>
          <w:rFonts w:hint="eastAsia" w:ascii="仿宋_GB2312" w:hAnsi="仿宋_GB2312" w:eastAsia="仿宋_GB2312" w:cs="仿宋_GB2312"/>
          <w:b w:val="0"/>
          <w:i w:val="0"/>
          <w:caps w:val="0"/>
          <w:color w:val="000000"/>
          <w:spacing w:val="0"/>
          <w:w w:val="100"/>
          <w:kern w:val="2"/>
          <w:sz w:val="32"/>
          <w:szCs w:val="32"/>
          <w:lang w:val="en-US" w:eastAsia="zh-CN" w:bidi="ar-SA"/>
        </w:rPr>
        <w:t>全面推进和不断完善被征地农民的基本养老保险制度，充分发挥基本养老保险对保障人民基本生活，促进经济社会高质量发展。对</w:t>
      </w:r>
      <w:r>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t>保障对象认定标准、补贴资金筹集方式、参保补贴流程标准、政策适用范围等方面进行了调整和完善。</w:t>
      </w:r>
    </w:p>
    <w:p w14:paraId="57ABC9E9">
      <w:pPr>
        <w:numPr>
          <w:ilvl w:val="0"/>
          <w:numId w:val="1"/>
        </w:numPr>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起草过程和制定依据</w:t>
      </w:r>
    </w:p>
    <w:p w14:paraId="0389FD96">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（一）起草过程</w:t>
      </w:r>
    </w:p>
    <w:p w14:paraId="28011FD9">
      <w:pPr>
        <w:numPr>
          <w:ilvl w:val="0"/>
          <w:numId w:val="0"/>
        </w:numPr>
        <w:rPr>
          <w:rStyle w:val="10"/>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Style w:val="10"/>
          <w:rFonts w:hint="eastAsia" w:ascii="仿宋_GB2312" w:hAnsi="仿宋_GB2312" w:eastAsia="仿宋_GB2312" w:cs="仿宋_GB2312"/>
          <w:kern w:val="2"/>
          <w:sz w:val="32"/>
          <w:szCs w:val="32"/>
          <w:lang w:val="en-US" w:eastAsia="zh-CN" w:bidi="ar-SA"/>
        </w:rPr>
        <w:t>《龙山县被征地农民养老保险实施办法（修订草案征求意见稿）》由县人社局起草，严格按照立项、调研、起草、征求意见、协调修改、风险评估、合法审查等程序进行，确保规范行文的合法性与合理性。</w:t>
      </w:r>
    </w:p>
    <w:p w14:paraId="66BF27B4">
      <w:pPr>
        <w:pStyle w:val="2"/>
        <w:numPr>
          <w:ilvl w:val="0"/>
          <w:numId w:val="2"/>
        </w:numPr>
        <w:ind w:left="640" w:leftChars="0" w:firstLine="0" w:firstLineChars="0"/>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制定依据</w:t>
      </w:r>
    </w:p>
    <w:p w14:paraId="7C7E2CB6">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《国务院办公厅转发〈劳动保障部关于做好被征地农民就业培训和社会保障工作指导意见〉的通知》国办发〔2006〕29号；</w:t>
      </w:r>
    </w:p>
    <w:p w14:paraId="42DA3A6F">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《湖南省人民政府办公厅转发省人力资源社会保障厅〈关于做好被征地农民社会保障工作的意见〉的通知》湘政办发〔2014〕31号；</w:t>
      </w:r>
    </w:p>
    <w:p w14:paraId="393465AD">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《湖南省人民政府办公厅关于切实做好被征地农民社会保障工作的通知》湘政办发〔2016〕80号；</w:t>
      </w:r>
    </w:p>
    <w:p w14:paraId="379F6C34">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《湖南省人力资源和社会保障厅关于进一步规范我省被征地农民参加职工养老保险有关问题的通知》湘人社函〔2020〕107号；</w:t>
      </w:r>
    </w:p>
    <w:p w14:paraId="3CFB65F1">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《关于抓紧清理数据、摸清底数和处理遗留经办问题的通知》湘社险函〔2020〕37号；</w:t>
      </w:r>
    </w:p>
    <w:p w14:paraId="33DD8DB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《关于进一步做好被征地农民社会保障工作的通知》（湘人社规﹝2023﹞1号）。</w:t>
      </w:r>
    </w:p>
    <w:p w14:paraId="266102A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三、政策要点</w:t>
      </w:r>
    </w:p>
    <w:p w14:paraId="759436E9">
      <w:pPr>
        <w:snapToGrid/>
        <w:spacing w:before="0" w:beforeAutospacing="0" w:after="0" w:afterAutospacing="0" w:line="560" w:lineRule="exact"/>
        <w:ind w:firstLine="640" w:firstLineChars="200"/>
        <w:jc w:val="both"/>
        <w:textAlignment w:val="baseline"/>
        <w:rPr>
          <w:rStyle w:val="10"/>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cs="仿宋_GB2312"/>
          <w:b w:val="0"/>
          <w:i w:val="0"/>
          <w:caps w:val="0"/>
          <w:color w:val="000000"/>
          <w:spacing w:val="0"/>
          <w:w w:val="100"/>
          <w:kern w:val="2"/>
          <w:sz w:val="32"/>
          <w:szCs w:val="32"/>
          <w:lang w:val="en-US" w:eastAsia="zh-CN" w:bidi="ar-SA"/>
        </w:rPr>
        <w:t>（一）经审核通过的被征地农民，</w:t>
      </w:r>
      <w:r>
        <w:rPr>
          <w:rStyle w:val="10"/>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参加基本养老保险的缴费补贴额=被征地农民社会保障对象认定当年全省职工基本养老保险缴费基准值×60%×20%×12×补贴年限×40%</w:t>
      </w:r>
      <w:r>
        <w:rPr>
          <w:rStyle w:val="10"/>
          <w:rFonts w:hint="eastAsia" w:ascii="仿宋_GB2312" w:hAnsi="仿宋_GB2312" w:eastAsia="仿宋_GB2312" w:cs="仿宋_GB2312"/>
          <w:b w:val="0"/>
          <w:i w:val="0"/>
          <w:caps w:val="0"/>
          <w:color w:val="000000"/>
          <w:spacing w:val="0"/>
          <w:w w:val="100"/>
          <w:kern w:val="2"/>
          <w:sz w:val="32"/>
          <w:szCs w:val="32"/>
          <w:lang w:val="en-US" w:eastAsia="zh-CN" w:bidi="ar-SA"/>
        </w:rPr>
        <w:t>；同一被征地农民无论选择参加城镇职工基本养老保险还是城乡居民基本养老保险，所享受的缴费补贴标准一致；</w:t>
      </w:r>
      <w:r>
        <w:rPr>
          <w:rStyle w:val="10"/>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补贴年限：认定为被征地农民社会保障对象当年，男性年满45周岁、女性年满40周岁的（含满对应年龄当天，下同），补贴12年；男性未满45周岁、女性未满40周岁的，补贴6年。</w:t>
      </w:r>
    </w:p>
    <w:p w14:paraId="288D8FB7">
      <w:pPr>
        <w:snapToGrid w:val="0"/>
        <w:spacing w:before="0" w:beforeAutospacing="0" w:after="0" w:afterAutospacing="0" w:line="560" w:lineRule="exact"/>
        <w:ind w:firstLine="640" w:firstLineChars="200"/>
        <w:jc w:val="left"/>
        <w:textAlignment w:val="baseline"/>
        <w:rPr>
          <w:rStyle w:val="10"/>
          <w:rFonts w:hint="eastAsia" w:ascii="仿宋_GB2312" w:hAnsi="仿宋_GB2312" w:eastAsia="仿宋_GB2312" w:cs="仿宋_GB2312"/>
          <w:b/>
          <w:bCs/>
          <w:i w:val="0"/>
          <w:caps w:val="0"/>
          <w:color w:val="000000"/>
          <w:spacing w:val="0"/>
          <w:w w:val="100"/>
          <w:kern w:val="2"/>
          <w:sz w:val="32"/>
          <w:szCs w:val="32"/>
          <w:lang w:val="en-US" w:eastAsia="zh-CN" w:bidi="ar-SA"/>
        </w:rPr>
      </w:pPr>
      <w:r>
        <w:rPr>
          <w:rStyle w:val="10"/>
          <w:rFonts w:hint="eastAsia" w:ascii="仿宋_GB2312" w:hAnsi="仿宋_GB2312" w:eastAsia="仿宋_GB2312" w:cs="仿宋_GB2312"/>
          <w:b w:val="0"/>
          <w:i w:val="0"/>
          <w:caps w:val="0"/>
          <w:color w:val="000000"/>
          <w:spacing w:val="0"/>
          <w:w w:val="100"/>
          <w:kern w:val="2"/>
          <w:sz w:val="32"/>
          <w:szCs w:val="32"/>
          <w:lang w:val="en-US" w:eastAsia="zh-CN" w:bidi="ar-SA"/>
        </w:rPr>
        <w:t>（二）</w:t>
      </w:r>
      <w:r>
        <w:rPr>
          <w:rStyle w:val="10"/>
          <w:rFonts w:hint="eastAsia" w:ascii="仿宋_GB2312" w:hAnsi="仿宋_GB2312" w:eastAsia="仿宋_GB2312" w:cs="仿宋_GB2312"/>
          <w:b w:val="0"/>
          <w:bCs w:val="0"/>
          <w:i w:val="0"/>
          <w:caps w:val="0"/>
          <w:color w:val="000000"/>
          <w:spacing w:val="0"/>
          <w:w w:val="100"/>
          <w:sz w:val="32"/>
          <w:szCs w:val="32"/>
          <w:highlight w:val="none"/>
          <w:lang w:val="en-US" w:eastAsia="zh-CN"/>
        </w:rPr>
        <w:t>本办法实施前</w:t>
      </w:r>
      <w:r>
        <w:rPr>
          <w:rStyle w:val="10"/>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被县级及以上人民政府依法征收土地的项目及其项目内被征地农民</w:t>
      </w:r>
      <w:r>
        <w:rPr>
          <w:rStyle w:val="10"/>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w:t>
      </w:r>
      <w:r>
        <w:rPr>
          <w:rStyle w:val="10"/>
          <w:rFonts w:hint="eastAsia" w:ascii="仿宋_GB2312" w:hAnsi="仿宋_GB2312" w:eastAsia="仿宋_GB2312" w:cs="仿宋_GB2312"/>
          <w:b w:val="0"/>
          <w:bCs w:val="0"/>
          <w:i w:val="0"/>
          <w:caps w:val="0"/>
          <w:color w:val="000000"/>
          <w:spacing w:val="0"/>
          <w:w w:val="100"/>
          <w:sz w:val="32"/>
          <w:szCs w:val="32"/>
          <w:highlight w:val="none"/>
          <w:lang w:val="en-US" w:eastAsia="zh-CN"/>
        </w:rPr>
        <w:t>尚未纳入被征地农民社会保障的，依照本办法的规定执行。本办法实施前已纳入被征地农民社会保障范畴尚未领取基本养老保险待遇的被征地农民，其缴费补贴标准仍参照原（龙政发﹝2016﹞49号）文件执行</w:t>
      </w:r>
      <w:r>
        <w:rPr>
          <w:rStyle w:val="10"/>
          <w:rFonts w:hint="eastAsia" w:ascii="仿宋_GB2312" w:hAnsi="仿宋_GB2312" w:eastAsia="仿宋_GB2312" w:cs="仿宋_GB2312"/>
          <w:b w:val="0"/>
          <w:bCs w:val="0"/>
          <w:i w:val="0"/>
          <w:caps w:val="0"/>
          <w:color w:val="000000"/>
          <w:spacing w:val="0"/>
          <w:w w:val="100"/>
          <w:kern w:val="2"/>
          <w:sz w:val="32"/>
          <w:szCs w:val="32"/>
          <w:lang w:val="en-US" w:eastAsia="zh-CN" w:bidi="ar-SA"/>
        </w:rPr>
        <w:t>。</w:t>
      </w:r>
    </w:p>
    <w:p w14:paraId="6A47BADC">
      <w:pPr>
        <w:pStyle w:val="2"/>
        <w:numPr>
          <w:ilvl w:val="0"/>
          <w:numId w:val="0"/>
        </w:numPr>
        <w:ind w:leftChars="200" w:firstLine="321" w:firstLineChars="100"/>
        <w:rPr>
          <w:rStyle w:val="10"/>
          <w:rFonts w:hint="eastAsia" w:ascii="仿宋_GB2312" w:hAnsi="仿宋_GB2312" w:eastAsia="仿宋_GB2312" w:cs="仿宋_GB2312"/>
          <w:b/>
          <w:bCs/>
          <w:i w:val="0"/>
          <w:caps w:val="0"/>
          <w:color w:val="000000"/>
          <w:spacing w:val="0"/>
          <w:w w:val="100"/>
          <w:kern w:val="2"/>
          <w:sz w:val="32"/>
          <w:szCs w:val="32"/>
          <w:lang w:val="en-US" w:eastAsia="zh-CN" w:bidi="ar-SA"/>
        </w:rPr>
      </w:pPr>
      <w:r>
        <w:rPr>
          <w:rStyle w:val="10"/>
          <w:rFonts w:hint="eastAsia" w:ascii="仿宋_GB2312" w:hAnsi="仿宋_GB2312" w:eastAsia="仿宋_GB2312" w:cs="仿宋_GB2312"/>
          <w:b/>
          <w:bCs/>
          <w:i w:val="0"/>
          <w:caps w:val="0"/>
          <w:color w:val="000000"/>
          <w:spacing w:val="0"/>
          <w:w w:val="100"/>
          <w:kern w:val="2"/>
          <w:sz w:val="32"/>
          <w:szCs w:val="32"/>
          <w:lang w:val="en-US" w:eastAsia="zh-CN" w:bidi="ar-SA"/>
        </w:rPr>
        <w:t>四、解读部门</w:t>
      </w:r>
    </w:p>
    <w:p w14:paraId="311C3593">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龙山县被征地农民基本养老保险联席办公室 （县人社局213办公室）    </w:t>
      </w:r>
    </w:p>
    <w:p w14:paraId="4B055804">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联系电话：0743-6230398</w:t>
      </w:r>
    </w:p>
    <w:p w14:paraId="05A9159F">
      <w:pPr>
        <w:pStyle w:val="2"/>
        <w:rPr>
          <w:rFonts w:hint="eastAsia" w:ascii="仿宋_GB2312" w:hAnsi="仿宋_GB2312" w:eastAsia="仿宋_GB2312" w:cs="仿宋_GB2312"/>
          <w:sz w:val="32"/>
          <w:szCs w:val="32"/>
          <w:lang w:val="en-US" w:eastAsia="zh-CN"/>
        </w:rPr>
      </w:pPr>
    </w:p>
    <w:p w14:paraId="340B635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龙山县人力资源和社会保障局</w:t>
      </w:r>
    </w:p>
    <w:p w14:paraId="2C67F357">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2024年9月9日</w:t>
      </w:r>
    </w:p>
    <w:sectPr>
      <w:footerReference r:id="rId3" w:type="default"/>
      <w:pgSz w:w="11906" w:h="16838"/>
      <w:pgMar w:top="1304" w:right="1417" w:bottom="1304" w:left="1417"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B32D">
    <w:pPr>
      <w:pStyle w:val="2"/>
      <w:widowControl/>
      <w:snapToGrid w:val="0"/>
      <w:jc w:val="left"/>
      <w:textAlignment w:val="baseline"/>
      <w:rPr>
        <w:rStyle w:val="10"/>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56CC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Vty8gBAACa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9k&#10;mfXpA9SYdhcwMQ3v/YC5sx/QmWkPKtr8RUIE46ju6aKuHBIR+dFquVpVGBIYmy+Iz56ehwjpg/SW&#10;ZKOhEcdXVOXHT5DG1DklV3P+VhtTRmjcXw7EzB6Wex97zFYadsNEaOfbE/LpcfINdbjolJiPDoXN&#10;SzIbcTZ2s3EIUe+7skW5HoR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FlbcvIAQAAmgMAAA4AAAAAAAAAAQAgAAAAHgEAAGRycy9lMm9Eb2Mu&#10;eG1sUEsFBgAAAAAGAAYAWQEAAFgFAAAAAA==&#10;">
              <v:fill on="f" focussize="0,0"/>
              <v:stroke on="f"/>
              <v:imagedata o:title=""/>
              <o:lock v:ext="edit" aspectratio="f"/>
              <v:textbox inset="0mm,0mm,0mm,0mm" style="mso-fit-shape-to-text:t;">
                <w:txbxContent>
                  <w:p w14:paraId="2F156CC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10"/>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FC545">
                          <w:pPr>
                            <w:snapToGrid w:val="0"/>
                            <w:jc w:val="both"/>
                            <w:textAlignment w:val="baseline"/>
                            <w:rPr>
                              <w:rStyle w:val="10"/>
                              <w:kern w:val="2"/>
                              <w:sz w:val="18"/>
                              <w:szCs w:val="24"/>
                              <w:lang w:val="en-US" w:eastAsia="zh-CN" w:bidi="ar-SA"/>
                            </w:rPr>
                          </w:pPr>
                        </w:p>
                        <w:p w14:paraId="03FDEA1A">
                          <w:pPr>
                            <w:jc w:val="both"/>
                            <w:textAlignment w:val="baseline"/>
                            <w:rPr>
                              <w:rStyle w:val="10"/>
                              <w:kern w:val="2"/>
                              <w:sz w:val="21"/>
                              <w:szCs w:val="24"/>
                              <w:lang w:val="en-US" w:eastAsia="zh-CN" w:bidi="ar-SA"/>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CD&#10;2sXLtAEAAHQDAAAOAAAAAAAAAAEAIAAAACEBAABkcnMvZTJvRG9jLnhtbFBLBQYAAAAABgAGAFkB&#10;AABHBQAAAAA=&#10;">
              <v:fill on="f" focussize="0,0"/>
              <v:stroke on="f"/>
              <v:imagedata o:title=""/>
              <o:lock v:ext="edit" aspectratio="f"/>
              <v:textbox inset="0mm,0mm,0mm,0mm">
                <w:txbxContent>
                  <w:p w14:paraId="001FC545">
                    <w:pPr>
                      <w:snapToGrid w:val="0"/>
                      <w:jc w:val="both"/>
                      <w:textAlignment w:val="baseline"/>
                      <w:rPr>
                        <w:rStyle w:val="10"/>
                        <w:kern w:val="2"/>
                        <w:sz w:val="18"/>
                        <w:szCs w:val="24"/>
                        <w:lang w:val="en-US" w:eastAsia="zh-CN" w:bidi="ar-SA"/>
                      </w:rPr>
                    </w:pPr>
                  </w:p>
                  <w:p w14:paraId="03FDEA1A">
                    <w:pPr>
                      <w:jc w:val="both"/>
                      <w:textAlignment w:val="baseline"/>
                      <w:rPr>
                        <w:rStyle w:val="10"/>
                        <w:kern w:val="2"/>
                        <w:sz w:val="21"/>
                        <w:szCs w:val="24"/>
                        <w:lang w:val="en-US" w:eastAsia="zh-CN" w:bidi="ar-S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66EA3"/>
    <w:multiLevelType w:val="singleLevel"/>
    <w:tmpl w:val="40D66EA3"/>
    <w:lvl w:ilvl="0" w:tentative="0">
      <w:start w:val="1"/>
      <w:numFmt w:val="chineseCounting"/>
      <w:suff w:val="nothing"/>
      <w:lvlText w:val="%1、"/>
      <w:lvlJc w:val="left"/>
      <w:rPr>
        <w:rFonts w:hint="eastAsia"/>
      </w:rPr>
    </w:lvl>
  </w:abstractNum>
  <w:abstractNum w:abstractNumId="1">
    <w:nsid w:val="59E688D7"/>
    <w:multiLevelType w:val="singleLevel"/>
    <w:tmpl w:val="59E688D7"/>
    <w:lvl w:ilvl="0" w:tentative="0">
      <w:start w:val="2"/>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4862"/>
    <w:rsid w:val="00190571"/>
    <w:rsid w:val="00202933"/>
    <w:rsid w:val="002809F6"/>
    <w:rsid w:val="0028305A"/>
    <w:rsid w:val="002A0B35"/>
    <w:rsid w:val="002C3A74"/>
    <w:rsid w:val="00312245"/>
    <w:rsid w:val="00342DBF"/>
    <w:rsid w:val="00392C37"/>
    <w:rsid w:val="005054E2"/>
    <w:rsid w:val="00517485"/>
    <w:rsid w:val="005C6047"/>
    <w:rsid w:val="005D3389"/>
    <w:rsid w:val="005E7922"/>
    <w:rsid w:val="006445EE"/>
    <w:rsid w:val="00713380"/>
    <w:rsid w:val="007329E8"/>
    <w:rsid w:val="00800FFB"/>
    <w:rsid w:val="0080179A"/>
    <w:rsid w:val="00894F68"/>
    <w:rsid w:val="009A032D"/>
    <w:rsid w:val="009B3135"/>
    <w:rsid w:val="009B383C"/>
    <w:rsid w:val="00A21C1D"/>
    <w:rsid w:val="00AC357D"/>
    <w:rsid w:val="00BC31D7"/>
    <w:rsid w:val="00C42808"/>
    <w:rsid w:val="00D01AB2"/>
    <w:rsid w:val="00D22C7D"/>
    <w:rsid w:val="00D501A1"/>
    <w:rsid w:val="00D623E5"/>
    <w:rsid w:val="00D76E09"/>
    <w:rsid w:val="00EE6627"/>
    <w:rsid w:val="00FF4AC0"/>
    <w:rsid w:val="02C9158A"/>
    <w:rsid w:val="057604BD"/>
    <w:rsid w:val="066E768D"/>
    <w:rsid w:val="0F8F3A08"/>
    <w:rsid w:val="10362B27"/>
    <w:rsid w:val="10895E12"/>
    <w:rsid w:val="15CC1555"/>
    <w:rsid w:val="19117F29"/>
    <w:rsid w:val="197B0852"/>
    <w:rsid w:val="198310E9"/>
    <w:rsid w:val="1AB339DA"/>
    <w:rsid w:val="1AF30046"/>
    <w:rsid w:val="1B576A82"/>
    <w:rsid w:val="1C192220"/>
    <w:rsid w:val="1D5746F6"/>
    <w:rsid w:val="1F8B5589"/>
    <w:rsid w:val="22863868"/>
    <w:rsid w:val="23906366"/>
    <w:rsid w:val="256B41E3"/>
    <w:rsid w:val="27F25A20"/>
    <w:rsid w:val="2F3377ED"/>
    <w:rsid w:val="2FE44880"/>
    <w:rsid w:val="314B607E"/>
    <w:rsid w:val="336B4FE8"/>
    <w:rsid w:val="362B5762"/>
    <w:rsid w:val="384E54FD"/>
    <w:rsid w:val="39721E30"/>
    <w:rsid w:val="39893702"/>
    <w:rsid w:val="3D3A5775"/>
    <w:rsid w:val="48927A1F"/>
    <w:rsid w:val="4B826DF2"/>
    <w:rsid w:val="4CA01C2E"/>
    <w:rsid w:val="4CC45CFF"/>
    <w:rsid w:val="4DED5601"/>
    <w:rsid w:val="4ECE2832"/>
    <w:rsid w:val="508B3032"/>
    <w:rsid w:val="57B448C4"/>
    <w:rsid w:val="58CB7CE0"/>
    <w:rsid w:val="5BD85B4C"/>
    <w:rsid w:val="5C2B0243"/>
    <w:rsid w:val="61855926"/>
    <w:rsid w:val="629038C3"/>
    <w:rsid w:val="65A93AD5"/>
    <w:rsid w:val="66AF5017"/>
    <w:rsid w:val="6C92177E"/>
    <w:rsid w:val="6F2875DB"/>
    <w:rsid w:val="77360EE1"/>
    <w:rsid w:val="781A4D19"/>
    <w:rsid w:val="79757554"/>
    <w:rsid w:val="79CB7CA5"/>
    <w:rsid w:val="7B3804BA"/>
    <w:rsid w:val="7B7A39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link w:val="17"/>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8"/>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Strong"/>
    <w:link w:val="1"/>
    <w:qFormat/>
    <w:uiPriority w:val="0"/>
    <w:rPr>
      <w:b/>
    </w:rPr>
  </w:style>
  <w:style w:type="character" w:styleId="7">
    <w:name w:val="Emphasis"/>
    <w:link w:val="1"/>
    <w:qFormat/>
    <w:uiPriority w:val="0"/>
    <w:rPr>
      <w:i/>
      <w:iCs/>
    </w:rPr>
  </w:style>
  <w:style w:type="character" w:styleId="8">
    <w:name w:val="Hyperlink"/>
    <w:link w:val="1"/>
    <w:qFormat/>
    <w:uiPriority w:val="0"/>
    <w:rPr>
      <w:color w:val="0000FF"/>
      <w:u w:val="single"/>
    </w:rPr>
  </w:style>
  <w:style w:type="paragraph" w:customStyle="1" w:styleId="9">
    <w:name w:val="Heading3"/>
    <w:basedOn w:val="1"/>
    <w:qFormat/>
    <w:uiPriority w:val="0"/>
    <w:pPr>
      <w:widowControl/>
      <w:spacing w:before="100" w:beforeAutospacing="1" w:after="100" w:afterAutospacing="1"/>
      <w:jc w:val="left"/>
      <w:textAlignment w:val="baseline"/>
    </w:pPr>
    <w:rPr>
      <w:rFonts w:ascii="宋体" w:hAnsi="宋体" w:cs="宋体"/>
      <w:b/>
      <w:bCs/>
      <w:kern w:val="0"/>
      <w:sz w:val="27"/>
      <w:szCs w:val="27"/>
      <w:lang w:val="en-US" w:eastAsia="zh-CN" w:bidi="ar-SA"/>
    </w:rPr>
  </w:style>
  <w:style w:type="character" w:customStyle="1" w:styleId="10">
    <w:name w:val="NormalCharacter"/>
    <w:link w:val="1"/>
    <w:semiHidden/>
    <w:qFormat/>
    <w:uiPriority w:val="0"/>
  </w:style>
  <w:style w:type="table" w:customStyle="1" w:styleId="11">
    <w:name w:val="TableNormal"/>
    <w:semiHidden/>
    <w:qFormat/>
    <w:uiPriority w:val="0"/>
  </w:style>
  <w:style w:type="character" w:customStyle="1" w:styleId="12">
    <w:name w:val="UserStyle_0"/>
    <w:basedOn w:val="10"/>
    <w:link w:val="1"/>
    <w:qFormat/>
    <w:uiPriority w:val="0"/>
  </w:style>
  <w:style w:type="character" w:customStyle="1" w:styleId="13">
    <w:name w:val="UserStyle_1"/>
    <w:basedOn w:val="10"/>
    <w:link w:val="1"/>
    <w:qFormat/>
    <w:uiPriority w:val="0"/>
  </w:style>
  <w:style w:type="character" w:customStyle="1" w:styleId="14">
    <w:name w:val="UserStyle_2"/>
    <w:basedOn w:val="10"/>
    <w:link w:val="1"/>
    <w:qFormat/>
    <w:uiPriority w:val="0"/>
  </w:style>
  <w:style w:type="character" w:customStyle="1" w:styleId="15">
    <w:name w:val="UserStyle_3"/>
    <w:basedOn w:val="10"/>
    <w:link w:val="1"/>
    <w:qFormat/>
    <w:uiPriority w:val="0"/>
  </w:style>
  <w:style w:type="character" w:customStyle="1" w:styleId="16">
    <w:name w:val="UserStyle_4"/>
    <w:basedOn w:val="10"/>
    <w:link w:val="1"/>
    <w:qFormat/>
    <w:uiPriority w:val="0"/>
  </w:style>
  <w:style w:type="character" w:customStyle="1" w:styleId="17">
    <w:name w:val="UserStyle_5"/>
    <w:link w:val="2"/>
    <w:qFormat/>
    <w:uiPriority w:val="0"/>
    <w:rPr>
      <w:kern w:val="2"/>
      <w:sz w:val="18"/>
      <w:szCs w:val="18"/>
    </w:rPr>
  </w:style>
  <w:style w:type="character" w:customStyle="1" w:styleId="18">
    <w:name w:val="UserStyle_6"/>
    <w:link w:val="3"/>
    <w:qFormat/>
    <w:uiPriority w:val="0"/>
    <w:rPr>
      <w:kern w:val="2"/>
      <w:sz w:val="18"/>
      <w:szCs w:val="18"/>
    </w:rPr>
  </w:style>
  <w:style w:type="character" w:customStyle="1" w:styleId="19">
    <w:name w:val="UserStyle_7"/>
    <w:basedOn w:val="10"/>
    <w:link w:val="1"/>
    <w:qFormat/>
    <w:uiPriority w:val="0"/>
  </w:style>
  <w:style w:type="character" w:customStyle="1" w:styleId="20">
    <w:name w:val="UserStyle_8"/>
    <w:basedOn w:val="10"/>
    <w:link w:val="1"/>
    <w:qFormat/>
    <w:uiPriority w:val="0"/>
  </w:style>
  <w:style w:type="character" w:customStyle="1" w:styleId="21">
    <w:name w:val="UserStyle_9"/>
    <w:basedOn w:val="10"/>
    <w:link w:val="1"/>
    <w:qFormat/>
    <w:uiPriority w:val="0"/>
  </w:style>
  <w:style w:type="character" w:customStyle="1" w:styleId="22">
    <w:name w:val="UserStyle_10"/>
    <w:basedOn w:val="10"/>
    <w:link w:val="1"/>
    <w:qFormat/>
    <w:uiPriority w:val="0"/>
  </w:style>
  <w:style w:type="character" w:customStyle="1" w:styleId="23">
    <w:name w:val="UserStyle_11"/>
    <w:basedOn w:val="10"/>
    <w:link w:val="1"/>
    <w:qFormat/>
    <w:uiPriority w:val="0"/>
  </w:style>
  <w:style w:type="character" w:customStyle="1" w:styleId="24">
    <w:name w:val="UserStyle_12"/>
    <w:basedOn w:val="10"/>
    <w:link w:val="1"/>
    <w:qFormat/>
    <w:uiPriority w:val="0"/>
  </w:style>
  <w:style w:type="character" w:customStyle="1" w:styleId="25">
    <w:name w:val="UserStyle_13"/>
    <w:basedOn w:val="10"/>
    <w:link w:val="1"/>
    <w:qFormat/>
    <w:uiPriority w:val="0"/>
  </w:style>
  <w:style w:type="character" w:customStyle="1" w:styleId="26">
    <w:name w:val="UserStyle_14"/>
    <w:basedOn w:val="10"/>
    <w:link w:val="1"/>
    <w:qFormat/>
    <w:uiPriority w:val="0"/>
  </w:style>
  <w:style w:type="paragraph" w:customStyle="1" w:styleId="27">
    <w:name w:val="HtmlNormal"/>
    <w:basedOn w:val="1"/>
    <w:qFormat/>
    <w:uiPriority w:val="0"/>
    <w:pPr>
      <w:spacing w:beforeAutospacing="1" w:afterAutospacing="1"/>
      <w:jc w:val="left"/>
      <w:textAlignment w:val="baseline"/>
    </w:pPr>
    <w:rPr>
      <w:rFonts w:ascii="Calibri" w:hAnsi="Calibri"/>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842</Words>
  <Characters>891</Characters>
  <Lines>0</Lines>
  <Paragraphs>0</Paragraphs>
  <TotalTime>0</TotalTime>
  <ScaleCrop>false</ScaleCrop>
  <LinksUpToDate>false</LinksUpToDate>
  <CharactersWithSpaces>974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2020-10-13T00:33:00Z</dcterms:created>
  <dc:creator>XH</dc:creator>
  <cp:lastModifiedBy>李晶</cp:lastModifiedBy>
  <cp:lastPrinted>2024-12-02T02:48:57Z</cp:lastPrinted>
  <dcterms:modified xsi:type="dcterms:W3CDTF">2024-12-02T02:49:00Z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014B89FE07614A68917D2D537A536828</vt:lpwstr>
  </property>
</Properties>
</file>