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9"/>
        </w:rPr>
      </w:pPr>
    </w:p>
    <w:p>
      <w:pPr>
        <w:pStyle w:val="2"/>
        <w:rPr>
          <w:rFonts w:ascii="Times New Roman"/>
          <w:sz w:val="9"/>
        </w:rPr>
      </w:pPr>
    </w:p>
    <w:p>
      <w:pPr>
        <w:pStyle w:val="2"/>
        <w:rPr>
          <w:rFonts w:ascii="Times New Roman"/>
          <w:sz w:val="9"/>
        </w:rPr>
      </w:pPr>
    </w:p>
    <w:p>
      <w:pPr>
        <w:pStyle w:val="2"/>
        <w:rPr>
          <w:rFonts w:ascii="Times New Roman"/>
          <w:sz w:val="9"/>
        </w:rPr>
      </w:pPr>
    </w:p>
    <w:p>
      <w:pPr>
        <w:pStyle w:val="2"/>
        <w:ind w:firstLine="1120" w:firstLineChars="400"/>
        <w:rPr>
          <w:rFonts w:hint="eastAsia" w:ascii="宋体" w:hAnsi="宋体" w:eastAsia="宋体" w:cs="宋体"/>
          <w:sz w:val="28"/>
          <w:szCs w:val="28"/>
        </w:rPr>
      </w:pPr>
      <w:r>
        <w:rPr>
          <w:rFonts w:hint="eastAsia" w:ascii="宋体" w:hAnsi="宋体" w:eastAsia="宋体" w:cs="宋体"/>
          <w:sz w:val="28"/>
          <w:szCs w:val="28"/>
          <w:lang w:eastAsia="zh-CN"/>
        </w:rPr>
        <w:t>州生态局龙山分局</w:t>
      </w:r>
      <w:r>
        <w:rPr>
          <w:rFonts w:hint="eastAsia" w:ascii="宋体" w:hAnsi="宋体" w:eastAsia="宋体" w:cs="宋体"/>
          <w:sz w:val="28"/>
          <w:szCs w:val="28"/>
        </w:rPr>
        <w:t>政务事项</w:t>
      </w:r>
      <w:r>
        <w:rPr>
          <w:rFonts w:hint="eastAsia" w:ascii="宋体" w:hAnsi="宋体" w:eastAsia="宋体" w:cs="宋体"/>
          <w:sz w:val="28"/>
          <w:szCs w:val="28"/>
          <w:lang w:eastAsia="zh-CN"/>
        </w:rPr>
        <w:t>信息</w:t>
      </w:r>
      <w:r>
        <w:rPr>
          <w:rFonts w:hint="eastAsia" w:ascii="宋体" w:hAnsi="宋体" w:eastAsia="宋体" w:cs="宋体"/>
          <w:sz w:val="28"/>
          <w:szCs w:val="28"/>
        </w:rPr>
        <w:t>公开目录</w:t>
      </w:r>
    </w:p>
    <w:p>
      <w:pPr>
        <w:pStyle w:val="2"/>
        <w:rPr>
          <w:rFonts w:ascii="Times New Roman"/>
          <w:sz w:val="9"/>
        </w:r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3"/>
        <w:gridCol w:w="1006"/>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3"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6"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54" w:right="34"/>
              <w:jc w:val="center"/>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152"/>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1006"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43" w:right="112"/>
              <w:jc w:val="center"/>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130"/>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43" w:right="113"/>
              <w:jc w:val="center"/>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13"/>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90" w:right="59"/>
              <w:jc w:val="center"/>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23"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18"/>
              <w:jc w:val="center"/>
              <w:rPr>
                <w:sz w:val="10"/>
              </w:rPr>
            </w:pPr>
            <w:r>
              <w:rPr>
                <w:w w:val="107"/>
                <w:sz w:val="10"/>
              </w:rPr>
              <w:t>1</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54" w:right="34"/>
              <w:jc w:val="center"/>
              <w:rPr>
                <w:sz w:val="10"/>
              </w:rPr>
            </w:pPr>
            <w:r>
              <w:rPr>
                <w:w w:val="105"/>
                <w:sz w:val="10"/>
              </w:rPr>
              <w:t>行政许可</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44" w:right="21"/>
              <w:jc w:val="center"/>
              <w:rPr>
                <w:sz w:val="10"/>
              </w:rPr>
            </w:pPr>
            <w:r>
              <w:rPr>
                <w:w w:val="105"/>
                <w:sz w:val="10"/>
              </w:rPr>
              <w:t>建设项目环境影响评价文件审批</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right="28"/>
              <w:jc w:val="right"/>
              <w:rPr>
                <w:sz w:val="10"/>
              </w:rPr>
            </w:pPr>
            <w:r>
              <w:rPr>
                <w:w w:val="105"/>
                <w:sz w:val="10"/>
              </w:rPr>
              <w:t>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214" w:right="190"/>
              <w:jc w:val="center"/>
              <w:rPr>
                <w:sz w:val="10"/>
              </w:rPr>
            </w:pPr>
            <w:r>
              <w:rPr>
                <w:w w:val="105"/>
                <w:sz w:val="10"/>
              </w:rPr>
              <w:t>建设项目环境影响评价审批（省市县） 建设项目环境影响报告表审批</w:t>
            </w:r>
          </w:p>
          <w:p>
            <w:pPr>
              <w:pStyle w:val="8"/>
              <w:ind w:left="212" w:right="190"/>
              <w:jc w:val="center"/>
              <w:rPr>
                <w:sz w:val="10"/>
              </w:rPr>
            </w:pPr>
            <w:r>
              <w:rPr>
                <w:w w:val="105"/>
                <w:sz w:val="10"/>
              </w:rPr>
              <w:t>建设项目环境影响登记表备案</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9"/>
              </w:rPr>
            </w:pPr>
          </w:p>
          <w:p>
            <w:pPr>
              <w:pStyle w:val="8"/>
              <w:spacing w:before="1"/>
              <w:ind w:left="20"/>
              <w:rPr>
                <w:sz w:val="10"/>
              </w:rPr>
            </w:pPr>
            <w:r>
              <w:rPr>
                <w:w w:val="105"/>
                <w:sz w:val="10"/>
              </w:rPr>
              <w:t>受理环节：受理情况公示</w:t>
            </w:r>
          </w:p>
          <w:p>
            <w:pPr>
              <w:pStyle w:val="8"/>
              <w:spacing w:before="6" w:line="249" w:lineRule="auto"/>
              <w:ind w:left="20" w:right="18"/>
              <w:jc w:val="both"/>
              <w:rPr>
                <w:sz w:val="10"/>
              </w:rPr>
            </w:pPr>
            <w:r>
              <w:rPr>
                <w:w w:val="105"/>
                <w:sz w:val="10"/>
              </w:rPr>
              <w:t>、报告书（表）全本；拟决定环节：拟审查环评文件基本情况公示；决定环节：环评批复</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9"/>
              <w:rPr>
                <w:rFonts w:ascii="Times New Roman"/>
                <w:sz w:val="13"/>
              </w:rPr>
            </w:pPr>
          </w:p>
          <w:p>
            <w:pPr>
              <w:pStyle w:val="8"/>
              <w:spacing w:before="1" w:line="249" w:lineRule="auto"/>
              <w:ind w:left="19" w:right="53"/>
              <w:rPr>
                <w:sz w:val="10"/>
              </w:rPr>
            </w:pPr>
            <w:r>
              <w:rPr>
                <w:w w:val="105"/>
                <w:sz w:val="10"/>
              </w:rPr>
              <w:t>1、建设项目环境影响报告表受理情况公示</w:t>
            </w:r>
          </w:p>
          <w:p>
            <w:pPr>
              <w:pStyle w:val="8"/>
              <w:ind w:left="19"/>
              <w:rPr>
                <w:sz w:val="10"/>
              </w:rPr>
            </w:pPr>
            <w:r>
              <w:rPr>
                <w:w w:val="105"/>
                <w:sz w:val="10"/>
              </w:rPr>
              <w:t>2、建设项目环境影响报告表审批前公示</w:t>
            </w:r>
          </w:p>
          <w:p>
            <w:pPr>
              <w:pStyle w:val="8"/>
              <w:spacing w:before="5" w:line="252" w:lineRule="auto"/>
              <w:ind w:left="19" w:right="53"/>
              <w:rPr>
                <w:sz w:val="10"/>
              </w:rPr>
            </w:pPr>
            <w:r>
              <w:rPr>
                <w:w w:val="105"/>
                <w:sz w:val="10"/>
              </w:rPr>
              <w:t>3、建设项目环境影响评价文件审批决定公开</w:t>
            </w:r>
          </w:p>
          <w:p>
            <w:pPr>
              <w:pStyle w:val="8"/>
              <w:spacing w:line="127" w:lineRule="exact"/>
              <w:ind w:left="19"/>
              <w:rPr>
                <w:sz w:val="10"/>
              </w:rPr>
            </w:pPr>
            <w:r>
              <w:rPr>
                <w:w w:val="105"/>
                <w:sz w:val="10"/>
              </w:rPr>
              <w:t>4、建设项目环境影响登记表信息公开</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2" w:line="249" w:lineRule="auto"/>
              <w:ind w:left="20" w:right="26"/>
              <w:jc w:val="both"/>
              <w:rPr>
                <w:sz w:val="10"/>
              </w:rPr>
            </w:pPr>
            <w:r>
              <w:rPr>
                <w:w w:val="105"/>
                <w:sz w:val="10"/>
              </w:rPr>
              <w:t>《环境影响评价法》、《海洋环境保护法》、《放射性污染防治法》、《政府信息公开条例》</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21" w:right="79"/>
              <w:jc w:val="both"/>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1" w:line="249" w:lineRule="auto"/>
              <w:ind w:left="23" w:right="-15"/>
              <w:rPr>
                <w:rFonts w:hint="eastAsia" w:eastAsia="宋体"/>
                <w:sz w:val="10"/>
                <w:lang w:eastAsia="zh-CN"/>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4"/>
              <w:rPr>
                <w:sz w:val="10"/>
              </w:rPr>
            </w:pPr>
            <w:r>
              <w:rPr>
                <w:w w:val="105"/>
                <w:sz w:val="10"/>
              </w:rPr>
              <w:t>■政府网站 □政府公报</w:t>
            </w:r>
          </w:p>
          <w:p>
            <w:pPr>
              <w:pStyle w:val="8"/>
              <w:spacing w:before="5"/>
              <w:ind w:left="24"/>
              <w:rPr>
                <w:sz w:val="10"/>
              </w:rPr>
            </w:pPr>
            <w:r>
              <w:rPr>
                <w:rFonts w:hint="eastAsia"/>
                <w:w w:val="105"/>
                <w:sz w:val="10"/>
                <w:lang w:eastAsia="zh-CN"/>
              </w:rPr>
              <w:t>□</w:t>
            </w:r>
            <w:r>
              <w:rPr>
                <w:w w:val="105"/>
                <w:sz w:val="10"/>
              </w:rPr>
              <w:t>两微一端 □发布会/听证会</w:t>
            </w:r>
          </w:p>
          <w:p>
            <w:pPr>
              <w:pStyle w:val="8"/>
              <w:spacing w:before="5"/>
              <w:ind w:left="24"/>
              <w:rPr>
                <w:sz w:val="10"/>
              </w:rPr>
            </w:pPr>
            <w:r>
              <w:rPr>
                <w:rFonts w:hint="eastAsia"/>
                <w:w w:val="105"/>
                <w:sz w:val="10"/>
                <w:lang w:eastAsia="zh-CN"/>
              </w:rPr>
              <w:t>□</w:t>
            </w: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rFonts w:hint="eastAsia"/>
                <w:w w:val="105"/>
                <w:sz w:val="10"/>
                <w:lang w:eastAsia="zh-CN"/>
              </w:rPr>
              <w:t>□</w:t>
            </w:r>
            <w:r>
              <w:rPr>
                <w:w w:val="105"/>
                <w:sz w:val="10"/>
              </w:rPr>
              <w:t xml:space="preserve">便民服务站 </w:t>
            </w:r>
            <w:r>
              <w:rPr>
                <w:rFonts w:hint="eastAsia"/>
                <w:w w:val="105"/>
                <w:sz w:val="10"/>
                <w:lang w:eastAsia="zh-CN"/>
              </w:rPr>
              <w:t>□</w:t>
            </w:r>
            <w:r>
              <w:rPr>
                <w:w w:val="105"/>
                <w:sz w:val="10"/>
              </w:rPr>
              <w:t>入户/现场</w:t>
            </w:r>
          </w:p>
          <w:p>
            <w:pPr>
              <w:pStyle w:val="8"/>
              <w:spacing w:before="7"/>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9"/>
              </w:rPr>
            </w:pPr>
          </w:p>
          <w:p>
            <w:pPr>
              <w:pStyle w:val="8"/>
              <w:spacing w:before="1"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5"/>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7"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23"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18"/>
              <w:jc w:val="center"/>
              <w:rPr>
                <w:sz w:val="10"/>
              </w:rPr>
            </w:pPr>
            <w:r>
              <w:rPr>
                <w:w w:val="107"/>
                <w:sz w:val="10"/>
              </w:rPr>
              <w:t>2</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54" w:right="34"/>
              <w:jc w:val="center"/>
              <w:rPr>
                <w:sz w:val="10"/>
              </w:rPr>
            </w:pPr>
            <w:r>
              <w:rPr>
                <w:w w:val="105"/>
                <w:sz w:val="10"/>
              </w:rPr>
              <w:t>行政许可</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44" w:right="21"/>
              <w:jc w:val="center"/>
              <w:rPr>
                <w:sz w:val="10"/>
              </w:rPr>
            </w:pPr>
            <w:r>
              <w:rPr>
                <w:w w:val="105"/>
                <w:sz w:val="10"/>
              </w:rPr>
              <w:t>防治污染设施拆除或闲置审批</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right="28"/>
              <w:jc w:val="right"/>
              <w:rPr>
                <w:sz w:val="10"/>
              </w:rPr>
            </w:pPr>
            <w:r>
              <w:rPr>
                <w:w w:val="105"/>
                <w:sz w:val="10"/>
              </w:rPr>
              <w:t>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12" w:right="190"/>
              <w:jc w:val="center"/>
              <w:rPr>
                <w:sz w:val="10"/>
              </w:rPr>
            </w:pPr>
            <w:r>
              <w:rPr>
                <w:w w:val="105"/>
                <w:sz w:val="10"/>
              </w:rPr>
              <w:t>防治污染设施拆除或闲置审批</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spacing w:line="249" w:lineRule="auto"/>
              <w:ind w:left="20" w:right="18"/>
              <w:jc w:val="both"/>
              <w:rPr>
                <w:sz w:val="10"/>
              </w:rPr>
            </w:pPr>
            <w:r>
              <w:rPr>
                <w:w w:val="105"/>
                <w:sz w:val="10"/>
              </w:rPr>
              <w:t>企业或单位关闭、闲置、拆除工业固体废物污染环境防治设施、场所的核准结果；企业或单位拆除、闲置环境噪声污染防治设施的审批结果；企业或单位拆除闲置海洋工程环境保护设施的审批结果</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1"/>
              <w:jc w:val="center"/>
              <w:rPr>
                <w:sz w:val="10"/>
              </w:rPr>
            </w:pPr>
            <w:r>
              <w:rPr>
                <w:w w:val="105"/>
                <w:sz w:val="10"/>
              </w:rPr>
              <w:t>防治污染设施拆除或闲置审批公示</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8"/>
              </w:rPr>
            </w:pPr>
          </w:p>
          <w:p>
            <w:pPr>
              <w:pStyle w:val="8"/>
              <w:ind w:left="20"/>
              <w:rPr>
                <w:sz w:val="10"/>
              </w:rPr>
            </w:pPr>
            <w:r>
              <w:rPr>
                <w:w w:val="105"/>
                <w:sz w:val="10"/>
              </w:rPr>
              <w:t>《固体废物污染环境防治法》</w:t>
            </w:r>
          </w:p>
          <w:p>
            <w:pPr>
              <w:pStyle w:val="8"/>
              <w:spacing w:before="5"/>
              <w:ind w:left="20"/>
              <w:rPr>
                <w:sz w:val="10"/>
              </w:rPr>
            </w:pPr>
            <w:r>
              <w:rPr>
                <w:w w:val="105"/>
                <w:sz w:val="10"/>
              </w:rPr>
              <w:t>、《环境噪声污染防治法》、</w:t>
            </w:r>
          </w:p>
          <w:p>
            <w:pPr>
              <w:pStyle w:val="8"/>
              <w:spacing w:before="6" w:line="249" w:lineRule="auto"/>
              <w:ind w:left="20" w:right="26"/>
              <w:jc w:val="both"/>
              <w:rPr>
                <w:sz w:val="10"/>
              </w:rPr>
            </w:pPr>
            <w:r>
              <w:rPr>
                <w:w w:val="105"/>
                <w:sz w:val="10"/>
              </w:rPr>
              <w:t>《海洋环境保护法》、《政府信息公开条例》、《关于全面推进政务公开工作的意见》、</w:t>
            </w:r>
          </w:p>
          <w:p>
            <w:pPr>
              <w:pStyle w:val="8"/>
              <w:spacing w:line="249" w:lineRule="auto"/>
              <w:ind w:left="20" w:right="26"/>
              <w:rPr>
                <w:sz w:val="10"/>
              </w:rPr>
            </w:pPr>
            <w:r>
              <w:rPr>
                <w:w w:val="105"/>
                <w:sz w:val="10"/>
              </w:rPr>
              <w:t>《开展基层政务公开标准化规范化试点工作方案》</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21" w:right="79"/>
              <w:jc w:val="both"/>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1" w:line="252"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4"/>
              <w:rPr>
                <w:sz w:val="10"/>
              </w:rPr>
            </w:pPr>
            <w:r>
              <w:rPr>
                <w:w w:val="105"/>
                <w:sz w:val="10"/>
              </w:rPr>
              <w:t>■政府网站 □政府公报</w:t>
            </w:r>
          </w:p>
          <w:p>
            <w:pPr>
              <w:pStyle w:val="8"/>
              <w:spacing w:before="5"/>
              <w:ind w:left="24"/>
              <w:rPr>
                <w:sz w:val="10"/>
              </w:rPr>
            </w:pPr>
            <w:r>
              <w:rPr>
                <w:w w:val="105"/>
                <w:sz w:val="10"/>
              </w:rPr>
              <w:t>□两微一端 □发布会/听证会</w:t>
            </w:r>
          </w:p>
          <w:p>
            <w:pPr>
              <w:pStyle w:val="8"/>
              <w:spacing w:before="5"/>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6"/>
              <w:ind w:left="24"/>
              <w:rPr>
                <w:sz w:val="10"/>
              </w:rPr>
            </w:pPr>
            <w:r>
              <w:rPr>
                <w:w w:val="105"/>
                <w:sz w:val="10"/>
              </w:rPr>
              <w:t>□便民服务站 □入户/现场</w:t>
            </w:r>
          </w:p>
          <w:p>
            <w:pPr>
              <w:pStyle w:val="8"/>
              <w:spacing w:before="6"/>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9"/>
              </w:rPr>
            </w:pPr>
          </w:p>
          <w:p>
            <w:pPr>
              <w:pStyle w:val="8"/>
              <w:spacing w:before="1"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5"/>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6"/>
              <w:ind w:left="25"/>
              <w:rPr>
                <w:sz w:val="10"/>
              </w:rPr>
            </w:pPr>
            <w:r>
              <w:rPr>
                <w:w w:val="105"/>
                <w:sz w:val="10"/>
              </w:rPr>
              <w:t>□便民服务站 □入户/现场</w:t>
            </w:r>
          </w:p>
          <w:p>
            <w:pPr>
              <w:pStyle w:val="8"/>
              <w:spacing w:before="6"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4"/>
              <w:rPr>
                <w:sz w:val="10"/>
              </w:rPr>
            </w:pPr>
            <w:r>
              <w:rPr>
                <w:w w:val="105"/>
                <w:sz w:val="10"/>
              </w:rPr>
              <w:t>此事项暂未有申请</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23"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18"/>
              <w:jc w:val="center"/>
              <w:rPr>
                <w:sz w:val="10"/>
              </w:rPr>
            </w:pPr>
            <w:r>
              <w:rPr>
                <w:w w:val="107"/>
                <w:sz w:val="10"/>
              </w:rPr>
              <w:t>3</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54" w:right="34"/>
              <w:jc w:val="center"/>
              <w:rPr>
                <w:sz w:val="10"/>
              </w:rPr>
            </w:pPr>
            <w:r>
              <w:rPr>
                <w:w w:val="105"/>
                <w:sz w:val="10"/>
              </w:rPr>
              <w:t>行政许可</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2" w:line="249" w:lineRule="auto"/>
              <w:ind w:left="206" w:right="21" w:hanging="162"/>
              <w:rPr>
                <w:sz w:val="10"/>
              </w:rPr>
            </w:pPr>
            <w:r>
              <w:rPr>
                <w:w w:val="105"/>
                <w:sz w:val="10"/>
              </w:rPr>
              <w:t>危险废物经营许可证</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right="28"/>
              <w:jc w:val="right"/>
              <w:rPr>
                <w:sz w:val="10"/>
              </w:rPr>
            </w:pPr>
            <w:r>
              <w:rPr>
                <w:w w:val="105"/>
                <w:sz w:val="10"/>
              </w:rPr>
              <w:t>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12" w:right="190"/>
              <w:jc w:val="center"/>
              <w:rPr>
                <w:sz w:val="10"/>
              </w:rPr>
            </w:pPr>
            <w:r>
              <w:rPr>
                <w:w w:val="105"/>
                <w:sz w:val="10"/>
              </w:rPr>
              <w:t>危险废物经营许可</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9"/>
              <w:rPr>
                <w:rFonts w:ascii="Times New Roman"/>
                <w:sz w:val="13"/>
              </w:rPr>
            </w:pPr>
          </w:p>
          <w:p>
            <w:pPr>
              <w:pStyle w:val="8"/>
              <w:spacing w:before="1" w:line="249" w:lineRule="auto"/>
              <w:ind w:left="20" w:right="18"/>
              <w:rPr>
                <w:sz w:val="10"/>
              </w:rPr>
            </w:pPr>
            <w:r>
              <w:rPr>
                <w:spacing w:val="-2"/>
                <w:w w:val="105"/>
                <w:sz w:val="10"/>
              </w:rPr>
              <w:t>受理环节：受理通知书； 拟决定环节：向有关部门和专家征求意见、决定前公示等；决定环节：危险</w:t>
            </w:r>
            <w:r>
              <w:rPr>
                <w:w w:val="105"/>
                <w:sz w:val="10"/>
              </w:rPr>
              <w:t>废物经营许可证信息公 示；送达环节：送达单</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1"/>
              <w:jc w:val="center"/>
              <w:rPr>
                <w:sz w:val="10"/>
              </w:rPr>
            </w:pPr>
            <w:r>
              <w:rPr>
                <w:w w:val="105"/>
                <w:sz w:val="10"/>
              </w:rPr>
              <w:t>危险废物经营许可审批公示</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8"/>
              </w:rPr>
            </w:pPr>
          </w:p>
          <w:p>
            <w:pPr>
              <w:pStyle w:val="8"/>
              <w:ind w:left="20"/>
              <w:rPr>
                <w:sz w:val="10"/>
              </w:rPr>
            </w:pPr>
            <w:r>
              <w:rPr>
                <w:w w:val="105"/>
                <w:sz w:val="10"/>
              </w:rPr>
              <w:t>《固体废物污染环境防治法》</w:t>
            </w:r>
          </w:p>
          <w:p>
            <w:pPr>
              <w:pStyle w:val="8"/>
              <w:spacing w:before="6" w:line="249" w:lineRule="auto"/>
              <w:ind w:left="20" w:right="26"/>
              <w:rPr>
                <w:sz w:val="10"/>
              </w:rPr>
            </w:pPr>
            <w:r>
              <w:rPr>
                <w:w w:val="105"/>
                <w:sz w:val="10"/>
              </w:rPr>
              <w:t>、《政府信息公开条例》、《危险废物经营许可证管理办法</w:t>
            </w:r>
          </w:p>
          <w:p>
            <w:pPr>
              <w:pStyle w:val="8"/>
              <w:spacing w:line="249" w:lineRule="auto"/>
              <w:ind w:left="20" w:right="26"/>
              <w:rPr>
                <w:sz w:val="10"/>
              </w:rPr>
            </w:pPr>
            <w:r>
              <w:rPr>
                <w:w w:val="105"/>
                <w:sz w:val="10"/>
              </w:rPr>
              <w:t>》、《国务院关于取消和下放一批行政审批项目的决定》、</w:t>
            </w:r>
          </w:p>
          <w:p>
            <w:pPr>
              <w:pStyle w:val="8"/>
              <w:spacing w:line="249" w:lineRule="auto"/>
              <w:ind w:left="20" w:right="26"/>
              <w:rPr>
                <w:sz w:val="10"/>
              </w:rPr>
            </w:pPr>
            <w:r>
              <w:rPr>
                <w:w w:val="105"/>
                <w:sz w:val="10"/>
              </w:rPr>
              <w:t>《关于做好下放危险废物经营许可审批工作的通知》</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1"/>
              </w:rPr>
            </w:pPr>
          </w:p>
          <w:p>
            <w:pPr>
              <w:pStyle w:val="8"/>
              <w:spacing w:line="249" w:lineRule="auto"/>
              <w:ind w:left="21" w:right="79"/>
              <w:jc w:val="both"/>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2"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4"/>
              <w:rPr>
                <w:sz w:val="10"/>
              </w:rPr>
            </w:pPr>
            <w:r>
              <w:rPr>
                <w:w w:val="105"/>
                <w:sz w:val="10"/>
              </w:rPr>
              <w:t>■政府网站 □政府公报</w:t>
            </w:r>
          </w:p>
          <w:p>
            <w:pPr>
              <w:pStyle w:val="8"/>
              <w:spacing w:before="5"/>
              <w:ind w:left="24"/>
              <w:rPr>
                <w:sz w:val="10"/>
              </w:rPr>
            </w:pPr>
            <w:r>
              <w:rPr>
                <w:w w:val="105"/>
                <w:sz w:val="10"/>
              </w:rPr>
              <w:t>□两微一端 □发布会/听证会</w:t>
            </w:r>
          </w:p>
          <w:p>
            <w:pPr>
              <w:pStyle w:val="8"/>
              <w:spacing w:before="5"/>
              <w:ind w:left="24"/>
              <w:rPr>
                <w:sz w:val="10"/>
              </w:rPr>
            </w:pPr>
            <w:r>
              <w:rPr>
                <w:w w:val="105"/>
                <w:sz w:val="10"/>
              </w:rPr>
              <w:t>□广播电视 □纸质媒体</w:t>
            </w:r>
          </w:p>
          <w:p>
            <w:pPr>
              <w:pStyle w:val="8"/>
              <w:spacing w:before="6"/>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6"/>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
              <w:rPr>
                <w:rFonts w:ascii="Times New Roman"/>
                <w:sz w:val="9"/>
              </w:rPr>
            </w:pPr>
          </w:p>
          <w:p>
            <w:pPr>
              <w:pStyle w:val="8"/>
              <w:spacing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2"/>
              </w:rPr>
            </w:pPr>
          </w:p>
          <w:p>
            <w:pPr>
              <w:pStyle w:val="8"/>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5"/>
              <w:ind w:left="25"/>
              <w:rPr>
                <w:sz w:val="10"/>
              </w:rPr>
            </w:pPr>
            <w:r>
              <w:rPr>
                <w:w w:val="105"/>
                <w:sz w:val="10"/>
              </w:rPr>
              <w:t>□广播电视 □纸质媒体</w:t>
            </w:r>
          </w:p>
          <w:p>
            <w:pPr>
              <w:pStyle w:val="8"/>
              <w:spacing w:before="6"/>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6"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2"/>
              </w:rPr>
            </w:pPr>
          </w:p>
          <w:p>
            <w:pPr>
              <w:pStyle w:val="8"/>
              <w:ind w:left="24"/>
              <w:rPr>
                <w:sz w:val="10"/>
              </w:rPr>
            </w:pPr>
            <w:r>
              <w:rPr>
                <w:w w:val="105"/>
                <w:sz w:val="10"/>
              </w:rPr>
              <w:t>此事项暂未有申请</w:t>
            </w:r>
          </w:p>
        </w:tc>
      </w:tr>
    </w:tbl>
    <w:p>
      <w:pPr>
        <w:spacing w:after="0"/>
        <w:rPr>
          <w:sz w:val="10"/>
        </w:rPr>
        <w:sectPr>
          <w:headerReference r:id="rId5" w:type="default"/>
          <w:footerReference r:id="rId6" w:type="default"/>
          <w:type w:val="continuous"/>
          <w:pgSz w:w="23820" w:h="16840" w:orient="landscape"/>
          <w:pgMar w:top="2040" w:right="780" w:bottom="860" w:left="780" w:header="1644" w:footer="671" w:gutter="0"/>
          <w:pgNumType w:start="81"/>
          <w:cols w:space="720" w:num="1"/>
        </w:sect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3"/>
        <w:gridCol w:w="1006"/>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3"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6"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111"/>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41" w:right="21"/>
              <w:jc w:val="center"/>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1006"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59"/>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60"/>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01" w:right="71"/>
              <w:jc w:val="center"/>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90" w:right="59"/>
              <w:jc w:val="center"/>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44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4"/>
              <w:ind w:left="18"/>
              <w:jc w:val="center"/>
              <w:rPr>
                <w:sz w:val="10"/>
              </w:rPr>
            </w:pPr>
            <w:r>
              <w:rPr>
                <w:w w:val="107"/>
                <w:sz w:val="10"/>
              </w:rPr>
              <w:t>4</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4"/>
              </w:rPr>
            </w:pPr>
          </w:p>
          <w:p>
            <w:pPr>
              <w:pStyle w:val="8"/>
              <w:spacing w:line="249" w:lineRule="auto"/>
              <w:ind w:left="57" w:right="34"/>
              <w:jc w:val="center"/>
              <w:rPr>
                <w:sz w:val="10"/>
              </w:rPr>
            </w:pPr>
            <w:r>
              <w:rPr>
                <w:w w:val="105"/>
                <w:sz w:val="10"/>
              </w:rPr>
              <w:t>行政处罚行政强制和行政命令</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4"/>
              <w:ind w:left="33" w:right="13"/>
              <w:jc w:val="center"/>
              <w:rPr>
                <w:sz w:val="10"/>
              </w:rPr>
            </w:pPr>
            <w:r>
              <w:rPr>
                <w:w w:val="105"/>
                <w:sz w:val="10"/>
              </w:rPr>
              <w:t>行政处罚流程</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
              <w:rPr>
                <w:rFonts w:ascii="Times New Roman"/>
                <w:sz w:val="10"/>
              </w:rPr>
            </w:pPr>
          </w:p>
          <w:p>
            <w:pPr>
              <w:pStyle w:val="8"/>
              <w:spacing w:line="252" w:lineRule="auto"/>
              <w:ind w:left="267" w:right="28" w:hanging="216"/>
              <w:rPr>
                <w:sz w:val="10"/>
              </w:rPr>
            </w:pPr>
            <w:r>
              <w:rPr>
                <w:w w:val="105"/>
                <w:sz w:val="10"/>
              </w:rPr>
              <w:t>基于政务服务事项</w:t>
            </w:r>
          </w:p>
        </w:tc>
        <w:tc>
          <w:tcPr>
            <w:tcW w:w="2258" w:type="dxa"/>
          </w:tcPr>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spacing w:before="6"/>
              <w:rPr>
                <w:rFonts w:ascii="Times New Roman"/>
                <w:sz w:val="7"/>
              </w:rPr>
            </w:pPr>
          </w:p>
          <w:p>
            <w:pPr>
              <w:pStyle w:val="8"/>
              <w:spacing w:line="256" w:lineRule="auto"/>
              <w:ind w:left="11" w:right="34"/>
              <w:jc w:val="both"/>
              <w:rPr>
                <w:sz w:val="7"/>
              </w:rPr>
            </w:pPr>
            <w:r>
              <w:rPr>
                <w:w w:val="105"/>
                <w:sz w:val="7"/>
              </w:rPr>
              <w:t>14、对不按照排污许可证或者临时排污许可证的规定排放污染物的行为的处罚15、对违反电子废物污染环境防治管理规定的处罚16、对医疗卫生机构、医疗废物集中处置单位违反医疗废物管理及处置规定的行为的处罚17、重点排污单位不公开或者不如实公开环境信息的处罚18、对违反机动车排气污染监督抽测及限期维修治理管理规定的行为的处罚19、对未制定应急预案或采取应急措施的处罚与对违反危险废物污染环境防治规定的处罚20、对违反废弃电器电子产品处理资格许可规定的处罚21、对违反环保“三同时”制度的处罚22、对违反污染源自动监控管理规定的行为的处罚23、对未按规定贮存或者无害化处置工业固体废物及违反规定转移、运输处置固体废物等行为的处罚24、对违反环境影响评价制度的处罚25、对不执行危险废物转移联单管理规定或未经批准擅自转移危险废物的处罚26、对违反放射性污染防治监督管理规定的行为的处罚27、处理废弃电器电子产品造成环境污染的处罚28、对未按照规定对所排放的水污染物自行监测，或者未保存原始监测记录，未按照规定安装水污染物排放自动监测设备，未按照规定与环境保护主管部门的监控设备联网，或者未保证监测设备正常运行，未按照规定对有毒有害水污染物的排污口和周边环境进行监测，或者未公开有毒有害水污染物信息的处罚29、未取得废弃电器电子产品处理资格擅自从事废弃电器电子产品处理活动的处罚30、未按规定时间将废矿物油和废镉镍电池提供或者委托给处置单位进行处置的处罚31、任何个人或者未列入名录（包括临时名录）的单位（包括个体工商户）从事拆解、利用、处置电子废物活动的处罚32、对违规设置的排污口及私设暗管的处罚33、医疗卫生机构、医疗废物集中处置单位，无正当理由，阻碍执法人员执行职务，拒绝执法人员进入现场，或者不配合执法部门的检查、监测、调查取证的处罚34、对生产、销售、使用放射性同位素和射线装置的单位未按照规定对废旧放射源进行处理，未按照规定对使用Ⅰ类、Ⅱ类、Ⅲ类放射源的场所和生产放射性同位素的场所，以及终结运行后产生放射性污染的射线装置实施退役的处罚35、生产、销售、使用放射性同位素和射线装置的单位变更单位名称、地址、法定代表人，未依法办理许可证变更手续的处罚36、核设施营运单位、核技术利用单位或者放射性固体废物贮存、处置单位未按照规定对有关工作人员进行技术培训和考核的处罚37、对将未完全拆解、利用或者处置的电子废物提供或者委托给列入名录（包括临时名录）且具有相应经营范围的拆解利用处置单位（包括个体工商户）以外的单位或者个人从事拆解、利用、处置活动，拆解、利用和处置电子废物不符合有关电子废物污染防治的相关标准、技术规范和技术政策的要求，或者违反本办法规定的禁止性技术、工艺、设备要求，贮存、拆解、利用、处置电子废物的作业场所不符合要求，未按规定记录经营情况、日常环境监测数据、所产生工业电子废物的有关情况等，或者环境监测数据、经营情况记录弄虚作假，未按培训制度和计划进行培训，贮存电子废物超过一年的处罚38、建设项目中需要配套建设的污染防治设施没有建成或者没有达到国家规定的要求，擅自投入生产或者使用的处罚39、向水体排放倾倒污水等违法违规行为的处罚40、违反现场检查制度的处罚41、在禁止养殖区域内建设畜禽养殖场、养殖小区的处罚42、建设单位未依法向社会公开环境保护设施验收报告的处罚43</w:t>
            </w:r>
          </w:p>
          <w:p>
            <w:pPr>
              <w:pStyle w:val="8"/>
              <w:spacing w:before="7" w:line="256" w:lineRule="auto"/>
              <w:ind w:left="11" w:right="35"/>
              <w:rPr>
                <w:sz w:val="7"/>
              </w:rPr>
            </w:pPr>
            <w:r>
              <w:rPr>
                <w:w w:val="105"/>
                <w:sz w:val="7"/>
              </w:rPr>
              <w:t>、对不按照规定报告有关环境监测结果，拒绝环境保护行政主管部门和其他有关部门进行现场检查，或者被检查时不如实反映情况和提供必要资料的处罚44、违反规定安装监测、自动监控设备的处罚45、对未建造尾矿库或者不按照放射性污染防治的要求建造尾矿  库，贮存、处置铀（钍）矿和伴生放射性矿的尾矿，向环境排放不得排放的放射性废气、废液的，不按照规定的方式排放放射性废  液，利用渗井、渗坑、天然裂隙、溶洞或者国家禁止的其他方式排放放射性废液的，不按照规定处理或者贮存不得向环境排放的放射性废液的，将放射性固体废物提供或者委托给无许可证的单位贮存和处置的处罚46、对辐射工作单位未在含放射源设备的说明书中告知用户该设备含有放射源，销售、使用放射源的单位未在本办法实</w:t>
            </w:r>
          </w:p>
          <w:p>
            <w:pPr>
              <w:pStyle w:val="8"/>
              <w:spacing w:before="2" w:line="256" w:lineRule="auto"/>
              <w:ind w:left="11"/>
              <w:rPr>
                <w:sz w:val="7"/>
              </w:rPr>
            </w:pPr>
            <w:r>
              <w:rPr>
                <w:w w:val="105"/>
                <w:sz w:val="7"/>
              </w:rPr>
              <w:t>施之日起1年内将其贮存的废旧放射源交回、返回或送交有关单位的处罚47、无经营许可证或者不按照经营许可证规定从事收集、贮存</w:t>
            </w:r>
          </w:p>
          <w:p>
            <w:pPr>
              <w:pStyle w:val="8"/>
              <w:spacing w:line="256" w:lineRule="auto"/>
              <w:ind w:left="11" w:right="34"/>
              <w:jc w:val="both"/>
              <w:rPr>
                <w:sz w:val="7"/>
              </w:rPr>
            </w:pPr>
            <w:r>
              <w:rPr>
                <w:w w:val="105"/>
                <w:sz w:val="7"/>
              </w:rPr>
              <w:t>、利用、处置危险废物经营活动的处罚48、对拒绝或者阻碍环境保护部门监督检查，或者在接受监督检查时弄虚作假，未取得登记证或者不按照登记证的规定生产或者进口新化学物质，加工使用未取得登记证的新化学物质，未按登记证规定采取风险控制措施，将登记新化学物质转让给没有能力采取风险控制措施的加工使用者的处罚49、对向水体排放油类、酸液、碱液，向水体排放剧毒废液，或者将含有汞、镉、砷、铬、铅、氰化物、黄磷等的可溶性剧毒废渣向水体排放、倾倒或者直接埋入地下，在水体清洗装贮过油类、有毒污染物的车辆或者容器，向水体排放、倾倒工业废渣、城镇垃圾或者其他废弃物，或者在江河、湖泊、运河、渠道、水库最高水位线以下的滩地、岸坡堆放、存贮固体废弃物或者其他污染物的，向水体排放、倾倒放射性固体废物或者含有高放射性、中放射性物质的废水的，违反国家有关规定或者标准，向水体排放含低放射性物质的废水、热废水或者含病原体的污水，未采取防渗漏等措施，或者未建设地下水水质监测井进行监测，加油站等的地下油罐未使用双层罐或者采取建造防渗池等其他有效措施，或者未进行防渗漏监测，未按照规定采取防护性措施，或者利用无防渗漏措施的沟渠、坑塘等输送或者存贮含有毒污染物的废水、含病原体的污水或者其他废弃物的处罚50、伪造、变造、转让危险废物经营许可证的处罚51、将危险废物(医疗废物)提供或者委托给无经营许可证的单位从事经营活动的的处罚52、对未履行放射源告知义务或未按时叫回废旧放射源的处罚53、采用国家明令淘汰的技术和工艺处理废弃电器电子产品的处罚54、储油、加油加气站等未按规定安装并正常使用油气回收装置的处罚55、对违反有关危险废物污染环境防治规定的处罚56、对未建立实验室污染防治管理的规章制度，或者未设置</w:t>
            </w:r>
          </w:p>
          <w:p>
            <w:pPr>
              <w:pStyle w:val="8"/>
              <w:spacing w:before="5" w:line="256" w:lineRule="auto"/>
              <w:ind w:left="11" w:right="34"/>
              <w:rPr>
                <w:sz w:val="7"/>
              </w:rPr>
            </w:pPr>
            <w:r>
              <w:rPr>
                <w:w w:val="105"/>
                <w:sz w:val="7"/>
              </w:rPr>
              <w:t>（兼）职人员，未对产生的危险废物进行登记或者未保存登记资  料，未制定环境污染应急预案的处罚57、造成水污染事故的处罚58</w:t>
            </w:r>
          </w:p>
          <w:p>
            <w:pPr>
              <w:pStyle w:val="8"/>
              <w:spacing w:line="256" w:lineRule="auto"/>
              <w:ind w:left="11" w:right="35"/>
              <w:rPr>
                <w:sz w:val="7"/>
              </w:rPr>
            </w:pPr>
            <w:r>
              <w:rPr>
                <w:w w:val="105"/>
                <w:sz w:val="7"/>
              </w:rPr>
              <w:t>、对未依法取得排污许可证排放大气污染物，超过大气污染物排放标准或者超过重点大气污染物排放总量控制指标排放大气污染物， 通过逃避监管的方式排放大气污染物的处罚59、放射性固体废物贮存、处置单位未按照规定建立情况记录档案，或者未按照规定如实记录的处罚60、对生产、销售、使用放射性同位素和射线装置的单位无许可证从事放射性同位素和射线装置生产、销售、使用活动， 未按照许可证的规定从事放射性同位素和射线装置生产、销售、使用活动，改变所从事活动的种类或者范围以及新建、改建或者扩建生产、销售、使用设施或者场所，未按照规定重新申请领取许可  证，许可证有效期届满，需要延续而未按照规定办理延续手续，未经批准，擅自进口或者转让放射性同位素的处罚61、对医疗卫生机构、医疗废物集中处置单位运送过程中丢弃医疗废物，在非贮存地点倾倒、堆放医疗废物或者将医疗废物混入其他废物和生活垃圾， 未执行危险废物转移联单管理制度，将医疗废物交给未取得经营许可证的单位或者个人收集、运送、贮存、处置，对医疗废物的处置不符合国家</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6" w:line="249" w:lineRule="auto"/>
              <w:ind w:left="31" w:right="7"/>
              <w:jc w:val="center"/>
              <w:rPr>
                <w:sz w:val="10"/>
              </w:rPr>
            </w:pPr>
            <w:r>
              <w:rPr>
                <w:w w:val="105"/>
                <w:sz w:val="10"/>
              </w:rPr>
              <w:t>行政处罚事先告知书；行政处罚听证通知书；处罚执行情况：同意分期（延期）缴纳罚款通知书、督促履行义务催告书、强制执行申请书等</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spacing w:line="249" w:lineRule="auto"/>
              <w:ind w:left="22"/>
              <w:jc w:val="center"/>
              <w:rPr>
                <w:sz w:val="10"/>
              </w:rPr>
            </w:pPr>
            <w:r>
              <w:rPr>
                <w:w w:val="105"/>
                <w:sz w:val="10"/>
              </w:rPr>
              <w:t>行政处罚事先告知书、行政处罚听证通知书、同意分期 （延期）缴纳罚款通知书</w:t>
            </w:r>
          </w:p>
          <w:p>
            <w:pPr>
              <w:pStyle w:val="8"/>
              <w:spacing w:before="2" w:line="249" w:lineRule="auto"/>
              <w:ind w:left="22" w:right="-15"/>
              <w:jc w:val="center"/>
              <w:rPr>
                <w:sz w:val="10"/>
              </w:rPr>
            </w:pPr>
            <w:r>
              <w:rPr>
                <w:w w:val="105"/>
                <w:sz w:val="10"/>
              </w:rPr>
              <w:t>、 督促履行义务催告书、强制 执行申请书</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4"/>
              </w:rPr>
            </w:pPr>
          </w:p>
          <w:p>
            <w:pPr>
              <w:pStyle w:val="8"/>
              <w:spacing w:line="249" w:lineRule="auto"/>
              <w:ind w:left="36" w:right="10"/>
              <w:jc w:val="center"/>
              <w:rPr>
                <w:sz w:val="10"/>
              </w:rPr>
            </w:pPr>
            <w:r>
              <w:rPr>
                <w:w w:val="105"/>
                <w:sz w:val="10"/>
              </w:rPr>
              <w:t>《环境保护法》、《水污染防治法》、《海洋环境保护法》</w:t>
            </w:r>
          </w:p>
          <w:p>
            <w:pPr>
              <w:pStyle w:val="8"/>
              <w:spacing w:line="249" w:lineRule="auto"/>
              <w:ind w:left="36" w:right="10"/>
              <w:jc w:val="both"/>
              <w:rPr>
                <w:sz w:val="10"/>
              </w:rPr>
            </w:pPr>
            <w:r>
              <w:rPr>
                <w:w w:val="105"/>
                <w:sz w:val="10"/>
              </w:rPr>
              <w:t>、《大气污染防治法》、《环境噪声污染防治法》、《土壤污染防治法》、《固体废物污染环境防治法》、《放射性污染防治法》、《核安全法》、</w:t>
            </w:r>
          </w:p>
          <w:p>
            <w:pPr>
              <w:pStyle w:val="8"/>
              <w:spacing w:before="1" w:line="249" w:lineRule="auto"/>
              <w:ind w:left="36" w:right="10"/>
              <w:jc w:val="center"/>
              <w:rPr>
                <w:sz w:val="10"/>
              </w:rPr>
            </w:pPr>
            <w:r>
              <w:rPr>
                <w:w w:val="105"/>
                <w:sz w:val="10"/>
              </w:rPr>
              <w:t>《环境影响评价法》、《政府信息公开条例》、《环境行政处罚办法》</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4"/>
              </w:rPr>
            </w:pPr>
          </w:p>
          <w:p>
            <w:pPr>
              <w:pStyle w:val="8"/>
              <w:spacing w:line="249" w:lineRule="auto"/>
              <w:ind w:left="37" w:right="9"/>
              <w:jc w:val="center"/>
              <w:rPr>
                <w:sz w:val="10"/>
              </w:rPr>
            </w:pPr>
            <w:r>
              <w:rPr>
                <w:w w:val="105"/>
                <w:sz w:val="10"/>
              </w:rPr>
              <w:t>应自作出行政决定之日起7个工作日内公示</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
              <w:rPr>
                <w:rFonts w:ascii="Times New Roman"/>
                <w:sz w:val="10"/>
              </w:rPr>
            </w:pPr>
          </w:p>
          <w:p>
            <w:pPr>
              <w:pStyle w:val="8"/>
              <w:spacing w:line="252" w:lineRule="auto"/>
              <w:ind w:left="347" w:right="-15" w:hanging="324"/>
              <w:rPr>
                <w:sz w:val="10"/>
              </w:rPr>
            </w:pPr>
            <w:r>
              <w:rPr>
                <w:rFonts w:hint="eastAsia"/>
                <w:w w:val="105"/>
                <w:sz w:val="10"/>
                <w:lang w:eastAsia="zh-CN"/>
              </w:rPr>
              <w:t>湘西土家族苗族自治州生态环境局龙山分局</w:t>
            </w:r>
          </w:p>
        </w:tc>
        <w:tc>
          <w:tcPr>
            <w:tcW w:w="626" w:type="dxa"/>
          </w:tcPr>
          <w:p>
            <w:pPr>
              <w:pStyle w:val="8"/>
              <w:rPr>
                <w:rFonts w:ascii="Times New Roman"/>
                <w:sz w:val="8"/>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4"/>
              <w:ind w:left="29"/>
              <w:jc w:val="center"/>
              <w:rPr>
                <w:sz w:val="10"/>
              </w:rPr>
            </w:pPr>
            <w:r>
              <w:rPr>
                <w:w w:val="107"/>
                <w:sz w:val="10"/>
              </w:rPr>
              <w:t>√</w:t>
            </w:r>
          </w:p>
        </w:tc>
        <w:tc>
          <w:tcPr>
            <w:tcW w:w="522" w:type="dxa"/>
          </w:tcPr>
          <w:p>
            <w:pPr>
              <w:pStyle w:val="8"/>
              <w:rPr>
                <w:rFonts w:ascii="Times New Roman"/>
                <w:sz w:val="8"/>
              </w:rPr>
            </w:pPr>
          </w:p>
        </w:tc>
        <w:tc>
          <w:tcPr>
            <w:tcW w:w="75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4"/>
              <w:ind w:left="30"/>
              <w:jc w:val="center"/>
              <w:rPr>
                <w:sz w:val="10"/>
              </w:rPr>
            </w:pPr>
            <w:r>
              <w:rPr>
                <w:w w:val="107"/>
                <w:sz w:val="10"/>
              </w:rPr>
              <w:t>√</w:t>
            </w: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4"/>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8"/>
              <w:ind w:left="24"/>
              <w:rPr>
                <w:sz w:val="10"/>
              </w:rPr>
            </w:pPr>
            <w:r>
              <w:rPr>
                <w:w w:val="105"/>
                <w:sz w:val="10"/>
              </w:rPr>
              <w:t>■政府网站 □政府公报</w:t>
            </w:r>
          </w:p>
          <w:p>
            <w:pPr>
              <w:pStyle w:val="8"/>
              <w:spacing w:before="5"/>
              <w:ind w:left="24"/>
              <w:rPr>
                <w:sz w:val="10"/>
              </w:rPr>
            </w:pPr>
            <w:r>
              <w:rPr>
                <w:w w:val="105"/>
                <w:sz w:val="10"/>
              </w:rPr>
              <w:t>□两微一端 □发布会/听证会</w:t>
            </w:r>
          </w:p>
          <w:p>
            <w:pPr>
              <w:pStyle w:val="8"/>
              <w:spacing w:before="5"/>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6"/>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2"/>
              <w:rPr>
                <w:rFonts w:ascii="Times New Roman"/>
                <w:sz w:val="13"/>
              </w:rPr>
            </w:pPr>
          </w:p>
          <w:p>
            <w:pPr>
              <w:pStyle w:val="8"/>
              <w:spacing w:line="249" w:lineRule="auto"/>
              <w:ind w:left="24" w:right="78"/>
              <w:jc w:val="both"/>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8"/>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5"/>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6"/>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8"/>
              </w:rPr>
            </w:pPr>
          </w:p>
        </w:tc>
      </w:tr>
    </w:tbl>
    <w:p>
      <w:pPr>
        <w:spacing w:after="0"/>
        <w:rPr>
          <w:rFonts w:ascii="Times New Roman"/>
          <w:sz w:val="8"/>
        </w:rPr>
        <w:sectPr>
          <w:pgSz w:w="23820" w:h="16840" w:orient="landscape"/>
          <w:pgMar w:top="2040" w:right="780" w:bottom="860" w:left="780" w:header="1644" w:footer="671" w:gutter="0"/>
          <w:cols w:space="720" w:num="1"/>
        </w:sect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3"/>
        <w:gridCol w:w="1006"/>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3"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6"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103"/>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111"/>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152"/>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1006"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59"/>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130"/>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60"/>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13"/>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239"/>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670" w:hRule="atLeast"/>
        </w:trPr>
        <w:tc>
          <w:tcPr>
            <w:tcW w:w="522" w:type="dxa"/>
            <w:vMerge w:val="restart"/>
          </w:tcPr>
          <w:p>
            <w:pPr>
              <w:pStyle w:val="8"/>
              <w:rPr>
                <w:rFonts w:ascii="Times New Roman"/>
                <w:sz w:val="6"/>
              </w:rPr>
            </w:pPr>
          </w:p>
        </w:tc>
        <w:tc>
          <w:tcPr>
            <w:tcW w:w="649" w:type="dxa"/>
            <w:vMerge w:val="restart"/>
          </w:tcPr>
          <w:p>
            <w:pPr>
              <w:pStyle w:val="8"/>
              <w:rPr>
                <w:rFonts w:ascii="Times New Roman"/>
                <w:sz w:val="6"/>
              </w:rPr>
            </w:pPr>
          </w:p>
        </w:tc>
        <w:tc>
          <w:tcPr>
            <w:tcW w:w="731" w:type="dxa"/>
            <w:vMerge w:val="restart"/>
          </w:tcPr>
          <w:p>
            <w:pPr>
              <w:pStyle w:val="8"/>
              <w:rPr>
                <w:rFonts w:ascii="Times New Roman"/>
                <w:sz w:val="6"/>
              </w:rPr>
            </w:pPr>
          </w:p>
        </w:tc>
        <w:tc>
          <w:tcPr>
            <w:tcW w:w="745" w:type="dxa"/>
            <w:vMerge w:val="restart"/>
          </w:tcPr>
          <w:p>
            <w:pPr>
              <w:pStyle w:val="8"/>
              <w:rPr>
                <w:rFonts w:ascii="Times New Roman"/>
                <w:sz w:val="6"/>
              </w:rPr>
            </w:pPr>
          </w:p>
        </w:tc>
        <w:tc>
          <w:tcPr>
            <w:tcW w:w="2258" w:type="dxa"/>
            <w:tcBorders>
              <w:bottom w:val="nil"/>
            </w:tcBorders>
          </w:tcPr>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rPr>
                <w:rFonts w:ascii="Times New Roman"/>
                <w:sz w:val="6"/>
              </w:rPr>
            </w:pPr>
          </w:p>
          <w:p>
            <w:pPr>
              <w:pStyle w:val="8"/>
              <w:spacing w:before="51" w:line="80" w:lineRule="atLeast"/>
              <w:ind w:left="11" w:right="25"/>
              <w:jc w:val="both"/>
              <w:rPr>
                <w:sz w:val="6"/>
              </w:rPr>
            </w:pPr>
            <w:r>
              <w:rPr>
                <w:w w:val="105"/>
                <w:sz w:val="6"/>
              </w:rPr>
              <w:t>规定的环境保护、卫生标准、规范，未按照本条例的规定对污水、传染病病人 或者疑似传染病病人的排泄物，进行严格消毒，或者未达到国家规定的排放标 准，排入污水处理系统，对收治的传染病病人或者疑似传染病病人产生的生活 垃圾，未按照医疗废物进行管理和处置的处罚62、对生产放射性同位素的单位 未建立放射性同位素产品台账，未按照国务院环境保护主管部门制定的编码规</w:t>
            </w:r>
          </w:p>
        </w:tc>
        <w:tc>
          <w:tcPr>
            <w:tcW w:w="1244" w:type="dxa"/>
            <w:tcBorders>
              <w:bottom w:val="nil"/>
            </w:tcBorders>
          </w:tcPr>
          <w:p>
            <w:pPr>
              <w:pStyle w:val="8"/>
              <w:rPr>
                <w:rFonts w:ascii="Times New Roman"/>
                <w:sz w:val="6"/>
              </w:rPr>
            </w:pPr>
          </w:p>
        </w:tc>
        <w:tc>
          <w:tcPr>
            <w:tcW w:w="1982" w:type="dxa"/>
            <w:tcBorders>
              <w:bottom w:val="nil"/>
            </w:tcBorders>
          </w:tcPr>
          <w:p>
            <w:pPr>
              <w:pStyle w:val="8"/>
              <w:rPr>
                <w:rFonts w:ascii="Times New Roman"/>
                <w:sz w:val="6"/>
              </w:rPr>
            </w:pPr>
          </w:p>
        </w:tc>
        <w:tc>
          <w:tcPr>
            <w:tcW w:w="1468" w:type="dxa"/>
            <w:tcBorders>
              <w:bottom w:val="nil"/>
            </w:tcBorders>
          </w:tcPr>
          <w:p>
            <w:pPr>
              <w:pStyle w:val="8"/>
              <w:rPr>
                <w:rFonts w:ascii="Times New Roman"/>
                <w:sz w:val="6"/>
              </w:rPr>
            </w:pPr>
          </w:p>
        </w:tc>
        <w:tc>
          <w:tcPr>
            <w:tcW w:w="983" w:type="dxa"/>
            <w:tcBorders>
              <w:bottom w:val="nil"/>
            </w:tcBorders>
          </w:tcPr>
          <w:p>
            <w:pPr>
              <w:pStyle w:val="8"/>
              <w:rPr>
                <w:rFonts w:ascii="Times New Roman"/>
                <w:sz w:val="6"/>
              </w:rPr>
            </w:pPr>
          </w:p>
        </w:tc>
        <w:tc>
          <w:tcPr>
            <w:tcW w:w="1006" w:type="dxa"/>
            <w:tcBorders>
              <w:bottom w:val="nil"/>
            </w:tcBorders>
          </w:tcPr>
          <w:p>
            <w:pPr>
              <w:pStyle w:val="8"/>
              <w:rPr>
                <w:rFonts w:ascii="Times New Roman"/>
                <w:sz w:val="6"/>
              </w:rPr>
            </w:pPr>
          </w:p>
        </w:tc>
        <w:tc>
          <w:tcPr>
            <w:tcW w:w="626" w:type="dxa"/>
            <w:vMerge w:val="restart"/>
          </w:tcPr>
          <w:p>
            <w:pPr>
              <w:pStyle w:val="8"/>
              <w:rPr>
                <w:rFonts w:ascii="Times New Roman"/>
                <w:sz w:val="6"/>
              </w:rPr>
            </w:pPr>
          </w:p>
        </w:tc>
        <w:tc>
          <w:tcPr>
            <w:tcW w:w="678" w:type="dxa"/>
            <w:tcBorders>
              <w:bottom w:val="nil"/>
            </w:tcBorders>
          </w:tcPr>
          <w:p>
            <w:pPr>
              <w:pStyle w:val="8"/>
              <w:rPr>
                <w:rFonts w:ascii="Times New Roman"/>
                <w:sz w:val="6"/>
              </w:rPr>
            </w:pPr>
          </w:p>
        </w:tc>
        <w:tc>
          <w:tcPr>
            <w:tcW w:w="522" w:type="dxa"/>
            <w:vMerge w:val="restart"/>
          </w:tcPr>
          <w:p>
            <w:pPr>
              <w:pStyle w:val="8"/>
              <w:rPr>
                <w:rFonts w:ascii="Times New Roman"/>
                <w:sz w:val="6"/>
              </w:rPr>
            </w:pPr>
          </w:p>
        </w:tc>
        <w:tc>
          <w:tcPr>
            <w:tcW w:w="752" w:type="dxa"/>
            <w:tcBorders>
              <w:bottom w:val="nil"/>
            </w:tcBorders>
          </w:tcPr>
          <w:p>
            <w:pPr>
              <w:pStyle w:val="8"/>
              <w:rPr>
                <w:rFonts w:ascii="Times New Roman"/>
                <w:sz w:val="6"/>
              </w:rPr>
            </w:pPr>
          </w:p>
        </w:tc>
        <w:tc>
          <w:tcPr>
            <w:tcW w:w="678" w:type="dxa"/>
            <w:tcBorders>
              <w:bottom w:val="nil"/>
            </w:tcBorders>
          </w:tcPr>
          <w:p>
            <w:pPr>
              <w:pStyle w:val="8"/>
              <w:rPr>
                <w:rFonts w:ascii="Times New Roman"/>
                <w:sz w:val="6"/>
              </w:rPr>
            </w:pPr>
          </w:p>
        </w:tc>
        <w:tc>
          <w:tcPr>
            <w:tcW w:w="1513" w:type="dxa"/>
            <w:tcBorders>
              <w:bottom w:val="nil"/>
            </w:tcBorders>
          </w:tcPr>
          <w:p>
            <w:pPr>
              <w:pStyle w:val="8"/>
              <w:rPr>
                <w:rFonts w:ascii="Times New Roman"/>
                <w:sz w:val="6"/>
              </w:rPr>
            </w:pPr>
          </w:p>
        </w:tc>
        <w:tc>
          <w:tcPr>
            <w:tcW w:w="768" w:type="dxa"/>
            <w:tcBorders>
              <w:bottom w:val="nil"/>
            </w:tcBorders>
          </w:tcPr>
          <w:p>
            <w:pPr>
              <w:pStyle w:val="8"/>
              <w:rPr>
                <w:rFonts w:ascii="Times New Roman"/>
                <w:sz w:val="6"/>
              </w:rPr>
            </w:pPr>
          </w:p>
        </w:tc>
        <w:tc>
          <w:tcPr>
            <w:tcW w:w="1678" w:type="dxa"/>
            <w:tcBorders>
              <w:bottom w:val="nil"/>
            </w:tcBorders>
          </w:tcPr>
          <w:p>
            <w:pPr>
              <w:pStyle w:val="8"/>
              <w:rPr>
                <w:rFonts w:ascii="Times New Roman"/>
                <w:sz w:val="6"/>
              </w:rPr>
            </w:pPr>
          </w:p>
        </w:tc>
        <w:tc>
          <w:tcPr>
            <w:tcW w:w="1409" w:type="dxa"/>
            <w:vMerge w:val="restart"/>
          </w:tcPr>
          <w:p>
            <w:pPr>
              <w:pStyle w:val="8"/>
              <w:rPr>
                <w:rFonts w:ascii="Times New Roman"/>
                <w:sz w:val="6"/>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则，对生产的放射源进行统一编码，未将放射性同位素产品台账和放射源编码 清单报国务院环境保护主管部门备案，出厂或者销售未列入产品台账的放射性 同位素和未编码的放射源的处罚63、托运人、承运人未按照核与辐射事故应急 响应指南的要求，做好事故应急工作并报告事故的处罚64、违反未按照规定处</w:t>
            </w:r>
          </w:p>
          <w:p>
            <w:pPr>
              <w:pStyle w:val="8"/>
              <w:spacing w:line="52" w:lineRule="exact"/>
              <w:ind w:left="11"/>
              <w:rPr>
                <w:sz w:val="6"/>
              </w:rPr>
            </w:pPr>
            <w:r>
              <w:rPr>
                <w:w w:val="105"/>
                <w:sz w:val="6"/>
              </w:rPr>
              <w:t>理废旧、退役的放射性同位素的规定的处罚65、对生产、销售、使用放射性同</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位素和射线装置的单位有未按照规定对本单位的放射性同位素、射线装置安全 和防护状况进行评估或者发现安全隐患不及时整改，生产、销售、使用、贮存 放射性同位素和射线装置的场所未按照规定设置安全和防护设施以及放射性标 志的处罚66、造成固体废物污染环境事故的处罚67、未取得经营许可证从事医</w:t>
            </w:r>
          </w:p>
          <w:p>
            <w:pPr>
              <w:pStyle w:val="8"/>
              <w:spacing w:line="52" w:lineRule="exact"/>
              <w:ind w:left="11"/>
              <w:rPr>
                <w:sz w:val="6"/>
              </w:rPr>
            </w:pPr>
            <w:r>
              <w:rPr>
                <w:w w:val="105"/>
                <w:sz w:val="6"/>
              </w:rPr>
              <w:t>疗废物的收集、运送、贮存、处置等活动的处罚68、对不按照规定设置放射性</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标识、标志、中文警示说明，不按照规定建立健全安全保卫制度和制定事故应 急计划或者应急措施，不按照规定报告放射源丢失、被盗情况或者放射性污染 事故的处罚69、为生产、销售、使用、贮存放射性同位素和射线装置场所未按 照规定设置安全和防护设施以及放射性标志的处罚70、领取危险废物收集经营</w:t>
            </w:r>
          </w:p>
          <w:p>
            <w:pPr>
              <w:pStyle w:val="8"/>
              <w:spacing w:line="52" w:lineRule="exact"/>
              <w:ind w:left="11"/>
              <w:rPr>
                <w:sz w:val="6"/>
              </w:rPr>
            </w:pPr>
            <w:r>
              <w:rPr>
                <w:w w:val="105"/>
                <w:sz w:val="6"/>
              </w:rPr>
              <w:t>许可证的单位，未与处置单位签订接收合同，并将收集的矿物油和废镉镍电池</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75" w:lineRule="exact"/>
              <w:ind w:left="11"/>
              <w:rPr>
                <w:sz w:val="6"/>
              </w:rPr>
            </w:pPr>
            <w:r>
              <w:rPr>
                <w:w w:val="105"/>
                <w:sz w:val="6"/>
              </w:rPr>
              <w:t>在90个工作日内提供或者委托给处置单位进行处置的处罚71、对医疗卫生机构</w:t>
            </w:r>
          </w:p>
          <w:p>
            <w:pPr>
              <w:pStyle w:val="8"/>
              <w:spacing w:before="4" w:line="80" w:lineRule="atLeast"/>
              <w:ind w:left="11" w:right="25"/>
              <w:jc w:val="both"/>
              <w:rPr>
                <w:sz w:val="6"/>
              </w:rPr>
            </w:pPr>
            <w:r>
              <w:rPr>
                <w:w w:val="105"/>
                <w:sz w:val="6"/>
              </w:rPr>
              <w:t>、医疗废物集中处置单位贮存设施或者设备不符合环境保护、卫生要求，未将 医疗废物按照类别分置于专用包装物或者容器，未使用符合标准的专用车辆运 送医疗废物或者使用运送医疗废物的车辆运送其他物品，未安装污染物排放在 线监控装置或者监控装置未经常处于正常运行状态的处罚72、单位燃用不符合</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质量标准的煤炭、石油焦的处罚73、对生产、销售、使用放射性同位素和射线 装置的单位在室外、野外使用放射性同位素和射线装置，未按照国家有关安全 和防护标准的要求划出安全防护区域和设置明显的放射性标志，未经批准擅自 在野外进行放射性同位素示踪试验的处罚74、对未按规定向加工使用者传递风</w:t>
            </w:r>
          </w:p>
          <w:p>
            <w:pPr>
              <w:pStyle w:val="8"/>
              <w:spacing w:line="52" w:lineRule="exact"/>
              <w:ind w:left="11"/>
              <w:rPr>
                <w:sz w:val="6"/>
              </w:rPr>
            </w:pPr>
            <w:r>
              <w:rPr>
                <w:w w:val="105"/>
                <w:sz w:val="6"/>
              </w:rPr>
              <w:t>险控制信息，未按规定保存新化学物质的申报材料以及生产、进口活动实际情</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669"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4" w:lineRule="auto"/>
              <w:ind w:left="11" w:right="25"/>
              <w:jc w:val="both"/>
              <w:rPr>
                <w:sz w:val="6"/>
              </w:rPr>
            </w:pPr>
            <w:r>
              <w:rPr>
                <w:w w:val="105"/>
                <w:sz w:val="6"/>
              </w:rPr>
              <w:t>况等相关资料的；将以科学研究以及工艺和产品的研究开发为目的生产或者进 口的新化学物质用于其他目的或者未按规定管理的处罚75、未将有关信息报送 国务院环境保护行政主管部门，或者未抄报有关地方人民政府环境保护行政主 管部门的处罚76、使用排放不合格的非道路移动机械，或者在用重型柴油车、 非道路移动机械未按照规定加装、更换污染控制装置的，以及在禁止使用高排 放非道路移动机械的区域使用高排放非道路移动机械的处罚77、对未采取防燃</w:t>
            </w:r>
          </w:p>
          <w:p>
            <w:pPr>
              <w:pStyle w:val="8"/>
              <w:spacing w:line="261" w:lineRule="auto"/>
              <w:ind w:left="11" w:right="25"/>
              <w:jc w:val="both"/>
              <w:rPr>
                <w:sz w:val="6"/>
              </w:rPr>
            </w:pPr>
            <w:r>
              <w:rPr>
                <w:w w:val="105"/>
                <w:sz w:val="6"/>
              </w:rPr>
              <w:t>、尘措施在城市人口集中地区存放煤炭煤矸石、煤渣、砂石、尘土等物料的处 罚78、对未执行环境监测结果报告制度的处罚79、进口固体废物企业未执行经 营情况记录簿制度、未履行日常环境监测或者未按规定报告进口固体废物经营 情况和环境环境监测情况的处罚80、从事畜禽规模养81、不具备集中处置医疗 废物条件的农村，医疗卫生机构按照要求处置医疗废物的处罚82、对违反城市 生活垃圾污染环境防治规定的处罚83、对未密闭煤炭、煤矸石、煤渣、煤灰、 水泥、石灰、石膏、砂土等易产生扬尘的物料，对不能密闭的易产生扬尘的物 料，未设置不低于堆放物高度的严密围挡，或者未采取有效覆盖措施防治扬尘 污染，装卸物料未采取密闭或者喷淋等方式控制扬尘排放，存放煤炭、煤矸石</w:t>
            </w:r>
          </w:p>
          <w:p>
            <w:pPr>
              <w:pStyle w:val="8"/>
              <w:spacing w:line="261" w:lineRule="auto"/>
              <w:ind w:left="11" w:right="25"/>
              <w:jc w:val="both"/>
              <w:rPr>
                <w:sz w:val="6"/>
              </w:rPr>
            </w:pPr>
            <w:r>
              <w:rPr>
                <w:w w:val="105"/>
                <w:sz w:val="6"/>
              </w:rPr>
              <w:t>、煤渣、煤灰等物料，未采取防燃措施，码头、矿山、填埋场和消纳场未采取 有效措施防治扬尘污染，排放有毒有害大气污染物名录中所列有毒有害大气污 染物的企业事业单位，未按照规定建设环境风险预警体系或者对排放口和周边 环境进行定期监测、排查环境安全隐患并采取有效措施防范环境风险，向大气</w:t>
            </w:r>
          </w:p>
          <w:p>
            <w:pPr>
              <w:pStyle w:val="8"/>
              <w:spacing w:before="1" w:line="52" w:lineRule="exact"/>
              <w:ind w:left="11"/>
              <w:rPr>
                <w:sz w:val="6"/>
              </w:rPr>
            </w:pPr>
            <w:r>
              <w:rPr>
                <w:w w:val="105"/>
                <w:sz w:val="6"/>
              </w:rPr>
              <w:t>排放持久性有机污染物的企业事业单位和其他生产经营者以及废弃物焚烧设施</w:t>
            </w:r>
          </w:p>
        </w:tc>
        <w:tc>
          <w:tcPr>
            <w:tcW w:w="1244"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2"/>
              <w:rPr>
                <w:rFonts w:ascii="Times New Roman"/>
                <w:sz w:val="13"/>
              </w:rPr>
            </w:pPr>
          </w:p>
          <w:p>
            <w:pPr>
              <w:pStyle w:val="8"/>
              <w:spacing w:line="249" w:lineRule="auto"/>
              <w:ind w:left="20" w:right="18"/>
              <w:jc w:val="both"/>
              <w:rPr>
                <w:sz w:val="10"/>
              </w:rPr>
            </w:pPr>
            <w:r>
              <w:rPr>
                <w:w w:val="105"/>
                <w:sz w:val="10"/>
              </w:rPr>
              <w:t>行政处罚事先告知书；行政处罚听证通知书；处罚执行情况：同意分期（延期）缴纳罚款通知书、督促履行义务催告书、强制执行申请书等</w:t>
            </w:r>
          </w:p>
        </w:tc>
        <w:tc>
          <w:tcPr>
            <w:tcW w:w="1982"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9"/>
              <w:rPr>
                <w:rFonts w:ascii="Times New Roman"/>
                <w:sz w:val="14"/>
              </w:rPr>
            </w:pPr>
          </w:p>
          <w:p>
            <w:pPr>
              <w:pStyle w:val="8"/>
              <w:spacing w:line="249" w:lineRule="auto"/>
              <w:ind w:left="19" w:right="1"/>
              <w:rPr>
                <w:sz w:val="10"/>
              </w:rPr>
            </w:pPr>
            <w:r>
              <w:rPr>
                <w:w w:val="105"/>
                <w:sz w:val="10"/>
              </w:rPr>
              <w:t>行政处罚事先告知书、行政处罚听证通知书、同意分期 （延期）缴纳罚款通知书</w:t>
            </w:r>
          </w:p>
          <w:p>
            <w:pPr>
              <w:pStyle w:val="8"/>
              <w:spacing w:line="249" w:lineRule="auto"/>
              <w:ind w:left="19" w:right="1"/>
              <w:rPr>
                <w:sz w:val="10"/>
              </w:rPr>
            </w:pPr>
            <w:r>
              <w:rPr>
                <w:w w:val="105"/>
                <w:sz w:val="10"/>
              </w:rPr>
              <w:t>、 督促履行义务催告书、强制 执行申请书</w:t>
            </w:r>
          </w:p>
        </w:tc>
        <w:tc>
          <w:tcPr>
            <w:tcW w:w="1468" w:type="dxa"/>
            <w:tcBorders>
              <w:top w:val="nil"/>
              <w:bottom w:val="nil"/>
            </w:tcBorders>
          </w:tcPr>
          <w:p>
            <w:pPr>
              <w:pStyle w:val="8"/>
              <w:rPr>
                <w:rFonts w:ascii="Times New Roman"/>
                <w:sz w:val="10"/>
              </w:rPr>
            </w:pPr>
          </w:p>
          <w:p>
            <w:pPr>
              <w:pStyle w:val="8"/>
              <w:rPr>
                <w:rFonts w:ascii="Times New Roman"/>
                <w:sz w:val="10"/>
              </w:rPr>
            </w:pPr>
          </w:p>
          <w:p>
            <w:pPr>
              <w:pStyle w:val="8"/>
              <w:spacing w:before="11"/>
              <w:rPr>
                <w:rFonts w:ascii="Times New Roman"/>
                <w:sz w:val="9"/>
              </w:rPr>
            </w:pPr>
          </w:p>
          <w:p>
            <w:pPr>
              <w:pStyle w:val="8"/>
              <w:spacing w:line="249" w:lineRule="auto"/>
              <w:ind w:left="20" w:right="26"/>
              <w:rPr>
                <w:sz w:val="10"/>
              </w:rPr>
            </w:pPr>
            <w:r>
              <w:rPr>
                <w:w w:val="105"/>
                <w:sz w:val="10"/>
              </w:rPr>
              <w:t>《环境保护法》、《水污染防治法》、《海洋环境保护法》</w:t>
            </w:r>
          </w:p>
          <w:p>
            <w:pPr>
              <w:pStyle w:val="8"/>
              <w:spacing w:before="1" w:line="249" w:lineRule="auto"/>
              <w:ind w:left="20" w:right="26"/>
              <w:jc w:val="both"/>
              <w:rPr>
                <w:sz w:val="10"/>
              </w:rPr>
            </w:pPr>
            <w:r>
              <w:rPr>
                <w:w w:val="105"/>
                <w:sz w:val="10"/>
              </w:rPr>
              <w:t>、《大气污染防治法》、《环境噪声污染防治法》、《土壤污染防治法》、《固体废物污染环境防治法》、《放射性污染防治法》、《核安全法》、</w:t>
            </w:r>
          </w:p>
          <w:p>
            <w:pPr>
              <w:pStyle w:val="8"/>
              <w:spacing w:line="128" w:lineRule="exact"/>
              <w:ind w:left="20"/>
              <w:rPr>
                <w:sz w:val="10"/>
              </w:rPr>
            </w:pPr>
            <w:r>
              <w:rPr>
                <w:w w:val="105"/>
                <w:sz w:val="10"/>
              </w:rPr>
              <w:t>《环境影响评价法》、《政府</w:t>
            </w:r>
          </w:p>
          <w:p>
            <w:pPr>
              <w:pStyle w:val="8"/>
              <w:spacing w:before="4" w:line="130" w:lineRule="atLeast"/>
              <w:ind w:left="20" w:right="26"/>
              <w:rPr>
                <w:sz w:val="10"/>
              </w:rPr>
            </w:pPr>
            <w:r>
              <w:rPr>
                <w:w w:val="105"/>
                <w:sz w:val="10"/>
              </w:rPr>
              <w:t>信息公开条例》、《环境行政处罚办法》</w:t>
            </w:r>
          </w:p>
        </w:tc>
        <w:tc>
          <w:tcPr>
            <w:tcW w:w="983"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10"/>
              </w:rPr>
            </w:pPr>
          </w:p>
          <w:p>
            <w:pPr>
              <w:pStyle w:val="8"/>
              <w:spacing w:line="249" w:lineRule="auto"/>
              <w:ind w:left="21" w:right="25"/>
              <w:rPr>
                <w:sz w:val="10"/>
              </w:rPr>
            </w:pPr>
            <w:r>
              <w:rPr>
                <w:w w:val="105"/>
                <w:sz w:val="10"/>
              </w:rPr>
              <w:t>应自作出行政决定之日起7个工作日内公示</w:t>
            </w:r>
          </w:p>
        </w:tc>
        <w:tc>
          <w:tcPr>
            <w:tcW w:w="1006"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3" w:line="249" w:lineRule="auto"/>
              <w:ind w:left="23" w:right="-15"/>
              <w:rPr>
                <w:sz w:val="10"/>
              </w:rPr>
            </w:pPr>
            <w:r>
              <w:rPr>
                <w:rFonts w:hint="eastAsia"/>
                <w:w w:val="105"/>
                <w:sz w:val="10"/>
                <w:lang w:eastAsia="zh-CN"/>
              </w:rPr>
              <w:t>湘西土家族苗族自治州生态环境局龙山分局</w:t>
            </w: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
              <w:rPr>
                <w:rFonts w:ascii="Times New Roman"/>
                <w:sz w:val="12"/>
              </w:rPr>
            </w:pPr>
          </w:p>
          <w:p>
            <w:pPr>
              <w:pStyle w:val="8"/>
              <w:ind w:left="25"/>
              <w:rPr>
                <w:sz w:val="10"/>
              </w:rPr>
            </w:pPr>
            <w:r>
              <w:rPr>
                <w:w w:val="107"/>
                <w:sz w:val="10"/>
              </w:rPr>
              <w:t>√</w:t>
            </w: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
              <w:rPr>
                <w:rFonts w:ascii="Times New Roman"/>
                <w:sz w:val="12"/>
              </w:rPr>
            </w:pPr>
          </w:p>
          <w:p>
            <w:pPr>
              <w:pStyle w:val="8"/>
              <w:ind w:left="23"/>
              <w:rPr>
                <w:sz w:val="10"/>
              </w:rPr>
            </w:pPr>
            <w:r>
              <w:rPr>
                <w:w w:val="107"/>
                <w:sz w:val="10"/>
              </w:rPr>
              <w:t>√</w:t>
            </w:r>
          </w:p>
        </w:tc>
        <w:tc>
          <w:tcPr>
            <w:tcW w:w="678"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
              <w:rPr>
                <w:rFonts w:ascii="Times New Roman"/>
                <w:sz w:val="12"/>
              </w:rPr>
            </w:pPr>
          </w:p>
          <w:p>
            <w:pPr>
              <w:pStyle w:val="8"/>
              <w:ind w:left="25"/>
              <w:rPr>
                <w:sz w:val="10"/>
              </w:rPr>
            </w:pPr>
            <w:r>
              <w:rPr>
                <w:w w:val="107"/>
                <w:sz w:val="10"/>
              </w:rPr>
              <w:t>√</w:t>
            </w:r>
          </w:p>
        </w:tc>
        <w:tc>
          <w:tcPr>
            <w:tcW w:w="1513"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11"/>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5"/>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6"/>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6"/>
              <w:ind w:left="24"/>
              <w:rPr>
                <w:sz w:val="10"/>
              </w:rPr>
            </w:pPr>
            <w:r>
              <w:rPr>
                <w:w w:val="105"/>
                <w:sz w:val="10"/>
              </w:rPr>
              <w:t>□精准推送 □其他</w:t>
            </w:r>
          </w:p>
        </w:tc>
        <w:tc>
          <w:tcPr>
            <w:tcW w:w="768"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1"/>
              <w:rPr>
                <w:rFonts w:ascii="Times New Roman"/>
                <w:sz w:val="8"/>
              </w:rPr>
            </w:pPr>
          </w:p>
          <w:p>
            <w:pPr>
              <w:pStyle w:val="8"/>
              <w:spacing w:line="249" w:lineRule="auto"/>
              <w:ind w:left="24" w:right="78"/>
              <w:jc w:val="both"/>
              <w:rPr>
                <w:sz w:val="10"/>
              </w:rPr>
            </w:pPr>
            <w:r>
              <w:rPr>
                <w:w w:val="105"/>
                <w:sz w:val="10"/>
              </w:rPr>
              <w:t>各区县（市） 政府组织下辖乡镇（街道） 据实梳理、填报</w:t>
            </w:r>
          </w:p>
        </w:tc>
        <w:tc>
          <w:tcPr>
            <w:tcW w:w="1678" w:type="dxa"/>
            <w:tcBorders>
              <w:top w:val="nil"/>
              <w:bottom w:val="nil"/>
            </w:tcBorders>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11"/>
              </w:rPr>
            </w:pPr>
          </w:p>
          <w:p>
            <w:pPr>
              <w:pStyle w:val="8"/>
              <w:ind w:left="25"/>
              <w:rPr>
                <w:sz w:val="10"/>
              </w:rPr>
            </w:pPr>
            <w:r>
              <w:rPr>
                <w:w w:val="105"/>
                <w:sz w:val="10"/>
              </w:rPr>
              <w:t>□政府网站 □政府公报</w:t>
            </w:r>
          </w:p>
          <w:p>
            <w:pPr>
              <w:pStyle w:val="8"/>
              <w:spacing w:before="6"/>
              <w:ind w:left="25"/>
              <w:rPr>
                <w:sz w:val="10"/>
              </w:rPr>
            </w:pPr>
            <w:r>
              <w:rPr>
                <w:w w:val="105"/>
                <w:sz w:val="10"/>
              </w:rPr>
              <w:t>□两微一端 □发布会/听证会</w:t>
            </w:r>
          </w:p>
          <w:p>
            <w:pPr>
              <w:pStyle w:val="8"/>
              <w:spacing w:before="5"/>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6"/>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spacing w:before="1"/>
              <w:ind w:left="25"/>
              <w:rPr>
                <w:sz w:val="10"/>
              </w:rPr>
            </w:pPr>
            <w:r>
              <w:rPr>
                <w:w w:val="105"/>
                <w:sz w:val="10"/>
              </w:rPr>
              <w:t>□精准推送 □其他</w:t>
            </w: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的运营单位，未按照国家有关规定采取有利于减少持久性有机污染物排放的技 术方法和工艺，配备净化装置，未采取措施防止排放恶臭气体的处罚84、医疗 废物集中处置单位未安装污染物排放在线监控装置或者监控装置未经常处于正 常运行状态的处罚85、对核设施营运单位将废旧放射送交无相应许可证的单位</w:t>
            </w:r>
          </w:p>
          <w:p>
            <w:pPr>
              <w:pStyle w:val="8"/>
              <w:spacing w:line="52" w:lineRule="exact"/>
              <w:ind w:left="11"/>
              <w:rPr>
                <w:sz w:val="6"/>
              </w:rPr>
            </w:pPr>
            <w:r>
              <w:rPr>
                <w:w w:val="105"/>
                <w:sz w:val="6"/>
              </w:rPr>
              <w:t>贮存、处置，或者将其他放射性固体废物送交无相应许可证的单位处置，或者</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擅自处置，核技术利用单位将废旧放射源或者其他放射性固体废物送交无相应 许可证的单位贮存、处置，或者擅自处置，放射性固体废物贮存单位将废旧放 射源或者其他放射性固体废物送交无相应许可证的单位处置，或者擅自处置的 处罚86、未按规定重新申请领取危险废物经营许可证或提出换证申请的处罚87</w:t>
            </w:r>
          </w:p>
          <w:p>
            <w:pPr>
              <w:pStyle w:val="8"/>
              <w:spacing w:line="52" w:lineRule="exact"/>
              <w:ind w:left="11"/>
              <w:rPr>
                <w:sz w:val="6"/>
              </w:rPr>
            </w:pPr>
            <w:r>
              <w:rPr>
                <w:w w:val="105"/>
                <w:sz w:val="6"/>
              </w:rPr>
              <w:t>、对产生含挥发性有机物废气的生产和服务活动，未在密闭空间或者设备中进</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行，未按照规定安装、使用污染防治设施，或者未采取减少废气排放措施，工 业涂装企业未使用低挥发性有机物含量涂料或者未建立、保存台账，石油、化 工以及其他生产和使用有机溶剂的企业，未采取措施对管道、设备进行日常维 护、维修，减少物料泄漏或者对泄漏的物料未及时收集处理，储油储气库、加</w:t>
            </w:r>
          </w:p>
          <w:p>
            <w:pPr>
              <w:pStyle w:val="8"/>
              <w:spacing w:line="52" w:lineRule="exact"/>
              <w:ind w:left="11"/>
              <w:rPr>
                <w:sz w:val="6"/>
              </w:rPr>
            </w:pPr>
            <w:r>
              <w:rPr>
                <w:w w:val="105"/>
                <w:sz w:val="6"/>
              </w:rPr>
              <w:t>油加气站和油罐车、气罐车等，未按照国家有关规定安装并正常使用油气回收</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装置，钢铁、建材、有色金属、石油、化工、制药、矿产开采等企业，未采取 集中收集处理、密闭、围挡、遮盖、清扫、洒水等措施，控制、减少粉尘和气 态污染物排放，工业生产、垃圾填埋或者其他活动中产生的可燃性气体未回收 利用，不具备回收利用条件未进行防治污处理，或者可燃性气体回收利用装置</w:t>
            </w:r>
          </w:p>
          <w:p>
            <w:pPr>
              <w:pStyle w:val="8"/>
              <w:spacing w:line="52" w:lineRule="exact"/>
              <w:ind w:left="11"/>
              <w:rPr>
                <w:sz w:val="6"/>
              </w:rPr>
            </w:pPr>
            <w:r>
              <w:rPr>
                <w:w w:val="105"/>
                <w:sz w:val="6"/>
              </w:rPr>
              <w:t>不能正常作业，未及时修复或者更新的处罚88、处理废弃电器电子产品企业未</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建立日常环境监测制度或者未开展日常环境监测的处罚89、伪造、变造、转让 辐射安全许可证或伪造、变造、转让放射性同位素进口和转让批准文件的处罚 90、重点企业不公开或不如实公开环境信息的处罚91、对在饮用水水源一级保 护区内新建、改建、扩建与供水设施和保护水源无关的建设项目，在饮用水水</w:t>
            </w:r>
          </w:p>
          <w:p>
            <w:pPr>
              <w:pStyle w:val="8"/>
              <w:spacing w:line="52" w:lineRule="exact"/>
              <w:ind w:left="11"/>
              <w:rPr>
                <w:sz w:val="6"/>
              </w:rPr>
            </w:pPr>
            <w:r>
              <w:rPr>
                <w:w w:val="105"/>
                <w:sz w:val="6"/>
              </w:rPr>
              <w:t>源二级保护区内新建、改建、扩建排放污染物的建设项目，在饮用水水源准保</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bottom w:val="nil"/>
            </w:tcBorders>
          </w:tcPr>
          <w:p>
            <w:pPr>
              <w:pStyle w:val="8"/>
              <w:spacing w:line="261" w:lineRule="auto"/>
              <w:ind w:left="11" w:right="25"/>
              <w:jc w:val="both"/>
              <w:rPr>
                <w:sz w:val="6"/>
              </w:rPr>
            </w:pPr>
            <w:r>
              <w:rPr>
                <w:w w:val="105"/>
                <w:sz w:val="6"/>
              </w:rPr>
              <w:t>护区内新建、扩建对水体污染严重的建设项目，或者改建建设项目增加排污量 的处罚92、危险废物经营单位终止从事经营活动未对经营设施、场所采取污染 防治措施，并对未处置的危险废物做出妥善处理的处罚93、生产、销售、使用 放射性同位素和射线装置的单位部分终止或者全部终止生产、销售、使用活</w:t>
            </w:r>
          </w:p>
          <w:p>
            <w:pPr>
              <w:pStyle w:val="8"/>
              <w:spacing w:line="52" w:lineRule="exact"/>
              <w:ind w:left="11"/>
              <w:rPr>
                <w:sz w:val="6"/>
              </w:rPr>
            </w:pPr>
            <w:r>
              <w:rPr>
                <w:w w:val="105"/>
                <w:sz w:val="6"/>
              </w:rPr>
              <w:t>动，未按照规定办理许可证变更或者注销手续处罚94、无许可证生产或未按证</w:t>
            </w:r>
          </w:p>
        </w:tc>
        <w:tc>
          <w:tcPr>
            <w:tcW w:w="1244" w:type="dxa"/>
            <w:tcBorders>
              <w:top w:val="nil"/>
              <w:bottom w:val="nil"/>
            </w:tcBorders>
          </w:tcPr>
          <w:p>
            <w:pPr>
              <w:pStyle w:val="8"/>
              <w:rPr>
                <w:rFonts w:ascii="Times New Roman"/>
                <w:sz w:val="6"/>
              </w:rPr>
            </w:pPr>
          </w:p>
        </w:tc>
        <w:tc>
          <w:tcPr>
            <w:tcW w:w="1982" w:type="dxa"/>
            <w:tcBorders>
              <w:top w:val="nil"/>
              <w:bottom w:val="nil"/>
            </w:tcBorders>
          </w:tcPr>
          <w:p>
            <w:pPr>
              <w:pStyle w:val="8"/>
              <w:rPr>
                <w:rFonts w:ascii="Times New Roman"/>
                <w:sz w:val="6"/>
              </w:rPr>
            </w:pPr>
          </w:p>
        </w:tc>
        <w:tc>
          <w:tcPr>
            <w:tcW w:w="1468" w:type="dxa"/>
            <w:tcBorders>
              <w:top w:val="nil"/>
              <w:bottom w:val="nil"/>
            </w:tcBorders>
          </w:tcPr>
          <w:p>
            <w:pPr>
              <w:pStyle w:val="8"/>
              <w:rPr>
                <w:rFonts w:ascii="Times New Roman"/>
                <w:sz w:val="6"/>
              </w:rPr>
            </w:pPr>
          </w:p>
        </w:tc>
        <w:tc>
          <w:tcPr>
            <w:tcW w:w="983" w:type="dxa"/>
            <w:tcBorders>
              <w:top w:val="nil"/>
              <w:bottom w:val="nil"/>
            </w:tcBorders>
          </w:tcPr>
          <w:p>
            <w:pPr>
              <w:pStyle w:val="8"/>
              <w:rPr>
                <w:rFonts w:ascii="Times New Roman"/>
                <w:sz w:val="6"/>
              </w:rPr>
            </w:pPr>
          </w:p>
        </w:tc>
        <w:tc>
          <w:tcPr>
            <w:tcW w:w="1006" w:type="dxa"/>
            <w:tcBorders>
              <w:top w:val="nil"/>
              <w:bottom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bottom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bottom w:val="nil"/>
            </w:tcBorders>
          </w:tcPr>
          <w:p>
            <w:pPr>
              <w:pStyle w:val="8"/>
              <w:rPr>
                <w:rFonts w:ascii="Times New Roman"/>
                <w:sz w:val="6"/>
              </w:rPr>
            </w:pPr>
          </w:p>
        </w:tc>
        <w:tc>
          <w:tcPr>
            <w:tcW w:w="678" w:type="dxa"/>
            <w:tcBorders>
              <w:top w:val="nil"/>
              <w:bottom w:val="nil"/>
            </w:tcBorders>
          </w:tcPr>
          <w:p>
            <w:pPr>
              <w:pStyle w:val="8"/>
              <w:rPr>
                <w:rFonts w:ascii="Times New Roman"/>
                <w:sz w:val="6"/>
              </w:rPr>
            </w:pPr>
          </w:p>
        </w:tc>
        <w:tc>
          <w:tcPr>
            <w:tcW w:w="1513" w:type="dxa"/>
            <w:tcBorders>
              <w:top w:val="nil"/>
              <w:bottom w:val="nil"/>
            </w:tcBorders>
          </w:tcPr>
          <w:p>
            <w:pPr>
              <w:pStyle w:val="8"/>
              <w:rPr>
                <w:rFonts w:ascii="Times New Roman"/>
                <w:sz w:val="6"/>
              </w:rPr>
            </w:pPr>
          </w:p>
        </w:tc>
        <w:tc>
          <w:tcPr>
            <w:tcW w:w="768" w:type="dxa"/>
            <w:tcBorders>
              <w:top w:val="nil"/>
              <w:bottom w:val="nil"/>
            </w:tcBorders>
          </w:tcPr>
          <w:p>
            <w:pPr>
              <w:pStyle w:val="8"/>
              <w:rPr>
                <w:rFonts w:ascii="Times New Roman"/>
                <w:sz w:val="6"/>
              </w:rPr>
            </w:pPr>
          </w:p>
        </w:tc>
        <w:tc>
          <w:tcPr>
            <w:tcW w:w="1678" w:type="dxa"/>
            <w:tcBorders>
              <w:top w:val="nil"/>
              <w:bottom w:val="nil"/>
            </w:tcBorders>
          </w:tcPr>
          <w:p>
            <w:pPr>
              <w:pStyle w:val="8"/>
              <w:rPr>
                <w:rFonts w:ascii="Times New Roman"/>
                <w:sz w:val="6"/>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77" w:hRule="atLeast"/>
        </w:trPr>
        <w:tc>
          <w:tcPr>
            <w:tcW w:w="522"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731" w:type="dxa"/>
            <w:vMerge w:val="continue"/>
            <w:tcBorders>
              <w:top w:val="nil"/>
            </w:tcBorders>
          </w:tcPr>
          <w:p>
            <w:pPr>
              <w:rPr>
                <w:sz w:val="2"/>
                <w:szCs w:val="2"/>
              </w:rPr>
            </w:pPr>
          </w:p>
        </w:tc>
        <w:tc>
          <w:tcPr>
            <w:tcW w:w="745" w:type="dxa"/>
            <w:vMerge w:val="continue"/>
            <w:tcBorders>
              <w:top w:val="nil"/>
            </w:tcBorders>
          </w:tcPr>
          <w:p>
            <w:pPr>
              <w:rPr>
                <w:sz w:val="2"/>
                <w:szCs w:val="2"/>
              </w:rPr>
            </w:pPr>
          </w:p>
        </w:tc>
        <w:tc>
          <w:tcPr>
            <w:tcW w:w="2258" w:type="dxa"/>
            <w:tcBorders>
              <w:top w:val="nil"/>
            </w:tcBorders>
          </w:tcPr>
          <w:p>
            <w:pPr>
              <w:pStyle w:val="8"/>
              <w:spacing w:line="261" w:lineRule="auto"/>
              <w:ind w:left="11" w:right="25"/>
              <w:jc w:val="both"/>
              <w:rPr>
                <w:sz w:val="6"/>
              </w:rPr>
            </w:pPr>
            <w:r>
              <w:rPr>
                <w:w w:val="105"/>
                <w:sz w:val="6"/>
              </w:rPr>
              <w:t>生产或使用的处罚95、从事服装干洗和机动车维修等服务活动，未设置异味和 废气处理装置等污染防治设施并保持正常使用，影响周边环境的处罚96、无危 险废物出口核准通知单或者不按照危险废物出口核准通知单出口危险废物的处 罚97、对逾期生产、进口或者销售含铅汽油的处罚</w:t>
            </w:r>
          </w:p>
        </w:tc>
        <w:tc>
          <w:tcPr>
            <w:tcW w:w="1244" w:type="dxa"/>
            <w:tcBorders>
              <w:top w:val="nil"/>
            </w:tcBorders>
          </w:tcPr>
          <w:p>
            <w:pPr>
              <w:pStyle w:val="8"/>
              <w:rPr>
                <w:rFonts w:ascii="Times New Roman"/>
                <w:sz w:val="6"/>
              </w:rPr>
            </w:pPr>
          </w:p>
        </w:tc>
        <w:tc>
          <w:tcPr>
            <w:tcW w:w="1982" w:type="dxa"/>
            <w:tcBorders>
              <w:top w:val="nil"/>
            </w:tcBorders>
          </w:tcPr>
          <w:p>
            <w:pPr>
              <w:pStyle w:val="8"/>
              <w:rPr>
                <w:rFonts w:ascii="Times New Roman"/>
                <w:sz w:val="6"/>
              </w:rPr>
            </w:pPr>
          </w:p>
        </w:tc>
        <w:tc>
          <w:tcPr>
            <w:tcW w:w="1468" w:type="dxa"/>
            <w:tcBorders>
              <w:top w:val="nil"/>
            </w:tcBorders>
          </w:tcPr>
          <w:p>
            <w:pPr>
              <w:pStyle w:val="8"/>
              <w:rPr>
                <w:rFonts w:ascii="Times New Roman"/>
                <w:sz w:val="6"/>
              </w:rPr>
            </w:pPr>
          </w:p>
        </w:tc>
        <w:tc>
          <w:tcPr>
            <w:tcW w:w="983" w:type="dxa"/>
            <w:tcBorders>
              <w:top w:val="nil"/>
            </w:tcBorders>
          </w:tcPr>
          <w:p>
            <w:pPr>
              <w:pStyle w:val="8"/>
              <w:rPr>
                <w:rFonts w:ascii="Times New Roman"/>
                <w:sz w:val="6"/>
              </w:rPr>
            </w:pPr>
          </w:p>
        </w:tc>
        <w:tc>
          <w:tcPr>
            <w:tcW w:w="1006" w:type="dxa"/>
            <w:tcBorders>
              <w:top w:val="nil"/>
            </w:tcBorders>
          </w:tcPr>
          <w:p>
            <w:pPr>
              <w:pStyle w:val="8"/>
              <w:rPr>
                <w:rFonts w:ascii="Times New Roman"/>
                <w:sz w:val="6"/>
              </w:rPr>
            </w:pPr>
          </w:p>
        </w:tc>
        <w:tc>
          <w:tcPr>
            <w:tcW w:w="626" w:type="dxa"/>
            <w:vMerge w:val="continue"/>
            <w:tcBorders>
              <w:top w:val="nil"/>
            </w:tcBorders>
          </w:tcPr>
          <w:p>
            <w:pPr>
              <w:rPr>
                <w:sz w:val="2"/>
                <w:szCs w:val="2"/>
              </w:rPr>
            </w:pPr>
          </w:p>
        </w:tc>
        <w:tc>
          <w:tcPr>
            <w:tcW w:w="678" w:type="dxa"/>
            <w:tcBorders>
              <w:top w:val="nil"/>
            </w:tcBorders>
          </w:tcPr>
          <w:p>
            <w:pPr>
              <w:pStyle w:val="8"/>
              <w:rPr>
                <w:rFonts w:ascii="Times New Roman"/>
                <w:sz w:val="6"/>
              </w:rPr>
            </w:pPr>
          </w:p>
        </w:tc>
        <w:tc>
          <w:tcPr>
            <w:tcW w:w="522" w:type="dxa"/>
            <w:vMerge w:val="continue"/>
            <w:tcBorders>
              <w:top w:val="nil"/>
            </w:tcBorders>
          </w:tcPr>
          <w:p>
            <w:pPr>
              <w:rPr>
                <w:sz w:val="2"/>
                <w:szCs w:val="2"/>
              </w:rPr>
            </w:pPr>
          </w:p>
        </w:tc>
        <w:tc>
          <w:tcPr>
            <w:tcW w:w="752" w:type="dxa"/>
            <w:tcBorders>
              <w:top w:val="nil"/>
            </w:tcBorders>
          </w:tcPr>
          <w:p>
            <w:pPr>
              <w:pStyle w:val="8"/>
              <w:rPr>
                <w:rFonts w:ascii="Times New Roman"/>
                <w:sz w:val="6"/>
              </w:rPr>
            </w:pPr>
          </w:p>
        </w:tc>
        <w:tc>
          <w:tcPr>
            <w:tcW w:w="678" w:type="dxa"/>
            <w:tcBorders>
              <w:top w:val="nil"/>
            </w:tcBorders>
          </w:tcPr>
          <w:p>
            <w:pPr>
              <w:pStyle w:val="8"/>
              <w:rPr>
                <w:rFonts w:ascii="Times New Roman"/>
                <w:sz w:val="6"/>
              </w:rPr>
            </w:pPr>
          </w:p>
        </w:tc>
        <w:tc>
          <w:tcPr>
            <w:tcW w:w="1513" w:type="dxa"/>
            <w:tcBorders>
              <w:top w:val="nil"/>
            </w:tcBorders>
          </w:tcPr>
          <w:p>
            <w:pPr>
              <w:pStyle w:val="8"/>
              <w:rPr>
                <w:rFonts w:ascii="Times New Roman"/>
                <w:sz w:val="6"/>
              </w:rPr>
            </w:pPr>
          </w:p>
        </w:tc>
        <w:tc>
          <w:tcPr>
            <w:tcW w:w="768" w:type="dxa"/>
            <w:tcBorders>
              <w:top w:val="nil"/>
            </w:tcBorders>
          </w:tcPr>
          <w:p>
            <w:pPr>
              <w:pStyle w:val="8"/>
              <w:rPr>
                <w:rFonts w:ascii="Times New Roman"/>
                <w:sz w:val="6"/>
              </w:rPr>
            </w:pPr>
          </w:p>
        </w:tc>
        <w:tc>
          <w:tcPr>
            <w:tcW w:w="1678" w:type="dxa"/>
            <w:tcBorders>
              <w:top w:val="nil"/>
            </w:tcBorders>
          </w:tcPr>
          <w:p>
            <w:pPr>
              <w:pStyle w:val="8"/>
              <w:rPr>
                <w:rFonts w:ascii="Times New Roman"/>
                <w:sz w:val="6"/>
              </w:rPr>
            </w:pPr>
          </w:p>
        </w:tc>
        <w:tc>
          <w:tcPr>
            <w:tcW w:w="1409" w:type="dxa"/>
            <w:vMerge w:val="continue"/>
            <w:tcBorders>
              <w:top w:val="nil"/>
            </w:tcBorders>
          </w:tcPr>
          <w:p>
            <w:pPr>
              <w:rPr>
                <w:sz w:val="2"/>
                <w:szCs w:val="2"/>
              </w:rPr>
            </w:pPr>
          </w:p>
        </w:tc>
      </w:tr>
    </w:tbl>
    <w:p>
      <w:pPr>
        <w:pStyle w:val="2"/>
        <w:rPr>
          <w:rFonts w:ascii="Times New Roman"/>
          <w:sz w:val="9"/>
        </w:rPr>
      </w:pPr>
    </w:p>
    <w:p>
      <w:pPr>
        <w:spacing w:after="0" w:line="252" w:lineRule="auto"/>
        <w:rPr>
          <w:sz w:val="10"/>
        </w:rPr>
        <w:sectPr>
          <w:pgSz w:w="23820" w:h="16840" w:orient="landscape"/>
          <w:pgMar w:top="2040" w:right="780" w:bottom="860" w:left="780" w:header="1644" w:footer="671" w:gutter="0"/>
          <w:cols w:space="720" w:num="1"/>
        </w:sect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3"/>
        <w:gridCol w:w="1006"/>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3"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6"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111"/>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41" w:right="21"/>
              <w:jc w:val="center"/>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1006"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43" w:right="112"/>
              <w:jc w:val="center"/>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130"/>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43" w:right="113"/>
              <w:jc w:val="center"/>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13"/>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90" w:right="59"/>
              <w:jc w:val="center"/>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201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18"/>
              <w:jc w:val="center"/>
              <w:rPr>
                <w:sz w:val="10"/>
              </w:rPr>
            </w:pPr>
            <w:r>
              <w:rPr>
                <w:w w:val="107"/>
                <w:sz w:val="10"/>
              </w:rPr>
              <w:t>5</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0" w:line="249" w:lineRule="auto"/>
              <w:ind w:left="57" w:right="34"/>
              <w:jc w:val="center"/>
              <w:rPr>
                <w:sz w:val="10"/>
              </w:rPr>
            </w:pPr>
            <w:r>
              <w:rPr>
                <w:w w:val="105"/>
                <w:sz w:val="10"/>
              </w:rPr>
              <w:t>行政处罚行政强制和行政命令</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33" w:right="13"/>
              <w:jc w:val="center"/>
              <w:rPr>
                <w:sz w:val="10"/>
              </w:rPr>
            </w:pPr>
            <w:r>
              <w:rPr>
                <w:w w:val="105"/>
                <w:sz w:val="10"/>
              </w:rPr>
              <w:t>行政处罚决定</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1"/>
              <w:rPr>
                <w:rFonts w:ascii="Times New Roman"/>
                <w:sz w:val="11"/>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rPr>
                <w:rFonts w:ascii="Times New Roman"/>
                <w:sz w:val="8"/>
              </w:rPr>
            </w:pPr>
          </w:p>
          <w:p>
            <w:pPr>
              <w:pStyle w:val="8"/>
              <w:spacing w:before="5"/>
              <w:rPr>
                <w:rFonts w:ascii="Times New Roman"/>
                <w:sz w:val="10"/>
              </w:rPr>
            </w:pPr>
          </w:p>
          <w:p>
            <w:pPr>
              <w:pStyle w:val="8"/>
              <w:spacing w:line="256" w:lineRule="auto"/>
              <w:ind w:left="34" w:right="11" w:firstLine="1"/>
              <w:jc w:val="both"/>
              <w:rPr>
                <w:sz w:val="7"/>
              </w:rPr>
            </w:pPr>
            <w:r>
              <w:rPr>
                <w:w w:val="105"/>
                <w:sz w:val="7"/>
              </w:rPr>
              <w:t>对生产的放射源进行统一编码，未将放射性同位素产品台账和放射源编码清单报国务院环境保护主管部门备案，出厂或者销售未列入产品台账的放射性同位素和未编码的放射源的处罚63、托运人、承运人未按照核与辐射事故应急响应指南的要求，做好事故应急工作并报告事故的处罚64、违反未按照规定处理废旧、退役的放射性同位素的规定的处罚65、对生产、销售、使用放射性同位素和射线装置的单位有未按照规定对本单位的放射性同位素、射线装置安全和防护状况进行评估或者发现安全隐患不及时整改，生产、销售、使用、贮存放射性同位素和射线装置的场所未按照规定设置安全和防护设施以及放射性标志的处罚66、造成固体废物污染环境事故的处罚67、未取得经营许可证从事医疗废物的收集、运送、贮存、处置等活动的处罚68、对不按照规定设置放射性标识、标、中文警示说明，不按照规定建立健全安全保卫制度和制定事故应急计划或者应急措施，不按照规定报告放射源丢失、被盗情况或者放射性污染事故的处罚69、为生产、销售、使用、贮存放射性同位素和射线装置场所未按照规定设置安全和防护设施以及放射性标志的处罚70、领取危险废物收集经营许可证的单位，未与处置单位签订接收合同， 并将收集的废矿物油和废镉镍电池在90个工作日内提供或者委托给处置单位进行处置的处罚71、对医疗卫生机构、医疗废物集中处置单位贮存设施或者设备不符合环境保护、卫生要求，未将医疗废物按照类别分置于专用包装物或者容器，未使用符合标准的专用车辆运送医疗废物或者使用运送医疗废物的车辆运送其他物品，未安装污染物排放在线监控装置或者监控装置未经常处于正常运行状态的处罚72、单位燃用不符合质量标准的煤炭、石油焦的处罚73、对生产、销售、使用放射性同位素和射线装置的单位在室外、野外使用放射性同位素和射线装置，未按照国家有关安全和防护标准的要求划出安全防护区域和设置明显的放射性标志，未经批准擅自在野外进行放射性同位素示踪试验的处罚74、对未按规定向加工使用者传递风险控制信息，未按规定保存新化学物质的申报材料以及生产、进口活动实际情况等相关资料的；将以科学研究以及工艺和产品的研究开发为目的生产或者进口的新化学物质用于其他目的或者未按规定管理的处罚75、未将有关信息报送国务院环境保护行政主管部门，或者未抄报有关地方人民政府环境保护行政主管部门的处罚76</w:t>
            </w:r>
          </w:p>
          <w:p>
            <w:pPr>
              <w:pStyle w:val="8"/>
              <w:spacing w:before="6" w:line="256" w:lineRule="auto"/>
              <w:ind w:left="34" w:right="11" w:firstLine="1"/>
              <w:jc w:val="both"/>
              <w:rPr>
                <w:sz w:val="7"/>
              </w:rPr>
            </w:pPr>
            <w:r>
              <w:rPr>
                <w:w w:val="105"/>
                <w:sz w:val="7"/>
              </w:rPr>
              <w:t>、使用排放不合格的非道路移动机械，或者在用重型柴油车、非道路移动机械未按照规定加装、更换污染控制装置的，以及在禁止使用高排放非道路移动机械的区域使用高排放非道路移动机械的处罚77、对未采取防燃、防尘措施在城市人口集中地区存放煤炭、煤矸石、煤渣、砂石、尘土等物料的处罚78、对未执行环境监测结果报告制度的处罚79、进口固体废物企业未执行经营情况记录簿制度、未履行日常环境监测或者未按规定报告进口固体废物经营情况和环境环境监测情况的处罚80、从事畜禽规模养殖未按照国家有关规定收集、贮存、处置畜禽粪便，造成环境污染的处罚81、不具备集中处置医疗废物条件的农村，医疗卫生机构未按照要求处置医疗废物的处罚82、对违反城市生活垃圾污染环境防治规定的处罚83、对未密闭煤炭、煤矸石、煤渣、煤灰、水泥、石灰、石膏、砂土等易产生扬尘的物料，对不能密闭的易产生扬尘的物料，未设置不低于堆放物高度的严密围挡，或者未采取有效覆盖措施防治扬尘污染，装卸物料未采取密闭或者喷淋等方式控制扬尘排放，存放煤炭、煤矸石、煤渣、煤灰等物料，未采取防燃措施，码头、矿山、填埋场和消纳场未采取有效措施防治扬尘污染，排放有毒有害大气污染物名录中所列有毒有害大气污染物的企业事业单位，未按照规定建设环境风险预警体系或者对排放口和周边环境进行定期监测、排查环境安全隐患并采取有效措施防范环境风险，向大气排放持久性有机污染物的企业事业单位和其他生产经营者以及废弃物焚烧设施的运营单位，未按照国家有关规定采取有利于减少持久性有机污染物排放的技术方法和工艺，配备净化装置，未采取措施防止排放恶臭气体的处罚84、医疗废物集中处置单位未安装污染物排放在线监控装置或者监控装置未经常处于正常运行状态的处罚85、对核设施营运单位将废旧放射源送交无相应许可证的单位贮存、处置，或者将其他放射性固体废物送交无相应许可证的单位处置，或者擅自处置，核技术利用单位将废旧放射源或者其他放射性固体废物送交无相应许可证的单位贮存、处置，或者擅自处置，放射性固体废物贮存单位将废旧放射源或者其他放射性固体废物送交无相应许可证的单位处置，或者擅自处置的处罚86、未按规定重新申请领取危险废物经营许可证或提出换证申请的处罚87、对产生含挥发性有机物废气的生产和服务活动，未在密闭空间或者设备中进行，未按照规定安装、使用污染防治设施，或者未采取减少废气排放措施，工业涂装企业未使用低挥发性有机物含量涂料或者未建立、保存台账，石油、化工以及其他生产和使用有机溶剂的企业，未采取措施对管道、设备进行日常维护、维修，减少物料泄漏或者对泄漏的物料未及时收集处理，储油储气库、加油加气站和油罐车、气罐车等，未按照国家有关规定安装并正常使用油气回收装置，钢铁、建材、有色金属、石油、化工、制药、矿产开采等企业，未采取集中收集处理、密闭</w:t>
            </w:r>
          </w:p>
          <w:p>
            <w:pPr>
              <w:pStyle w:val="8"/>
              <w:spacing w:before="6" w:line="256" w:lineRule="auto"/>
              <w:ind w:left="35" w:right="11"/>
              <w:jc w:val="both"/>
              <w:rPr>
                <w:sz w:val="7"/>
              </w:rPr>
            </w:pPr>
            <w:r>
              <w:rPr>
                <w:w w:val="105"/>
                <w:sz w:val="7"/>
              </w:rPr>
              <w:t>、围挡、遮盖、清扫、洒水等措施，控制、减少粉尘和气态污染物排放，工业生产、垃圾填埋或者其他活中产生的可燃性气体未回收利用，不具备回收利用条件未进行防治污染处理，或者可燃性气体回收利用装置不能正常作业，未及时修复或者更新的处罚88、处理废弃电器电子产品企业未建立日常环境监测制度或者未开展日常环境监测的处罚89、伪造、变造、转让辐射安全许可证或伪造、变造</w:t>
            </w:r>
          </w:p>
          <w:p>
            <w:pPr>
              <w:pStyle w:val="8"/>
              <w:spacing w:line="256" w:lineRule="auto"/>
              <w:ind w:left="35" w:right="11"/>
              <w:jc w:val="center"/>
              <w:rPr>
                <w:sz w:val="7"/>
              </w:rPr>
            </w:pPr>
            <w:r>
              <w:rPr>
                <w:w w:val="105"/>
                <w:sz w:val="7"/>
              </w:rPr>
              <w:t>、转让放射性同位素进口和转让批准文件的处罚90、重点企业不公开或不如实公开环境信息的处罚91、对在饮用水水源一级保护区内新建、改建、扩建与供水设施和保护水源无关的建设项目，在饮用水水源二级保护区内新建、改建、扩建排放污染物的建设项目，在饮用水水源准保护区内新建、扩建对水体污染严重的建设项目，或者改建建设项目增加排污量的处罚92、危险废物经营单位终止从事经营活动未对经营设施、场所采取污染防治措施，并对未处置的危险废物做出妥善处理的处罚93、生产、销售、使用放射性同位素和射线装置的单位部分终止或者全部终止生产、销售、使用活动，未按照规定办理许可证变更或者注销手续处罚94、无许可证生产或未按证生产或使用的处罚95、从事服装干洗和机动车维修等服务活  动，未设置异味和废气处理装置等污染防治设施并保持正常使用， 影响周边环境的处罚96、无危险废物出口核准通知单或者不按照危险废物出口核准通知单出口危险废物的处罚97、对逾期生产、进口或者销售含铅汽油的处罚</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1"/>
              <w:rPr>
                <w:rFonts w:ascii="Times New Roman"/>
                <w:sz w:val="11"/>
              </w:rPr>
            </w:pPr>
          </w:p>
          <w:p>
            <w:pPr>
              <w:pStyle w:val="8"/>
              <w:spacing w:line="249" w:lineRule="auto"/>
              <w:ind w:left="517" w:right="7" w:hanging="486"/>
              <w:rPr>
                <w:sz w:val="10"/>
              </w:rPr>
            </w:pPr>
            <w:r>
              <w:rPr>
                <w:w w:val="105"/>
                <w:sz w:val="10"/>
              </w:rPr>
              <w:t>行政处罚决定书（全文公开）</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616"/>
              <w:rPr>
                <w:sz w:val="10"/>
              </w:rPr>
            </w:pPr>
            <w:r>
              <w:rPr>
                <w:w w:val="105"/>
                <w:sz w:val="10"/>
              </w:rPr>
              <w:t>行政处罚决定书</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3" w:line="249" w:lineRule="auto"/>
              <w:ind w:left="36" w:right="10"/>
              <w:jc w:val="center"/>
              <w:rPr>
                <w:sz w:val="10"/>
              </w:rPr>
            </w:pPr>
            <w:r>
              <w:rPr>
                <w:w w:val="105"/>
                <w:sz w:val="10"/>
              </w:rPr>
              <w:t>《环境保护法》、《水污染防治法》、《海洋环境保护法》</w:t>
            </w:r>
          </w:p>
          <w:p>
            <w:pPr>
              <w:pStyle w:val="8"/>
              <w:spacing w:before="1" w:line="249" w:lineRule="auto"/>
              <w:ind w:left="36" w:right="10"/>
              <w:jc w:val="both"/>
              <w:rPr>
                <w:sz w:val="10"/>
              </w:rPr>
            </w:pPr>
            <w:r>
              <w:rPr>
                <w:w w:val="105"/>
                <w:sz w:val="10"/>
              </w:rPr>
              <w:t>、《大气污染防治法》、《环境噪声污染防治法》、《土壤污染防治法》、《固体废物污染环境防治法》、《放射性污染防治法》、《核安全法》、</w:t>
            </w:r>
          </w:p>
          <w:p>
            <w:pPr>
              <w:pStyle w:val="8"/>
              <w:spacing w:line="249" w:lineRule="auto"/>
              <w:ind w:left="36" w:right="10"/>
              <w:jc w:val="center"/>
              <w:rPr>
                <w:sz w:val="10"/>
              </w:rPr>
            </w:pPr>
            <w:r>
              <w:rPr>
                <w:w w:val="105"/>
                <w:sz w:val="10"/>
              </w:rPr>
              <w:t>《环境影响评价法》、《政府信息公开条例》、《环境行政处罚办法》</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0" w:line="249" w:lineRule="auto"/>
              <w:ind w:left="64" w:right="36" w:hanging="1"/>
              <w:jc w:val="center"/>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1"/>
              <w:rPr>
                <w:rFonts w:ascii="Times New Roman"/>
                <w:sz w:val="11"/>
              </w:rPr>
            </w:pPr>
          </w:p>
          <w:p>
            <w:pPr>
              <w:pStyle w:val="8"/>
              <w:spacing w:line="249" w:lineRule="auto"/>
              <w:ind w:left="347" w:right="-15" w:hanging="324"/>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30"/>
              <w:jc w:val="center"/>
              <w:rPr>
                <w:sz w:val="10"/>
              </w:rPr>
            </w:pPr>
            <w:r>
              <w:rPr>
                <w:w w:val="107"/>
                <w:sz w:val="10"/>
              </w:rPr>
              <w:t>√</w:t>
            </w:r>
          </w:p>
        </w:tc>
        <w:tc>
          <w:tcPr>
            <w:tcW w:w="678" w:type="dxa"/>
          </w:tcPr>
          <w:p>
            <w:pPr>
              <w:pStyle w:val="8"/>
              <w:rPr>
                <w:rFonts w:ascii="Times New Roman"/>
                <w:sz w:val="8"/>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29"/>
              <w:jc w:val="center"/>
              <w:rPr>
                <w:sz w:val="10"/>
              </w:rPr>
            </w:pPr>
            <w:r>
              <w:rPr>
                <w:w w:val="107"/>
                <w:sz w:val="10"/>
              </w:rPr>
              <w:t>√</w:t>
            </w:r>
          </w:p>
        </w:tc>
        <w:tc>
          <w:tcPr>
            <w:tcW w:w="752" w:type="dxa"/>
          </w:tcPr>
          <w:p>
            <w:pPr>
              <w:pStyle w:val="8"/>
              <w:rPr>
                <w:rFonts w:ascii="Times New Roman"/>
                <w:sz w:val="8"/>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1"/>
              <w:ind w:left="61" w:right="31"/>
              <w:jc w:val="center"/>
              <w:rPr>
                <w:sz w:val="10"/>
              </w:rPr>
            </w:pPr>
            <w:r>
              <w:rPr>
                <w:w w:val="105"/>
                <w:sz w:val="10"/>
              </w:rPr>
              <w:t>■政府网站 □政府公报</w:t>
            </w:r>
          </w:p>
          <w:p>
            <w:pPr>
              <w:pStyle w:val="8"/>
              <w:spacing w:before="7"/>
              <w:ind w:left="62" w:right="31"/>
              <w:jc w:val="center"/>
              <w:rPr>
                <w:sz w:val="10"/>
              </w:rPr>
            </w:pPr>
            <w:r>
              <w:rPr>
                <w:w w:val="105"/>
                <w:sz w:val="10"/>
              </w:rPr>
              <w:t>□两微一端 □发布会/听证会</w:t>
            </w:r>
          </w:p>
          <w:p>
            <w:pPr>
              <w:pStyle w:val="8"/>
              <w:spacing w:before="5"/>
              <w:ind w:left="61" w:right="31"/>
              <w:jc w:val="center"/>
              <w:rPr>
                <w:sz w:val="10"/>
              </w:rPr>
            </w:pPr>
            <w:r>
              <w:rPr>
                <w:w w:val="105"/>
                <w:sz w:val="10"/>
              </w:rPr>
              <w:t>□广播电视 □纸质媒体</w:t>
            </w:r>
          </w:p>
          <w:p>
            <w:pPr>
              <w:pStyle w:val="8"/>
              <w:spacing w:before="5"/>
              <w:ind w:left="62" w:right="31"/>
              <w:jc w:val="center"/>
              <w:rPr>
                <w:sz w:val="10"/>
              </w:rPr>
            </w:pPr>
            <w:r>
              <w:rPr>
                <w:w w:val="105"/>
                <w:sz w:val="10"/>
              </w:rPr>
              <w:t>□公开查阅点■政务服务中心</w:t>
            </w:r>
          </w:p>
          <w:p>
            <w:pPr>
              <w:pStyle w:val="8"/>
              <w:spacing w:before="5"/>
              <w:ind w:left="62" w:right="31"/>
              <w:jc w:val="center"/>
              <w:rPr>
                <w:sz w:val="10"/>
              </w:rPr>
            </w:pPr>
            <w:r>
              <w:rPr>
                <w:w w:val="105"/>
                <w:sz w:val="10"/>
              </w:rPr>
              <w:t>□便民服务站 □入户/现场</w:t>
            </w:r>
          </w:p>
          <w:p>
            <w:pPr>
              <w:pStyle w:val="8"/>
              <w:spacing w:before="5"/>
              <w:ind w:left="62" w:right="31"/>
              <w:jc w:val="center"/>
              <w:rPr>
                <w:sz w:val="10"/>
              </w:rPr>
            </w:pPr>
            <w:r>
              <w:rPr>
                <w:w w:val="105"/>
                <w:sz w:val="10"/>
              </w:rPr>
              <w:t>□社区/企事业单位/村公示栏</w:t>
            </w:r>
          </w:p>
          <w:p>
            <w:pPr>
              <w:pStyle w:val="8"/>
              <w:spacing w:before="5"/>
              <w:ind w:left="62" w:right="31"/>
              <w:jc w:val="center"/>
              <w:rPr>
                <w:sz w:val="10"/>
              </w:rPr>
            </w:pPr>
            <w:r>
              <w:rPr>
                <w:w w:val="105"/>
                <w:sz w:val="10"/>
              </w:rPr>
              <w:t>（电子屏）</w:t>
            </w:r>
          </w:p>
          <w:p>
            <w:pPr>
              <w:pStyle w:val="8"/>
              <w:spacing w:before="5"/>
              <w:ind w:left="61" w:right="31"/>
              <w:jc w:val="center"/>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
              <w:rPr>
                <w:rFonts w:ascii="Times New Roman"/>
                <w:sz w:val="14"/>
              </w:rPr>
            </w:pPr>
          </w:p>
          <w:p>
            <w:pPr>
              <w:pStyle w:val="8"/>
              <w:spacing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2"/>
              <w:ind w:left="35" w:right="3"/>
              <w:jc w:val="center"/>
              <w:rPr>
                <w:sz w:val="10"/>
              </w:rPr>
            </w:pPr>
            <w:r>
              <w:rPr>
                <w:w w:val="105"/>
                <w:sz w:val="10"/>
              </w:rPr>
              <w:t>□政府网站 □政府公报</w:t>
            </w:r>
          </w:p>
          <w:p>
            <w:pPr>
              <w:pStyle w:val="8"/>
              <w:spacing w:before="6"/>
              <w:ind w:left="34" w:right="3"/>
              <w:jc w:val="center"/>
              <w:rPr>
                <w:sz w:val="10"/>
              </w:rPr>
            </w:pPr>
            <w:r>
              <w:rPr>
                <w:w w:val="105"/>
                <w:sz w:val="10"/>
              </w:rPr>
              <w:t>□两微一端 □发布会/听证会</w:t>
            </w:r>
          </w:p>
          <w:p>
            <w:pPr>
              <w:pStyle w:val="8"/>
              <w:spacing w:before="5"/>
              <w:ind w:left="35" w:right="3"/>
              <w:jc w:val="center"/>
              <w:rPr>
                <w:sz w:val="10"/>
              </w:rPr>
            </w:pPr>
            <w:r>
              <w:rPr>
                <w:w w:val="105"/>
                <w:sz w:val="10"/>
              </w:rPr>
              <w:t>□广播电视 □纸质媒体</w:t>
            </w:r>
          </w:p>
          <w:p>
            <w:pPr>
              <w:pStyle w:val="8"/>
              <w:spacing w:before="5"/>
              <w:ind w:left="35" w:right="3"/>
              <w:jc w:val="center"/>
              <w:rPr>
                <w:sz w:val="10"/>
              </w:rPr>
            </w:pPr>
            <w:r>
              <w:rPr>
                <w:w w:val="105"/>
                <w:sz w:val="10"/>
              </w:rPr>
              <w:t>□公开查阅点□政务服务中心</w:t>
            </w:r>
          </w:p>
          <w:p>
            <w:pPr>
              <w:pStyle w:val="8"/>
              <w:spacing w:before="5"/>
              <w:ind w:left="34" w:right="3"/>
              <w:jc w:val="center"/>
              <w:rPr>
                <w:sz w:val="10"/>
              </w:rPr>
            </w:pPr>
            <w:r>
              <w:rPr>
                <w:w w:val="105"/>
                <w:sz w:val="10"/>
              </w:rPr>
              <w:t>□便民服务站 □入户/现场</w:t>
            </w:r>
          </w:p>
          <w:p>
            <w:pPr>
              <w:pStyle w:val="8"/>
              <w:spacing w:before="5" w:line="249" w:lineRule="auto"/>
              <w:ind w:left="36" w:right="3"/>
              <w:jc w:val="center"/>
              <w:rPr>
                <w:sz w:val="10"/>
              </w:rPr>
            </w:pPr>
            <w:r>
              <w:rPr>
                <w:w w:val="105"/>
                <w:sz w:val="10"/>
              </w:rPr>
              <w:t>□社区/企事业单位/村公示栏（电子屏）</w:t>
            </w:r>
          </w:p>
          <w:p>
            <w:pPr>
              <w:pStyle w:val="8"/>
              <w:ind w:left="35" w:right="3"/>
              <w:jc w:val="center"/>
              <w:rPr>
                <w:sz w:val="10"/>
              </w:rPr>
            </w:pPr>
            <w:r>
              <w:rPr>
                <w:w w:val="105"/>
                <w:sz w:val="10"/>
              </w:rPr>
              <w:t>□精准推送 □其他</w:t>
            </w:r>
          </w:p>
        </w:tc>
        <w:tc>
          <w:tcPr>
            <w:tcW w:w="140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1"/>
              <w:rPr>
                <w:rFonts w:ascii="Times New Roman"/>
                <w:sz w:val="11"/>
              </w:rPr>
            </w:pPr>
          </w:p>
          <w:p>
            <w:pPr>
              <w:pStyle w:val="8"/>
              <w:spacing w:line="249" w:lineRule="auto"/>
              <w:ind w:left="657" w:right="32" w:hanging="594"/>
              <w:rPr>
                <w:sz w:val="10"/>
              </w:rPr>
            </w:pPr>
          </w:p>
        </w:tc>
      </w:tr>
    </w:tbl>
    <w:p>
      <w:pPr>
        <w:spacing w:after="0" w:line="249" w:lineRule="auto"/>
        <w:rPr>
          <w:sz w:val="10"/>
        </w:rPr>
        <w:sectPr>
          <w:pgSz w:w="23820" w:h="16840" w:orient="landscape"/>
          <w:pgMar w:top="2040" w:right="780" w:bottom="860" w:left="780" w:header="1644" w:footer="671" w:gutter="0"/>
          <w:cols w:space="720" w:num="1"/>
        </w:sect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1"/>
        <w:gridCol w:w="1008"/>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1"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8"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54" w:right="34"/>
              <w:jc w:val="center"/>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41" w:right="21"/>
              <w:jc w:val="center"/>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1" w:type="dxa"/>
            <w:vMerge w:val="continue"/>
            <w:tcBorders>
              <w:top w:val="nil"/>
            </w:tcBorders>
          </w:tcPr>
          <w:p>
            <w:pPr>
              <w:rPr>
                <w:sz w:val="2"/>
                <w:szCs w:val="2"/>
              </w:rPr>
            </w:pPr>
          </w:p>
        </w:tc>
        <w:tc>
          <w:tcPr>
            <w:tcW w:w="1008"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43" w:right="112"/>
              <w:jc w:val="center"/>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43" w:right="113"/>
              <w:jc w:val="center"/>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01" w:right="71"/>
              <w:jc w:val="center"/>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90" w:right="59"/>
              <w:jc w:val="center"/>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8"/>
              <w:jc w:val="center"/>
              <w:rPr>
                <w:sz w:val="10"/>
              </w:rPr>
            </w:pPr>
            <w:r>
              <w:rPr>
                <w:w w:val="107"/>
                <w:sz w:val="10"/>
              </w:rPr>
              <w:t>6</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57" w:right="34"/>
              <w:jc w:val="center"/>
              <w:rPr>
                <w:sz w:val="10"/>
              </w:rPr>
            </w:pPr>
            <w:r>
              <w:rPr>
                <w:w w:val="105"/>
                <w:sz w:val="10"/>
              </w:rPr>
              <w:t>行政处罚行政强制和行政命令</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3" w:right="13"/>
              <w:jc w:val="center"/>
              <w:rPr>
                <w:sz w:val="10"/>
              </w:rPr>
            </w:pPr>
            <w:r>
              <w:rPr>
                <w:w w:val="105"/>
                <w:sz w:val="10"/>
              </w:rPr>
              <w:t>行政强制流程</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spacing w:before="60" w:line="249" w:lineRule="auto"/>
              <w:ind w:left="20" w:right="6"/>
              <w:rPr>
                <w:sz w:val="10"/>
              </w:rPr>
            </w:pPr>
            <w:r>
              <w:rPr>
                <w:w w:val="105"/>
                <w:sz w:val="10"/>
              </w:rPr>
              <w:t>1、对不处置或不按规定处置危险废物，经责令限期改正且逾期不处置或处置不符合规定的代 为处理                                    2、对其产生的放射性固体废物不按规定进行处置且逾期不改正的强制                      3、对涉嫌违反《医疗废物管理条例》规定的场所、设备、运输工具和物品的查封、暂扣      4、对违规设置的排污口及私设暗管的强制拆除</w:t>
            </w:r>
          </w:p>
          <w:p>
            <w:pPr>
              <w:pStyle w:val="8"/>
              <w:spacing w:before="1"/>
              <w:ind w:left="20"/>
              <w:rPr>
                <w:sz w:val="10"/>
              </w:rPr>
            </w:pPr>
            <w:r>
              <w:rPr>
                <w:w w:val="105"/>
                <w:sz w:val="10"/>
              </w:rPr>
              <w:t>5、对污染物排放的设施、设备的查封、扣押</w:t>
            </w:r>
          </w:p>
          <w:p>
            <w:pPr>
              <w:pStyle w:val="8"/>
              <w:spacing w:before="5" w:line="249" w:lineRule="auto"/>
              <w:ind w:left="20" w:right="6"/>
              <w:rPr>
                <w:sz w:val="10"/>
              </w:rPr>
            </w:pPr>
            <w:r>
              <w:rPr>
                <w:w w:val="105"/>
                <w:sz w:val="10"/>
              </w:rPr>
              <w:t>6、对违反规定造成水污染事故，经责令限期采取治理措施消除污染而不按要求采取治理措施 或不具备治理能力的代为治理</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ind w:left="20"/>
              <w:rPr>
                <w:sz w:val="10"/>
              </w:rPr>
            </w:pPr>
            <w:r>
              <w:rPr>
                <w:w w:val="105"/>
                <w:sz w:val="10"/>
              </w:rPr>
              <w:t>查封、扣押清单；查封</w:t>
            </w:r>
          </w:p>
          <w:p>
            <w:pPr>
              <w:pStyle w:val="8"/>
              <w:spacing w:before="5" w:line="249" w:lineRule="auto"/>
              <w:ind w:left="20" w:right="18"/>
              <w:rPr>
                <w:sz w:val="10"/>
              </w:rPr>
            </w:pPr>
            <w:r>
              <w:rPr>
                <w:w w:val="105"/>
                <w:sz w:val="10"/>
              </w:rPr>
              <w:t>（扣押）</w:t>
            </w:r>
            <w:r>
              <w:rPr>
                <w:spacing w:val="-2"/>
                <w:w w:val="105"/>
                <w:sz w:val="10"/>
              </w:rPr>
              <w:t>延期通知书；解</w:t>
            </w:r>
            <w:r>
              <w:rPr>
                <w:w w:val="105"/>
                <w:sz w:val="10"/>
              </w:rPr>
              <w:t>除查封（扣押）决定书</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19" w:right="1"/>
              <w:rPr>
                <w:sz w:val="10"/>
              </w:rPr>
            </w:pPr>
            <w:r>
              <w:rPr>
                <w:w w:val="105"/>
                <w:sz w:val="10"/>
              </w:rPr>
              <w:t>查封、扣押清单；查封（扣押）延期通知书；解除查封（扣押）决定书</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8" w:line="249" w:lineRule="auto"/>
              <w:ind w:left="20" w:right="26"/>
              <w:rPr>
                <w:sz w:val="10"/>
              </w:rPr>
            </w:pPr>
            <w:r>
              <w:rPr>
                <w:w w:val="105"/>
                <w:sz w:val="10"/>
              </w:rPr>
              <w:t>《环境保护法》、《水污染防治法》、《海洋环境保护法》</w:t>
            </w:r>
          </w:p>
          <w:p>
            <w:pPr>
              <w:pStyle w:val="8"/>
              <w:spacing w:line="249" w:lineRule="auto"/>
              <w:ind w:left="20" w:right="26"/>
              <w:jc w:val="both"/>
              <w:rPr>
                <w:sz w:val="10"/>
              </w:rPr>
            </w:pPr>
            <w:r>
              <w:rPr>
                <w:w w:val="105"/>
                <w:sz w:val="10"/>
              </w:rPr>
              <w:t>、《大气污染防治法》、《环境噪声污染防治法》、《土壤污染防治法》、《固体废物污染环境防治法》、《放射性污染防治法》、《核安全法》、</w:t>
            </w:r>
          </w:p>
          <w:p>
            <w:pPr>
              <w:pStyle w:val="8"/>
              <w:spacing w:before="1" w:line="249" w:lineRule="auto"/>
              <w:ind w:left="20" w:right="26"/>
              <w:jc w:val="both"/>
              <w:rPr>
                <w:sz w:val="10"/>
              </w:rPr>
            </w:pPr>
            <w:r>
              <w:rPr>
                <w:w w:val="105"/>
                <w:sz w:val="10"/>
              </w:rPr>
              <w:t>《环境影响评价法》、《政府信息公开条例》、《环境行政处罚办法》</w:t>
            </w:r>
          </w:p>
        </w:tc>
        <w:tc>
          <w:tcPr>
            <w:tcW w:w="98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37" w:right="9"/>
              <w:jc w:val="center"/>
              <w:rPr>
                <w:sz w:val="10"/>
              </w:rPr>
            </w:pPr>
            <w:r>
              <w:rPr>
                <w:w w:val="105"/>
                <w:sz w:val="10"/>
              </w:rPr>
              <w:t>应自作出行政决定之日起7个工作日内公示</w:t>
            </w:r>
          </w:p>
        </w:tc>
        <w:tc>
          <w:tcPr>
            <w:tcW w:w="100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522" w:type="dxa"/>
          </w:tcPr>
          <w:p>
            <w:pPr>
              <w:pStyle w:val="8"/>
              <w:rPr>
                <w:rFonts w:ascii="Times New Roman"/>
                <w:sz w:val="10"/>
              </w:rPr>
            </w:pPr>
          </w:p>
        </w:tc>
        <w:tc>
          <w:tcPr>
            <w:tcW w:w="75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spacing w:before="1"/>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8"/>
              <w:jc w:val="center"/>
              <w:rPr>
                <w:sz w:val="10"/>
              </w:rPr>
            </w:pPr>
            <w:r>
              <w:rPr>
                <w:w w:val="107"/>
                <w:sz w:val="10"/>
              </w:rPr>
              <w:t>7</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57" w:right="34"/>
              <w:jc w:val="center"/>
              <w:rPr>
                <w:sz w:val="10"/>
              </w:rPr>
            </w:pPr>
            <w:r>
              <w:rPr>
                <w:w w:val="105"/>
                <w:sz w:val="10"/>
              </w:rPr>
              <w:t>行政处罚行政强制和行政命令</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3" w:right="13"/>
              <w:jc w:val="center"/>
              <w:rPr>
                <w:sz w:val="10"/>
              </w:rPr>
            </w:pPr>
            <w:r>
              <w:rPr>
                <w:w w:val="105"/>
                <w:sz w:val="10"/>
              </w:rPr>
              <w:t>行政强制决定</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spacing w:before="60" w:line="249" w:lineRule="auto"/>
              <w:ind w:left="20" w:right="6"/>
              <w:rPr>
                <w:sz w:val="10"/>
              </w:rPr>
            </w:pPr>
            <w:r>
              <w:rPr>
                <w:w w:val="105"/>
                <w:sz w:val="10"/>
              </w:rPr>
              <w:t>1、对不处置或不按规定处置危险废物，经责令限期改正且逾期不处置或处置不符合规定的代 为处理                                    2、对其产生的放射性固体废物不按规定进行处置且逾期不改正的强制                      3、对涉嫌违反《医疗废物管理条例》规定的场所、设备、运输工具和物品的查封、暂扣      4、对违规设置的排污口及私设暗管的强制拆除</w:t>
            </w:r>
          </w:p>
          <w:p>
            <w:pPr>
              <w:pStyle w:val="8"/>
              <w:spacing w:before="1"/>
              <w:ind w:left="20"/>
              <w:rPr>
                <w:sz w:val="10"/>
              </w:rPr>
            </w:pPr>
            <w:r>
              <w:rPr>
                <w:w w:val="105"/>
                <w:sz w:val="10"/>
              </w:rPr>
              <w:t>5、对污染物排放的设施、设备的查封、扣押</w:t>
            </w:r>
          </w:p>
          <w:p>
            <w:pPr>
              <w:pStyle w:val="8"/>
              <w:spacing w:before="5" w:line="249" w:lineRule="auto"/>
              <w:ind w:left="20" w:right="6"/>
              <w:rPr>
                <w:sz w:val="10"/>
              </w:rPr>
            </w:pPr>
            <w:r>
              <w:rPr>
                <w:w w:val="105"/>
                <w:sz w:val="10"/>
              </w:rPr>
              <w:t>6、对违反规定造成水污染事故，经责令限期采取治理措施消除污染而不按要求采取治理措施 或不具备治理能力的代为治理</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0" w:right="18"/>
              <w:rPr>
                <w:sz w:val="10"/>
              </w:rPr>
            </w:pPr>
            <w:r>
              <w:rPr>
                <w:w w:val="105"/>
                <w:sz w:val="10"/>
              </w:rPr>
              <w:t>查封、扣押决定书（全文公开）</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9"/>
              <w:rPr>
                <w:sz w:val="10"/>
              </w:rPr>
            </w:pPr>
            <w:r>
              <w:rPr>
                <w:w w:val="105"/>
                <w:sz w:val="10"/>
              </w:rPr>
              <w:t>查封、扣押决定书</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8" w:line="249" w:lineRule="auto"/>
              <w:ind w:left="20" w:right="26"/>
              <w:rPr>
                <w:sz w:val="10"/>
              </w:rPr>
            </w:pPr>
            <w:r>
              <w:rPr>
                <w:w w:val="105"/>
                <w:sz w:val="10"/>
              </w:rPr>
              <w:t>《环境保护法》、《水污染防治法》、《海洋环境保护法》</w:t>
            </w:r>
          </w:p>
          <w:p>
            <w:pPr>
              <w:pStyle w:val="8"/>
              <w:spacing w:line="249" w:lineRule="auto"/>
              <w:ind w:left="20" w:right="26"/>
              <w:jc w:val="both"/>
              <w:rPr>
                <w:sz w:val="10"/>
              </w:rPr>
            </w:pPr>
            <w:r>
              <w:rPr>
                <w:w w:val="105"/>
                <w:sz w:val="10"/>
              </w:rPr>
              <w:t>、《大气污染防治法》、《环境噪声污染防治法》、《土壤污染防治法》、《固体废物污染环境防治法》、《放射性污染防治法》、《核安全法》、</w:t>
            </w:r>
          </w:p>
          <w:p>
            <w:pPr>
              <w:pStyle w:val="8"/>
              <w:spacing w:before="1" w:line="249" w:lineRule="auto"/>
              <w:ind w:left="20" w:right="26"/>
              <w:jc w:val="both"/>
              <w:rPr>
                <w:sz w:val="10"/>
              </w:rPr>
            </w:pPr>
            <w:r>
              <w:rPr>
                <w:w w:val="105"/>
                <w:sz w:val="10"/>
              </w:rPr>
              <w:t>《环境影响评价法》、《政府信息公开条例》、《环境行政处罚办法》</w:t>
            </w:r>
          </w:p>
        </w:tc>
        <w:tc>
          <w:tcPr>
            <w:tcW w:w="98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1" w:right="79"/>
              <w:jc w:val="both"/>
              <w:rPr>
                <w:sz w:val="10"/>
              </w:rPr>
            </w:pPr>
            <w:r>
              <w:rPr>
                <w:w w:val="105"/>
                <w:sz w:val="10"/>
              </w:rPr>
              <w:t>自该信息形成或者变更之日起20个工作日内</w:t>
            </w:r>
          </w:p>
        </w:tc>
        <w:tc>
          <w:tcPr>
            <w:tcW w:w="100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5"/>
              <w:rPr>
                <w:sz w:val="10"/>
              </w:rPr>
            </w:pPr>
            <w:r>
              <w:rPr>
                <w:w w:val="105"/>
                <w:sz w:val="10"/>
              </w:rPr>
              <w:t>□政府网站 □政府公报</w:t>
            </w:r>
          </w:p>
          <w:p>
            <w:pPr>
              <w:pStyle w:val="8"/>
              <w:spacing w:before="6"/>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4" w:right="71"/>
              <w:rPr>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8"/>
              <w:jc w:val="center"/>
              <w:rPr>
                <w:sz w:val="10"/>
              </w:rPr>
            </w:pPr>
            <w:r>
              <w:rPr>
                <w:w w:val="107"/>
                <w:sz w:val="10"/>
              </w:rPr>
              <w:t>8</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57" w:right="34"/>
              <w:jc w:val="center"/>
              <w:rPr>
                <w:sz w:val="10"/>
              </w:rPr>
            </w:pPr>
            <w:r>
              <w:rPr>
                <w:w w:val="105"/>
                <w:sz w:val="10"/>
              </w:rPr>
              <w:t>行政处罚行政强制和行政命令</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41" w:right="21"/>
              <w:jc w:val="center"/>
              <w:rPr>
                <w:sz w:val="10"/>
              </w:rPr>
            </w:pPr>
            <w:r>
              <w:rPr>
                <w:w w:val="105"/>
                <w:sz w:val="10"/>
              </w:rPr>
              <w:t>行政命令</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spacing w:before="60" w:line="249" w:lineRule="auto"/>
              <w:ind w:left="20" w:right="6"/>
              <w:rPr>
                <w:sz w:val="10"/>
              </w:rPr>
            </w:pPr>
            <w:r>
              <w:rPr>
                <w:w w:val="105"/>
                <w:sz w:val="10"/>
              </w:rPr>
              <w:t>1、对不处置或不按规定处置危险废物，经责令限期改正且逾期不处置或处置不符合规定的代 为处理                                    2、对其产生的放射性固体废物不按规定进行处置且逾期不改正的强制                      3、对涉嫌违反《医疗废物管理条例》规定的场所、设备、运输工具和物品的查封、暂扣      4、对违规设置的排污口及私设暗管的强制拆除</w:t>
            </w:r>
          </w:p>
          <w:p>
            <w:pPr>
              <w:pStyle w:val="8"/>
              <w:spacing w:before="1"/>
              <w:ind w:left="20"/>
              <w:rPr>
                <w:sz w:val="10"/>
              </w:rPr>
            </w:pPr>
            <w:r>
              <w:rPr>
                <w:w w:val="105"/>
                <w:sz w:val="10"/>
              </w:rPr>
              <w:t>5、对污染物排放的设施、设备的查封、扣押</w:t>
            </w:r>
          </w:p>
          <w:p>
            <w:pPr>
              <w:pStyle w:val="8"/>
              <w:spacing w:before="5" w:line="249" w:lineRule="auto"/>
              <w:ind w:left="20" w:right="6"/>
              <w:rPr>
                <w:sz w:val="10"/>
              </w:rPr>
            </w:pPr>
            <w:r>
              <w:rPr>
                <w:w w:val="105"/>
                <w:sz w:val="10"/>
              </w:rPr>
              <w:t>6、对违反规定造成水污染事故，经责令限期采取治理措施消除污染而不按要求采取治理措施 或不具备治理能力的代为治理</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ind w:left="20"/>
              <w:rPr>
                <w:sz w:val="10"/>
              </w:rPr>
            </w:pPr>
            <w:r>
              <w:rPr>
                <w:w w:val="105"/>
                <w:sz w:val="10"/>
              </w:rPr>
              <w:t>责令改正违法行为决定书</w:t>
            </w:r>
          </w:p>
          <w:p>
            <w:pPr>
              <w:pStyle w:val="8"/>
              <w:spacing w:before="5"/>
              <w:ind w:left="20"/>
              <w:rPr>
                <w:sz w:val="10"/>
              </w:rPr>
            </w:pPr>
            <w:r>
              <w:rPr>
                <w:w w:val="105"/>
                <w:sz w:val="10"/>
              </w:rPr>
              <w:t>（全文公开）</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9"/>
              <w:rPr>
                <w:sz w:val="10"/>
              </w:rPr>
            </w:pPr>
            <w:r>
              <w:rPr>
                <w:w w:val="105"/>
                <w:sz w:val="10"/>
              </w:rPr>
              <w:t>责令改正违法行为决定书</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8" w:line="249" w:lineRule="auto"/>
              <w:ind w:left="20" w:right="26"/>
              <w:rPr>
                <w:sz w:val="10"/>
              </w:rPr>
            </w:pPr>
            <w:r>
              <w:rPr>
                <w:w w:val="105"/>
                <w:sz w:val="10"/>
              </w:rPr>
              <w:t>《环境保护法》、《水污染防治法》、《海洋环境保护法》</w:t>
            </w:r>
          </w:p>
          <w:p>
            <w:pPr>
              <w:pStyle w:val="8"/>
              <w:spacing w:line="249" w:lineRule="auto"/>
              <w:ind w:left="20" w:right="26"/>
              <w:jc w:val="both"/>
              <w:rPr>
                <w:sz w:val="10"/>
              </w:rPr>
            </w:pPr>
            <w:r>
              <w:rPr>
                <w:w w:val="105"/>
                <w:sz w:val="10"/>
              </w:rPr>
              <w:t>、《大气污染防治法》、《环境噪声污染防治法》、《土壤污染防治法》、《固体废物污染环境防治法》、《放射性污染防治法》、《核安全法》、</w:t>
            </w:r>
          </w:p>
          <w:p>
            <w:pPr>
              <w:pStyle w:val="8"/>
              <w:spacing w:before="1" w:line="249" w:lineRule="auto"/>
              <w:ind w:left="20" w:right="26"/>
              <w:jc w:val="both"/>
              <w:rPr>
                <w:sz w:val="10"/>
              </w:rPr>
            </w:pPr>
            <w:r>
              <w:rPr>
                <w:w w:val="105"/>
                <w:sz w:val="10"/>
              </w:rPr>
              <w:t>《环境影响评价法》、《政府信息公开条例》、《环境行政处罚办法》</w:t>
            </w:r>
          </w:p>
        </w:tc>
        <w:tc>
          <w:tcPr>
            <w:tcW w:w="98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1" w:right="79"/>
              <w:jc w:val="both"/>
              <w:rPr>
                <w:sz w:val="10"/>
              </w:rPr>
            </w:pPr>
            <w:r>
              <w:rPr>
                <w:w w:val="105"/>
                <w:sz w:val="10"/>
              </w:rPr>
              <w:t>自该信息形成或者变更之日起20个工作日内</w:t>
            </w:r>
          </w:p>
        </w:tc>
        <w:tc>
          <w:tcPr>
            <w:tcW w:w="100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5"/>
              <w:rPr>
                <w:sz w:val="10"/>
              </w:rPr>
            </w:pPr>
            <w:r>
              <w:rPr>
                <w:w w:val="105"/>
                <w:sz w:val="10"/>
              </w:rPr>
              <w:t>□政府网站 □政府公报</w:t>
            </w:r>
          </w:p>
          <w:p>
            <w:pPr>
              <w:pStyle w:val="8"/>
              <w:spacing w:before="6"/>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8"/>
              <w:jc w:val="center"/>
              <w:rPr>
                <w:sz w:val="10"/>
              </w:rPr>
            </w:pPr>
            <w:r>
              <w:rPr>
                <w:w w:val="107"/>
                <w:sz w:val="10"/>
              </w:rPr>
              <w:t>9</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54" w:right="34"/>
              <w:jc w:val="center"/>
              <w:rPr>
                <w:sz w:val="10"/>
              </w:rPr>
            </w:pPr>
            <w:r>
              <w:rPr>
                <w:w w:val="105"/>
                <w:sz w:val="10"/>
              </w:rPr>
              <w:t>行政管理</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41" w:right="21"/>
              <w:jc w:val="center"/>
              <w:rPr>
                <w:sz w:val="10"/>
              </w:rPr>
            </w:pPr>
            <w:r>
              <w:rPr>
                <w:w w:val="105"/>
                <w:sz w:val="10"/>
              </w:rPr>
              <w:t>行政奖励</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862" w:right="28" w:hanging="810"/>
              <w:rPr>
                <w:sz w:val="10"/>
              </w:rPr>
            </w:pPr>
            <w:r>
              <w:rPr>
                <w:w w:val="105"/>
                <w:sz w:val="10"/>
              </w:rPr>
              <w:t>污染源普查突出贡献集体和个人奖励、检举有功人员奖励</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0" w:right="18"/>
              <w:rPr>
                <w:sz w:val="10"/>
              </w:rPr>
            </w:pPr>
            <w:r>
              <w:rPr>
                <w:w w:val="105"/>
                <w:sz w:val="10"/>
              </w:rPr>
              <w:t>奖励办法、奖励公告、奖励决定</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508" w:hanging="486"/>
              <w:rPr>
                <w:sz w:val="10"/>
              </w:rPr>
            </w:pPr>
            <w:r>
              <w:rPr>
                <w:w w:val="105"/>
                <w:sz w:val="10"/>
              </w:rPr>
              <w:t>污染源普查突出贡献集体和个人奖励、检举有功人员奖励公示</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7"/>
              <w:rPr>
                <w:rFonts w:ascii="Times New Roman"/>
                <w:sz w:val="12"/>
              </w:rPr>
            </w:pPr>
          </w:p>
          <w:p>
            <w:pPr>
              <w:pStyle w:val="8"/>
              <w:spacing w:line="249" w:lineRule="auto"/>
              <w:ind w:left="20" w:right="26"/>
              <w:rPr>
                <w:sz w:val="10"/>
              </w:rPr>
            </w:pPr>
            <w:r>
              <w:rPr>
                <w:w w:val="105"/>
                <w:sz w:val="10"/>
              </w:rPr>
              <w:t>《环境保护法》、《水污染防治法》、《海洋环境保护法》</w:t>
            </w:r>
          </w:p>
          <w:p>
            <w:pPr>
              <w:pStyle w:val="8"/>
              <w:spacing w:line="249" w:lineRule="auto"/>
              <w:ind w:left="20" w:right="26"/>
              <w:jc w:val="both"/>
              <w:rPr>
                <w:sz w:val="10"/>
              </w:rPr>
            </w:pPr>
            <w:r>
              <w:rPr>
                <w:w w:val="105"/>
                <w:sz w:val="10"/>
              </w:rPr>
              <w:t>、《大气污染防治法》、《环境噪声污染防治法》、《土壤污染防治法》、《固体废物污染环境防治法》、《放射性污染防治法》、《核安全法》、</w:t>
            </w:r>
          </w:p>
          <w:p>
            <w:pPr>
              <w:pStyle w:val="8"/>
              <w:spacing w:before="1" w:line="249" w:lineRule="auto"/>
              <w:ind w:left="20" w:right="26"/>
              <w:rPr>
                <w:sz w:val="10"/>
              </w:rPr>
            </w:pPr>
            <w:r>
              <w:rPr>
                <w:w w:val="105"/>
                <w:sz w:val="10"/>
              </w:rPr>
              <w:t>《环境影响评价法》、《政府信息公开条例》</w:t>
            </w:r>
          </w:p>
        </w:tc>
        <w:tc>
          <w:tcPr>
            <w:tcW w:w="98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1" w:right="79"/>
              <w:jc w:val="both"/>
              <w:rPr>
                <w:sz w:val="10"/>
              </w:rPr>
            </w:pPr>
            <w:r>
              <w:rPr>
                <w:w w:val="105"/>
                <w:sz w:val="10"/>
              </w:rPr>
              <w:t>自该信息形成或者变更之日起20个工作日内</w:t>
            </w:r>
          </w:p>
        </w:tc>
        <w:tc>
          <w:tcPr>
            <w:tcW w:w="100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rFonts w:hint="eastAsia"/>
                <w:w w:val="105"/>
                <w:sz w:val="10"/>
                <w:lang w:eastAsia="zh-CN"/>
              </w:rPr>
              <w:t>□</w:t>
            </w: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5"/>
              <w:rPr>
                <w:sz w:val="10"/>
              </w:rPr>
            </w:pPr>
            <w:r>
              <w:rPr>
                <w:w w:val="105"/>
                <w:sz w:val="10"/>
              </w:rPr>
              <w:t>□政府网站 □政府公报</w:t>
            </w:r>
          </w:p>
          <w:p>
            <w:pPr>
              <w:pStyle w:val="8"/>
              <w:spacing w:before="6"/>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4" w:right="71"/>
              <w:rPr>
                <w:sz w:val="10"/>
              </w:rPr>
            </w:pPr>
            <w:r>
              <w:rPr>
                <w:w w:val="105"/>
                <w:sz w:val="10"/>
              </w:rPr>
              <w:t>该事项由生态环境部统一公示</w:t>
            </w:r>
          </w:p>
        </w:tc>
      </w:tr>
    </w:tbl>
    <w:p>
      <w:pPr>
        <w:spacing w:after="0"/>
        <w:rPr>
          <w:sz w:val="10"/>
        </w:rPr>
        <w:sectPr>
          <w:pgSz w:w="23820" w:h="16840" w:orient="landscape"/>
          <w:pgMar w:top="2040" w:right="780" w:bottom="860" w:left="780" w:header="1644" w:footer="671" w:gutter="0"/>
          <w:cols w:space="720" w:num="1"/>
        </w:sectPr>
      </w:pPr>
    </w:p>
    <w:p>
      <w:pPr>
        <w:pStyle w:val="2"/>
        <w:rPr>
          <w:rFonts w:ascii="Times New Roman"/>
          <w:sz w:val="9"/>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522"/>
        <w:gridCol w:w="649"/>
        <w:gridCol w:w="731"/>
        <w:gridCol w:w="745"/>
        <w:gridCol w:w="2258"/>
        <w:gridCol w:w="1244"/>
        <w:gridCol w:w="1982"/>
        <w:gridCol w:w="1468"/>
        <w:gridCol w:w="983"/>
        <w:gridCol w:w="1006"/>
        <w:gridCol w:w="626"/>
        <w:gridCol w:w="678"/>
        <w:gridCol w:w="522"/>
        <w:gridCol w:w="752"/>
        <w:gridCol w:w="678"/>
        <w:gridCol w:w="1513"/>
        <w:gridCol w:w="768"/>
        <w:gridCol w:w="1678"/>
        <w:gridCol w:w="140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restart"/>
          </w:tcPr>
          <w:p>
            <w:pPr>
              <w:pStyle w:val="8"/>
              <w:rPr>
                <w:rFonts w:ascii="Times New Roman"/>
                <w:sz w:val="10"/>
              </w:rPr>
            </w:pPr>
          </w:p>
          <w:p>
            <w:pPr>
              <w:pStyle w:val="8"/>
              <w:spacing w:before="7"/>
              <w:rPr>
                <w:rFonts w:ascii="Times New Roman"/>
                <w:sz w:val="13"/>
              </w:rPr>
            </w:pPr>
          </w:p>
          <w:p>
            <w:pPr>
              <w:pStyle w:val="8"/>
              <w:spacing w:before="1"/>
              <w:ind w:left="155"/>
              <w:rPr>
                <w:rFonts w:hint="eastAsia" w:ascii="黑体" w:eastAsia="黑体"/>
                <w:sz w:val="10"/>
              </w:rPr>
            </w:pPr>
            <w:r>
              <w:rPr>
                <w:rFonts w:hint="eastAsia" w:ascii="黑体" w:eastAsia="黑体"/>
                <w:w w:val="105"/>
                <w:sz w:val="10"/>
              </w:rPr>
              <w:t>序号</w:t>
            </w:r>
          </w:p>
        </w:tc>
        <w:tc>
          <w:tcPr>
            <w:tcW w:w="1380" w:type="dxa"/>
            <w:gridSpan w:val="2"/>
          </w:tcPr>
          <w:p>
            <w:pPr>
              <w:pStyle w:val="8"/>
              <w:spacing w:before="2"/>
              <w:rPr>
                <w:rFonts w:ascii="Times New Roman"/>
                <w:sz w:val="9"/>
              </w:rPr>
            </w:pPr>
          </w:p>
          <w:p>
            <w:pPr>
              <w:pStyle w:val="8"/>
              <w:ind w:left="463" w:right="442"/>
              <w:jc w:val="center"/>
              <w:rPr>
                <w:rFonts w:hint="eastAsia" w:ascii="黑体" w:eastAsia="黑体"/>
                <w:sz w:val="10"/>
              </w:rPr>
            </w:pPr>
            <w:r>
              <w:rPr>
                <w:rFonts w:hint="eastAsia" w:ascii="黑体" w:eastAsia="黑体"/>
                <w:w w:val="105"/>
                <w:sz w:val="10"/>
              </w:rPr>
              <w:t>公开事项</w:t>
            </w:r>
          </w:p>
        </w:tc>
        <w:tc>
          <w:tcPr>
            <w:tcW w:w="745" w:type="dxa"/>
            <w:vMerge w:val="restart"/>
          </w:tcPr>
          <w:p>
            <w:pPr>
              <w:pStyle w:val="8"/>
              <w:rPr>
                <w:rFonts w:ascii="Times New Roman"/>
                <w:sz w:val="10"/>
              </w:rPr>
            </w:pPr>
          </w:p>
          <w:p>
            <w:pPr>
              <w:pStyle w:val="8"/>
              <w:spacing w:before="7"/>
              <w:rPr>
                <w:rFonts w:ascii="Times New Roman"/>
                <w:sz w:val="13"/>
              </w:rPr>
            </w:pPr>
          </w:p>
          <w:p>
            <w:pPr>
              <w:pStyle w:val="8"/>
              <w:spacing w:before="1"/>
              <w:ind w:left="159"/>
              <w:rPr>
                <w:rFonts w:hint="eastAsia" w:ascii="黑体" w:eastAsia="黑体"/>
                <w:sz w:val="10"/>
              </w:rPr>
            </w:pPr>
            <w:r>
              <w:rPr>
                <w:rFonts w:hint="eastAsia" w:ascii="黑体" w:eastAsia="黑体"/>
                <w:w w:val="105"/>
                <w:sz w:val="10"/>
              </w:rPr>
              <w:t>事项类型</w:t>
            </w:r>
          </w:p>
        </w:tc>
        <w:tc>
          <w:tcPr>
            <w:tcW w:w="2258" w:type="dxa"/>
            <w:vMerge w:val="restart"/>
          </w:tcPr>
          <w:p>
            <w:pPr>
              <w:pStyle w:val="8"/>
              <w:rPr>
                <w:rFonts w:ascii="Times New Roman"/>
                <w:sz w:val="10"/>
              </w:rPr>
            </w:pPr>
          </w:p>
          <w:p>
            <w:pPr>
              <w:pStyle w:val="8"/>
              <w:spacing w:before="7"/>
              <w:rPr>
                <w:rFonts w:ascii="Times New Roman"/>
                <w:sz w:val="13"/>
              </w:rPr>
            </w:pPr>
          </w:p>
          <w:p>
            <w:pPr>
              <w:pStyle w:val="8"/>
              <w:spacing w:before="1"/>
              <w:ind w:left="484"/>
              <w:rPr>
                <w:rFonts w:hint="eastAsia" w:ascii="黑体" w:eastAsia="黑体"/>
                <w:sz w:val="10"/>
              </w:rPr>
            </w:pPr>
            <w:r>
              <w:rPr>
                <w:rFonts w:hint="eastAsia" w:ascii="黑体" w:eastAsia="黑体"/>
                <w:w w:val="105"/>
                <w:sz w:val="10"/>
              </w:rPr>
              <w:t>对应本级政务服务事项名称</w:t>
            </w:r>
          </w:p>
        </w:tc>
        <w:tc>
          <w:tcPr>
            <w:tcW w:w="1244" w:type="dxa"/>
            <w:vMerge w:val="restart"/>
          </w:tcPr>
          <w:p>
            <w:pPr>
              <w:pStyle w:val="8"/>
              <w:rPr>
                <w:rFonts w:ascii="Times New Roman"/>
                <w:sz w:val="10"/>
              </w:rPr>
            </w:pPr>
          </w:p>
          <w:p>
            <w:pPr>
              <w:pStyle w:val="8"/>
              <w:spacing w:before="7"/>
              <w:rPr>
                <w:rFonts w:ascii="Times New Roman"/>
                <w:sz w:val="13"/>
              </w:rPr>
            </w:pPr>
          </w:p>
          <w:p>
            <w:pPr>
              <w:pStyle w:val="8"/>
              <w:spacing w:before="1"/>
              <w:ind w:left="193"/>
              <w:rPr>
                <w:rFonts w:hint="eastAsia" w:ascii="黑体" w:eastAsia="黑体"/>
                <w:sz w:val="10"/>
              </w:rPr>
            </w:pPr>
            <w:r>
              <w:rPr>
                <w:rFonts w:hint="eastAsia" w:ascii="黑体" w:eastAsia="黑体"/>
                <w:w w:val="105"/>
                <w:sz w:val="10"/>
              </w:rPr>
              <w:t>公开内容（要素）</w:t>
            </w:r>
          </w:p>
        </w:tc>
        <w:tc>
          <w:tcPr>
            <w:tcW w:w="1982" w:type="dxa"/>
            <w:vMerge w:val="restart"/>
          </w:tcPr>
          <w:p>
            <w:pPr>
              <w:pStyle w:val="8"/>
              <w:rPr>
                <w:rFonts w:ascii="Times New Roman"/>
                <w:sz w:val="10"/>
              </w:rPr>
            </w:pPr>
          </w:p>
          <w:p>
            <w:pPr>
              <w:pStyle w:val="8"/>
              <w:spacing w:before="7"/>
              <w:rPr>
                <w:rFonts w:ascii="Times New Roman"/>
                <w:sz w:val="13"/>
              </w:rPr>
            </w:pPr>
          </w:p>
          <w:p>
            <w:pPr>
              <w:pStyle w:val="8"/>
              <w:spacing w:before="1"/>
              <w:ind w:left="670"/>
              <w:rPr>
                <w:rFonts w:hint="eastAsia" w:ascii="黑体" w:eastAsia="黑体"/>
                <w:sz w:val="10"/>
              </w:rPr>
            </w:pPr>
            <w:r>
              <w:rPr>
                <w:rFonts w:hint="eastAsia" w:ascii="黑体" w:eastAsia="黑体"/>
                <w:w w:val="105"/>
                <w:sz w:val="10"/>
              </w:rPr>
              <w:t>公开内容标题</w:t>
            </w:r>
          </w:p>
        </w:tc>
        <w:tc>
          <w:tcPr>
            <w:tcW w:w="1468" w:type="dxa"/>
            <w:vMerge w:val="restart"/>
          </w:tcPr>
          <w:p>
            <w:pPr>
              <w:pStyle w:val="8"/>
              <w:rPr>
                <w:rFonts w:ascii="Times New Roman"/>
                <w:sz w:val="10"/>
              </w:rPr>
            </w:pPr>
            <w:bookmarkStart w:id="0" w:name="_GoBack"/>
            <w:bookmarkEnd w:id="0"/>
          </w:p>
          <w:p>
            <w:pPr>
              <w:pStyle w:val="8"/>
              <w:spacing w:before="7"/>
              <w:rPr>
                <w:rFonts w:ascii="Times New Roman"/>
                <w:sz w:val="13"/>
              </w:rPr>
            </w:pPr>
          </w:p>
          <w:p>
            <w:pPr>
              <w:pStyle w:val="8"/>
              <w:spacing w:before="1"/>
              <w:ind w:left="34" w:right="10"/>
              <w:jc w:val="center"/>
              <w:rPr>
                <w:rFonts w:hint="eastAsia" w:ascii="黑体" w:eastAsia="黑体"/>
                <w:sz w:val="10"/>
              </w:rPr>
            </w:pPr>
            <w:r>
              <w:rPr>
                <w:rFonts w:hint="eastAsia" w:ascii="黑体" w:eastAsia="黑体"/>
                <w:w w:val="105"/>
                <w:sz w:val="10"/>
              </w:rPr>
              <w:t>公开依据</w:t>
            </w:r>
          </w:p>
        </w:tc>
        <w:tc>
          <w:tcPr>
            <w:tcW w:w="983" w:type="dxa"/>
            <w:vMerge w:val="restart"/>
          </w:tcPr>
          <w:p>
            <w:pPr>
              <w:pStyle w:val="8"/>
              <w:rPr>
                <w:rFonts w:ascii="Times New Roman"/>
                <w:sz w:val="10"/>
              </w:rPr>
            </w:pPr>
          </w:p>
          <w:p>
            <w:pPr>
              <w:pStyle w:val="8"/>
              <w:spacing w:before="7"/>
              <w:rPr>
                <w:rFonts w:ascii="Times New Roman"/>
                <w:sz w:val="13"/>
              </w:rPr>
            </w:pPr>
          </w:p>
          <w:p>
            <w:pPr>
              <w:pStyle w:val="8"/>
              <w:spacing w:before="1"/>
              <w:ind w:left="281"/>
              <w:rPr>
                <w:rFonts w:hint="eastAsia" w:ascii="黑体" w:eastAsia="黑体"/>
                <w:sz w:val="10"/>
              </w:rPr>
            </w:pPr>
            <w:r>
              <w:rPr>
                <w:rFonts w:hint="eastAsia" w:ascii="黑体" w:eastAsia="黑体"/>
                <w:w w:val="105"/>
                <w:sz w:val="10"/>
              </w:rPr>
              <w:t>公开时限</w:t>
            </w:r>
          </w:p>
        </w:tc>
        <w:tc>
          <w:tcPr>
            <w:tcW w:w="1006" w:type="dxa"/>
            <w:vMerge w:val="restart"/>
          </w:tcPr>
          <w:p>
            <w:pPr>
              <w:pStyle w:val="8"/>
              <w:rPr>
                <w:rFonts w:ascii="Times New Roman"/>
                <w:sz w:val="10"/>
              </w:rPr>
            </w:pPr>
          </w:p>
          <w:p>
            <w:pPr>
              <w:pStyle w:val="8"/>
              <w:spacing w:before="7"/>
              <w:rPr>
                <w:rFonts w:ascii="Times New Roman"/>
                <w:sz w:val="13"/>
              </w:rPr>
            </w:pPr>
          </w:p>
          <w:p>
            <w:pPr>
              <w:pStyle w:val="8"/>
              <w:spacing w:before="1"/>
              <w:ind w:left="294"/>
              <w:rPr>
                <w:rFonts w:hint="eastAsia" w:ascii="黑体" w:eastAsia="黑体"/>
                <w:sz w:val="10"/>
              </w:rPr>
            </w:pPr>
            <w:r>
              <w:rPr>
                <w:rFonts w:hint="eastAsia" w:ascii="黑体" w:eastAsia="黑体"/>
                <w:w w:val="105"/>
                <w:sz w:val="10"/>
              </w:rPr>
              <w:t>公开主体</w:t>
            </w:r>
          </w:p>
        </w:tc>
        <w:tc>
          <w:tcPr>
            <w:tcW w:w="1304" w:type="dxa"/>
            <w:gridSpan w:val="2"/>
          </w:tcPr>
          <w:p>
            <w:pPr>
              <w:pStyle w:val="8"/>
              <w:spacing w:before="2"/>
              <w:rPr>
                <w:rFonts w:ascii="Times New Roman"/>
                <w:sz w:val="9"/>
              </w:rPr>
            </w:pPr>
          </w:p>
          <w:p>
            <w:pPr>
              <w:pStyle w:val="8"/>
              <w:ind w:left="443"/>
              <w:rPr>
                <w:rFonts w:hint="eastAsia" w:ascii="黑体" w:eastAsia="黑体"/>
                <w:sz w:val="10"/>
              </w:rPr>
            </w:pPr>
            <w:r>
              <w:rPr>
                <w:rFonts w:hint="eastAsia" w:ascii="黑体" w:eastAsia="黑体"/>
                <w:w w:val="105"/>
                <w:sz w:val="10"/>
              </w:rPr>
              <w:t>公开对象</w:t>
            </w:r>
          </w:p>
        </w:tc>
        <w:tc>
          <w:tcPr>
            <w:tcW w:w="1274" w:type="dxa"/>
            <w:gridSpan w:val="2"/>
          </w:tcPr>
          <w:p>
            <w:pPr>
              <w:pStyle w:val="8"/>
              <w:spacing w:before="2"/>
              <w:rPr>
                <w:rFonts w:ascii="Times New Roman"/>
                <w:sz w:val="9"/>
              </w:rPr>
            </w:pPr>
          </w:p>
          <w:p>
            <w:pPr>
              <w:pStyle w:val="8"/>
              <w:ind w:left="429"/>
              <w:rPr>
                <w:rFonts w:hint="eastAsia" w:ascii="黑体" w:eastAsia="黑体"/>
                <w:sz w:val="10"/>
              </w:rPr>
            </w:pPr>
            <w:r>
              <w:rPr>
                <w:rFonts w:hint="eastAsia" w:ascii="黑体" w:eastAsia="黑体"/>
                <w:w w:val="105"/>
                <w:sz w:val="10"/>
              </w:rPr>
              <w:t>公开方式</w:t>
            </w:r>
          </w:p>
        </w:tc>
        <w:tc>
          <w:tcPr>
            <w:tcW w:w="678" w:type="dxa"/>
          </w:tcPr>
          <w:p>
            <w:pPr>
              <w:pStyle w:val="8"/>
              <w:spacing w:before="2"/>
              <w:rPr>
                <w:rFonts w:ascii="Times New Roman"/>
                <w:sz w:val="9"/>
              </w:rPr>
            </w:pPr>
          </w:p>
          <w:p>
            <w:pPr>
              <w:pStyle w:val="8"/>
              <w:ind w:left="90" w:right="60"/>
              <w:jc w:val="center"/>
              <w:rPr>
                <w:rFonts w:hint="eastAsia" w:ascii="黑体" w:eastAsia="黑体"/>
                <w:sz w:val="10"/>
              </w:rPr>
            </w:pPr>
            <w:r>
              <w:rPr>
                <w:rFonts w:hint="eastAsia" w:ascii="黑体" w:eastAsia="黑体"/>
                <w:w w:val="105"/>
                <w:sz w:val="10"/>
              </w:rPr>
              <w:t>公开层级1</w:t>
            </w:r>
          </w:p>
        </w:tc>
        <w:tc>
          <w:tcPr>
            <w:tcW w:w="1513" w:type="dxa"/>
            <w:vMerge w:val="restart"/>
          </w:tcPr>
          <w:p>
            <w:pPr>
              <w:pStyle w:val="8"/>
              <w:rPr>
                <w:rFonts w:ascii="Times New Roman"/>
                <w:sz w:val="10"/>
              </w:rPr>
            </w:pPr>
          </w:p>
          <w:p>
            <w:pPr>
              <w:pStyle w:val="8"/>
              <w:spacing w:before="7"/>
              <w:rPr>
                <w:rFonts w:ascii="Times New Roman"/>
                <w:sz w:val="13"/>
              </w:rPr>
            </w:pPr>
          </w:p>
          <w:p>
            <w:pPr>
              <w:pStyle w:val="8"/>
              <w:spacing w:before="1"/>
              <w:ind w:left="359"/>
              <w:rPr>
                <w:rFonts w:hint="eastAsia" w:ascii="黑体" w:eastAsia="黑体"/>
                <w:sz w:val="10"/>
              </w:rPr>
            </w:pPr>
            <w:r>
              <w:rPr>
                <w:rFonts w:hint="eastAsia" w:ascii="黑体" w:eastAsia="黑体"/>
                <w:w w:val="105"/>
                <w:sz w:val="10"/>
              </w:rPr>
              <w:t>公开渠道和载体1</w:t>
            </w:r>
          </w:p>
        </w:tc>
        <w:tc>
          <w:tcPr>
            <w:tcW w:w="768" w:type="dxa"/>
          </w:tcPr>
          <w:p>
            <w:pPr>
              <w:pStyle w:val="8"/>
              <w:spacing w:before="2"/>
              <w:rPr>
                <w:rFonts w:ascii="Times New Roman"/>
                <w:sz w:val="9"/>
              </w:rPr>
            </w:pPr>
          </w:p>
          <w:p>
            <w:pPr>
              <w:pStyle w:val="8"/>
              <w:ind w:left="64" w:right="35"/>
              <w:jc w:val="center"/>
              <w:rPr>
                <w:rFonts w:hint="eastAsia" w:ascii="黑体" w:eastAsia="黑体"/>
                <w:sz w:val="10"/>
              </w:rPr>
            </w:pPr>
            <w:r>
              <w:rPr>
                <w:rFonts w:hint="eastAsia" w:ascii="黑体" w:eastAsia="黑体"/>
                <w:w w:val="105"/>
                <w:sz w:val="10"/>
              </w:rPr>
              <w:t>公开层级2</w:t>
            </w:r>
          </w:p>
        </w:tc>
        <w:tc>
          <w:tcPr>
            <w:tcW w:w="1678" w:type="dxa"/>
            <w:vMerge w:val="restart"/>
          </w:tcPr>
          <w:p>
            <w:pPr>
              <w:pStyle w:val="8"/>
              <w:rPr>
                <w:rFonts w:ascii="Times New Roman"/>
                <w:sz w:val="10"/>
              </w:rPr>
            </w:pPr>
          </w:p>
          <w:p>
            <w:pPr>
              <w:pStyle w:val="8"/>
              <w:spacing w:before="7"/>
              <w:rPr>
                <w:rFonts w:ascii="Times New Roman"/>
                <w:sz w:val="13"/>
              </w:rPr>
            </w:pPr>
          </w:p>
          <w:p>
            <w:pPr>
              <w:pStyle w:val="8"/>
              <w:spacing w:before="1"/>
              <w:ind w:left="442"/>
              <w:rPr>
                <w:rFonts w:hint="eastAsia" w:ascii="黑体" w:eastAsia="黑体"/>
                <w:sz w:val="10"/>
              </w:rPr>
            </w:pPr>
            <w:r>
              <w:rPr>
                <w:rFonts w:hint="eastAsia" w:ascii="黑体" w:eastAsia="黑体"/>
                <w:w w:val="105"/>
                <w:sz w:val="10"/>
              </w:rPr>
              <w:t>公开渠道和载体2</w:t>
            </w:r>
          </w:p>
        </w:tc>
        <w:tc>
          <w:tcPr>
            <w:tcW w:w="1409" w:type="dxa"/>
            <w:vMerge w:val="restart"/>
          </w:tcPr>
          <w:p>
            <w:pPr>
              <w:pStyle w:val="8"/>
              <w:rPr>
                <w:rFonts w:ascii="Times New Roman"/>
                <w:sz w:val="10"/>
              </w:rPr>
            </w:pPr>
          </w:p>
          <w:p>
            <w:pPr>
              <w:pStyle w:val="8"/>
              <w:spacing w:before="7"/>
              <w:rPr>
                <w:rFonts w:ascii="Times New Roman"/>
                <w:sz w:val="13"/>
              </w:rPr>
            </w:pPr>
          </w:p>
          <w:p>
            <w:pPr>
              <w:pStyle w:val="8"/>
              <w:spacing w:before="1"/>
              <w:ind w:left="586" w:right="557"/>
              <w:jc w:val="center"/>
              <w:rPr>
                <w:rFonts w:hint="eastAsia" w:ascii="黑体" w:eastAsia="黑体"/>
                <w:sz w:val="10"/>
              </w:rPr>
            </w:pPr>
            <w:r>
              <w:rPr>
                <w:rFonts w:hint="eastAsia" w:ascii="黑体" w:eastAsia="黑体"/>
                <w:w w:val="105"/>
                <w:sz w:val="10"/>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18" w:hRule="atLeast"/>
        </w:trPr>
        <w:tc>
          <w:tcPr>
            <w:tcW w:w="522" w:type="dxa"/>
            <w:vMerge w:val="continue"/>
            <w:tcBorders>
              <w:top w:val="nil"/>
            </w:tcBorders>
          </w:tcPr>
          <w:p>
            <w:pPr>
              <w:rPr>
                <w:sz w:val="2"/>
                <w:szCs w:val="2"/>
              </w:rPr>
            </w:pPr>
          </w:p>
        </w:tc>
        <w:tc>
          <w:tcPr>
            <w:tcW w:w="649" w:type="dxa"/>
          </w:tcPr>
          <w:p>
            <w:pPr>
              <w:pStyle w:val="8"/>
              <w:spacing w:before="2"/>
              <w:rPr>
                <w:rFonts w:ascii="Times New Roman"/>
                <w:sz w:val="9"/>
              </w:rPr>
            </w:pPr>
          </w:p>
          <w:p>
            <w:pPr>
              <w:pStyle w:val="8"/>
              <w:ind w:left="54" w:right="34"/>
              <w:jc w:val="center"/>
              <w:rPr>
                <w:rFonts w:hint="eastAsia" w:ascii="黑体" w:eastAsia="黑体"/>
                <w:sz w:val="10"/>
              </w:rPr>
            </w:pPr>
            <w:r>
              <w:rPr>
                <w:rFonts w:hint="eastAsia" w:ascii="黑体" w:eastAsia="黑体"/>
                <w:w w:val="105"/>
                <w:sz w:val="10"/>
              </w:rPr>
              <w:t>一级事项</w:t>
            </w:r>
          </w:p>
        </w:tc>
        <w:tc>
          <w:tcPr>
            <w:tcW w:w="731" w:type="dxa"/>
          </w:tcPr>
          <w:p>
            <w:pPr>
              <w:pStyle w:val="8"/>
              <w:spacing w:before="2"/>
              <w:rPr>
                <w:rFonts w:ascii="Times New Roman"/>
                <w:sz w:val="9"/>
              </w:rPr>
            </w:pPr>
          </w:p>
          <w:p>
            <w:pPr>
              <w:pStyle w:val="8"/>
              <w:ind w:left="41" w:right="21"/>
              <w:jc w:val="center"/>
              <w:rPr>
                <w:rFonts w:hint="eastAsia" w:ascii="黑体" w:eastAsia="黑体"/>
                <w:sz w:val="10"/>
              </w:rPr>
            </w:pPr>
            <w:r>
              <w:rPr>
                <w:rFonts w:hint="eastAsia" w:ascii="黑体" w:eastAsia="黑体"/>
                <w:w w:val="105"/>
                <w:sz w:val="10"/>
              </w:rPr>
              <w:t>二级事项</w:t>
            </w:r>
          </w:p>
        </w:tc>
        <w:tc>
          <w:tcPr>
            <w:tcW w:w="745"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1468"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1006" w:type="dxa"/>
            <w:vMerge w:val="continue"/>
            <w:tcBorders>
              <w:top w:val="nil"/>
            </w:tcBorders>
          </w:tcPr>
          <w:p>
            <w:pPr>
              <w:rPr>
                <w:sz w:val="2"/>
                <w:szCs w:val="2"/>
              </w:rPr>
            </w:pPr>
          </w:p>
        </w:tc>
        <w:tc>
          <w:tcPr>
            <w:tcW w:w="626" w:type="dxa"/>
          </w:tcPr>
          <w:p>
            <w:pPr>
              <w:pStyle w:val="8"/>
              <w:spacing w:before="2"/>
              <w:rPr>
                <w:rFonts w:ascii="Times New Roman"/>
                <w:sz w:val="9"/>
              </w:rPr>
            </w:pPr>
          </w:p>
          <w:p>
            <w:pPr>
              <w:pStyle w:val="8"/>
              <w:ind w:left="143" w:right="112"/>
              <w:jc w:val="center"/>
              <w:rPr>
                <w:rFonts w:hint="eastAsia" w:ascii="黑体" w:eastAsia="黑体"/>
                <w:sz w:val="10"/>
              </w:rPr>
            </w:pPr>
            <w:r>
              <w:rPr>
                <w:rFonts w:hint="eastAsia" w:ascii="黑体" w:eastAsia="黑体"/>
                <w:w w:val="105"/>
                <w:sz w:val="10"/>
              </w:rPr>
              <w:t>全社会</w:t>
            </w:r>
          </w:p>
        </w:tc>
        <w:tc>
          <w:tcPr>
            <w:tcW w:w="678" w:type="dxa"/>
          </w:tcPr>
          <w:p>
            <w:pPr>
              <w:pStyle w:val="8"/>
              <w:spacing w:before="2"/>
              <w:rPr>
                <w:rFonts w:ascii="Times New Roman"/>
                <w:sz w:val="9"/>
              </w:rPr>
            </w:pPr>
          </w:p>
          <w:p>
            <w:pPr>
              <w:pStyle w:val="8"/>
              <w:ind w:left="130"/>
              <w:rPr>
                <w:rFonts w:hint="eastAsia" w:ascii="黑体" w:eastAsia="黑体"/>
                <w:sz w:val="10"/>
              </w:rPr>
            </w:pPr>
            <w:r>
              <w:rPr>
                <w:rFonts w:hint="eastAsia" w:ascii="黑体" w:eastAsia="黑体"/>
                <w:w w:val="105"/>
                <w:sz w:val="10"/>
              </w:rPr>
              <w:t>特定群众</w:t>
            </w:r>
          </w:p>
        </w:tc>
        <w:tc>
          <w:tcPr>
            <w:tcW w:w="522" w:type="dxa"/>
          </w:tcPr>
          <w:p>
            <w:pPr>
              <w:pStyle w:val="8"/>
              <w:spacing w:before="2"/>
              <w:rPr>
                <w:rFonts w:ascii="Times New Roman"/>
                <w:sz w:val="9"/>
              </w:rPr>
            </w:pPr>
          </w:p>
          <w:p>
            <w:pPr>
              <w:pStyle w:val="8"/>
              <w:ind w:left="143" w:right="113"/>
              <w:jc w:val="center"/>
              <w:rPr>
                <w:rFonts w:hint="eastAsia" w:ascii="黑体" w:eastAsia="黑体"/>
                <w:sz w:val="10"/>
              </w:rPr>
            </w:pPr>
            <w:r>
              <w:rPr>
                <w:rFonts w:hint="eastAsia" w:ascii="黑体" w:eastAsia="黑体"/>
                <w:w w:val="105"/>
                <w:sz w:val="10"/>
              </w:rPr>
              <w:t>主动</w:t>
            </w:r>
          </w:p>
        </w:tc>
        <w:tc>
          <w:tcPr>
            <w:tcW w:w="752" w:type="dxa"/>
          </w:tcPr>
          <w:p>
            <w:pPr>
              <w:pStyle w:val="8"/>
              <w:spacing w:before="2"/>
              <w:rPr>
                <w:rFonts w:ascii="Times New Roman"/>
                <w:sz w:val="9"/>
              </w:rPr>
            </w:pPr>
          </w:p>
          <w:p>
            <w:pPr>
              <w:pStyle w:val="8"/>
              <w:ind w:left="113"/>
              <w:rPr>
                <w:rFonts w:hint="eastAsia" w:ascii="黑体" w:eastAsia="黑体"/>
                <w:sz w:val="10"/>
              </w:rPr>
            </w:pPr>
            <w:r>
              <w:rPr>
                <w:rFonts w:hint="eastAsia" w:ascii="黑体" w:eastAsia="黑体"/>
                <w:w w:val="105"/>
                <w:sz w:val="10"/>
              </w:rPr>
              <w:t>依申请公开</w:t>
            </w:r>
          </w:p>
        </w:tc>
        <w:tc>
          <w:tcPr>
            <w:tcW w:w="678" w:type="dxa"/>
          </w:tcPr>
          <w:p>
            <w:pPr>
              <w:pStyle w:val="8"/>
              <w:spacing w:before="2"/>
              <w:rPr>
                <w:rFonts w:ascii="Times New Roman"/>
                <w:sz w:val="9"/>
              </w:rPr>
            </w:pPr>
          </w:p>
          <w:p>
            <w:pPr>
              <w:pStyle w:val="8"/>
              <w:ind w:left="90" w:right="59"/>
              <w:jc w:val="center"/>
              <w:rPr>
                <w:rFonts w:hint="eastAsia" w:ascii="黑体" w:eastAsia="黑体"/>
                <w:sz w:val="10"/>
              </w:rPr>
            </w:pPr>
            <w:r>
              <w:rPr>
                <w:rFonts w:hint="eastAsia" w:ascii="黑体" w:eastAsia="黑体"/>
                <w:w w:val="105"/>
                <w:sz w:val="10"/>
              </w:rPr>
              <w:t>县级</w:t>
            </w:r>
          </w:p>
        </w:tc>
        <w:tc>
          <w:tcPr>
            <w:tcW w:w="1513" w:type="dxa"/>
            <w:vMerge w:val="continue"/>
            <w:tcBorders>
              <w:top w:val="nil"/>
            </w:tcBorders>
          </w:tcPr>
          <w:p>
            <w:pPr>
              <w:rPr>
                <w:sz w:val="2"/>
                <w:szCs w:val="2"/>
              </w:rPr>
            </w:pPr>
          </w:p>
        </w:tc>
        <w:tc>
          <w:tcPr>
            <w:tcW w:w="768" w:type="dxa"/>
          </w:tcPr>
          <w:p>
            <w:pPr>
              <w:pStyle w:val="8"/>
              <w:spacing w:before="2"/>
              <w:rPr>
                <w:rFonts w:ascii="Times New Roman"/>
                <w:sz w:val="9"/>
              </w:rPr>
            </w:pPr>
          </w:p>
          <w:p>
            <w:pPr>
              <w:pStyle w:val="8"/>
              <w:ind w:left="65" w:right="35"/>
              <w:jc w:val="center"/>
              <w:rPr>
                <w:rFonts w:hint="eastAsia" w:ascii="黑体" w:eastAsia="黑体"/>
                <w:sz w:val="10"/>
              </w:rPr>
            </w:pPr>
            <w:r>
              <w:rPr>
                <w:rFonts w:hint="eastAsia" w:ascii="黑体" w:eastAsia="黑体"/>
                <w:w w:val="105"/>
                <w:sz w:val="10"/>
              </w:rPr>
              <w:t>乡级</w:t>
            </w:r>
          </w:p>
        </w:tc>
        <w:tc>
          <w:tcPr>
            <w:tcW w:w="1678" w:type="dxa"/>
            <w:vMerge w:val="continue"/>
            <w:tcBorders>
              <w:top w:val="nil"/>
            </w:tcBorders>
          </w:tcPr>
          <w:p>
            <w:pPr>
              <w:rPr>
                <w:sz w:val="2"/>
                <w:szCs w:val="2"/>
              </w:rPr>
            </w:pPr>
          </w:p>
        </w:tc>
        <w:tc>
          <w:tcPr>
            <w:tcW w:w="1409"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33" w:right="113"/>
              <w:jc w:val="center"/>
              <w:rPr>
                <w:rFonts w:hint="eastAsia" w:eastAsia="宋体"/>
                <w:sz w:val="10"/>
                <w:lang w:val="en-US" w:eastAsia="zh-CN"/>
              </w:rPr>
            </w:pPr>
            <w:r>
              <w:rPr>
                <w:w w:val="105"/>
                <w:sz w:val="10"/>
              </w:rPr>
              <w:t>1</w:t>
            </w:r>
            <w:r>
              <w:rPr>
                <w:rFonts w:hint="eastAsia"/>
                <w:w w:val="105"/>
                <w:sz w:val="10"/>
                <w:lang w:val="en-US" w:eastAsia="zh-CN"/>
              </w:rPr>
              <w:t>0</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54" w:right="34"/>
              <w:jc w:val="center"/>
              <w:rPr>
                <w:sz w:val="10"/>
              </w:rPr>
            </w:pPr>
            <w:r>
              <w:rPr>
                <w:w w:val="105"/>
                <w:sz w:val="10"/>
              </w:rPr>
              <w:t>行政管理</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06" w:right="21" w:hanging="162"/>
              <w:rPr>
                <w:sz w:val="10"/>
              </w:rPr>
            </w:pPr>
            <w:r>
              <w:rPr>
                <w:w w:val="105"/>
                <w:sz w:val="10"/>
              </w:rPr>
              <w:t>行政裁决和行政调解</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spacing w:line="249" w:lineRule="auto"/>
              <w:ind w:left="20" w:right="6"/>
              <w:rPr>
                <w:sz w:val="10"/>
              </w:rPr>
            </w:pPr>
            <w:r>
              <w:rPr>
                <w:w w:val="105"/>
                <w:sz w:val="10"/>
              </w:rPr>
              <w:t>1、对因水污染引起的损害赔偿责任和赔偿金额的纠纷，可以根据当事人的请求，进行调解。  2、对因环境噪声污染造成损失引起的赔偿责任和赔偿金额的纠纷，可以根据当事人的请求， 进行调解。                                3、因土壤污染引起的民事纠纷，当事人可以向地方人民政府生态环境等主管部门申请调解处 理。</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0" w:right="18"/>
              <w:jc w:val="both"/>
              <w:rPr>
                <w:sz w:val="10"/>
              </w:rPr>
            </w:pPr>
            <w:r>
              <w:rPr>
                <w:w w:val="105"/>
                <w:sz w:val="10"/>
              </w:rPr>
              <w:t>运行环节：受理、审理、裁决或调解、执行；责任事项</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1"/>
              <w:jc w:val="center"/>
              <w:rPr>
                <w:sz w:val="10"/>
              </w:rPr>
            </w:pPr>
            <w:r>
              <w:rPr>
                <w:w w:val="105"/>
                <w:sz w:val="10"/>
              </w:rPr>
              <w:t>环境污染行政调解公示</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2"/>
              <w:rPr>
                <w:rFonts w:ascii="Times New Roman"/>
                <w:sz w:val="14"/>
              </w:rPr>
            </w:pPr>
          </w:p>
          <w:p>
            <w:pPr>
              <w:pStyle w:val="8"/>
              <w:spacing w:before="1" w:line="249" w:lineRule="auto"/>
              <w:ind w:left="20" w:right="26"/>
              <w:rPr>
                <w:sz w:val="10"/>
              </w:rPr>
            </w:pPr>
            <w:r>
              <w:rPr>
                <w:w w:val="105"/>
                <w:sz w:val="10"/>
              </w:rPr>
              <w:t>《环境保护法》、《水污染防治法》、《海洋环境保护法》</w:t>
            </w:r>
          </w:p>
          <w:p>
            <w:pPr>
              <w:pStyle w:val="8"/>
              <w:spacing w:line="249" w:lineRule="auto"/>
              <w:ind w:left="20" w:right="26"/>
              <w:jc w:val="both"/>
              <w:rPr>
                <w:sz w:val="10"/>
              </w:rPr>
            </w:pPr>
            <w:r>
              <w:rPr>
                <w:w w:val="105"/>
                <w:sz w:val="10"/>
              </w:rPr>
              <w:t>、《噪声污染防治法》、《土壤污染防治法》、《固体废物污染环境防治法》、《政府信息公开条例》、《关于全面推进政务公开工作的意见》</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1" w:right="79"/>
              <w:jc w:val="both"/>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4"/>
              <w:rPr>
                <w:sz w:val="10"/>
              </w:rPr>
            </w:pPr>
            <w:r>
              <w:rPr>
                <w:w w:val="105"/>
                <w:sz w:val="10"/>
              </w:rPr>
              <w:t>■政府网站 □政府公报</w:t>
            </w:r>
          </w:p>
          <w:p>
            <w:pPr>
              <w:pStyle w:val="8"/>
              <w:spacing w:before="6"/>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ind w:left="25"/>
              <w:rPr>
                <w:sz w:val="10"/>
              </w:rPr>
            </w:pPr>
            <w:r>
              <w:rPr>
                <w:w w:val="105"/>
                <w:sz w:val="10"/>
              </w:rPr>
              <w:t>□政府网站 □政府公报</w:t>
            </w:r>
          </w:p>
          <w:p>
            <w:pPr>
              <w:pStyle w:val="8"/>
              <w:spacing w:before="6"/>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133" w:right="113"/>
              <w:jc w:val="center"/>
              <w:rPr>
                <w:rFonts w:hint="default" w:eastAsia="宋体"/>
                <w:sz w:val="10"/>
                <w:lang w:val="en-US" w:eastAsia="zh-CN"/>
              </w:rPr>
            </w:pPr>
            <w:r>
              <w:rPr>
                <w:rFonts w:hint="eastAsia"/>
                <w:w w:val="105"/>
                <w:sz w:val="10"/>
                <w:lang w:val="en-US" w:eastAsia="zh-CN"/>
              </w:rPr>
              <w:t>11</w:t>
            </w:r>
          </w:p>
        </w:tc>
        <w:tc>
          <w:tcPr>
            <w:tcW w:w="649"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54" w:right="34"/>
              <w:jc w:val="center"/>
              <w:rPr>
                <w:sz w:val="10"/>
              </w:rPr>
            </w:pPr>
            <w:r>
              <w:rPr>
                <w:w w:val="105"/>
                <w:sz w:val="10"/>
              </w:rPr>
              <w:t>行政管理</w:t>
            </w:r>
          </w:p>
        </w:tc>
        <w:tc>
          <w:tcPr>
            <w:tcW w:w="731"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41" w:right="21"/>
              <w:jc w:val="center"/>
              <w:rPr>
                <w:sz w:val="10"/>
              </w:rPr>
            </w:pPr>
            <w:r>
              <w:rPr>
                <w:w w:val="105"/>
                <w:sz w:val="10"/>
              </w:rPr>
              <w:t>行政给付</w:t>
            </w:r>
          </w:p>
        </w:tc>
        <w:tc>
          <w:tcPr>
            <w:tcW w:w="745"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67" w:right="28" w:hanging="216"/>
              <w:rPr>
                <w:sz w:val="10"/>
              </w:rPr>
            </w:pPr>
            <w:r>
              <w:rPr>
                <w:w w:val="105"/>
                <w:sz w:val="10"/>
              </w:rPr>
              <w:t>基于政务服务事项</w:t>
            </w:r>
          </w:p>
        </w:tc>
        <w:tc>
          <w:tcPr>
            <w:tcW w:w="225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12" w:right="190"/>
              <w:jc w:val="center"/>
              <w:rPr>
                <w:sz w:val="10"/>
              </w:rPr>
            </w:pPr>
            <w:r>
              <w:rPr>
                <w:w w:val="105"/>
                <w:sz w:val="10"/>
              </w:rPr>
              <w:t>排污权有偿使用费收缴</w:t>
            </w:r>
          </w:p>
        </w:tc>
        <w:tc>
          <w:tcPr>
            <w:tcW w:w="1244"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0" w:right="18"/>
              <w:jc w:val="both"/>
              <w:rPr>
                <w:sz w:val="10"/>
              </w:rPr>
            </w:pPr>
            <w:r>
              <w:rPr>
                <w:w w:val="105"/>
                <w:sz w:val="10"/>
              </w:rPr>
              <w:t>运行环节：受理、审查、决定、给付、事后监管； 责任事项</w:t>
            </w:r>
          </w:p>
        </w:tc>
        <w:tc>
          <w:tcPr>
            <w:tcW w:w="198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1"/>
              <w:jc w:val="center"/>
              <w:rPr>
                <w:sz w:val="10"/>
              </w:rPr>
            </w:pPr>
            <w:r>
              <w:rPr>
                <w:w w:val="105"/>
                <w:sz w:val="10"/>
              </w:rPr>
              <w:t>排污权有偿使用费收缴公示</w:t>
            </w:r>
          </w:p>
        </w:tc>
        <w:tc>
          <w:tcPr>
            <w:tcW w:w="14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0" w:right="26"/>
              <w:jc w:val="both"/>
              <w:rPr>
                <w:sz w:val="10"/>
              </w:rPr>
            </w:pPr>
            <w:r>
              <w:rPr>
                <w:w w:val="105"/>
                <w:sz w:val="10"/>
              </w:rPr>
              <w:t>《政府信息公开条例》、《关于全面推进政务公开工作的意见》</w:t>
            </w:r>
          </w:p>
        </w:tc>
        <w:tc>
          <w:tcPr>
            <w:tcW w:w="98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85" w:line="249" w:lineRule="auto"/>
              <w:ind w:left="21" w:right="79"/>
              <w:jc w:val="both"/>
              <w:rPr>
                <w:sz w:val="10"/>
              </w:rPr>
            </w:pPr>
            <w:r>
              <w:rPr>
                <w:w w:val="105"/>
                <w:sz w:val="10"/>
              </w:rPr>
              <w:t>自该信息形成或者变更之日起20个工作日内</w:t>
            </w:r>
          </w:p>
        </w:tc>
        <w:tc>
          <w:tcPr>
            <w:tcW w:w="100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13"/>
              </w:rPr>
            </w:pPr>
          </w:p>
          <w:p>
            <w:pPr>
              <w:pStyle w:val="8"/>
              <w:spacing w:line="249" w:lineRule="auto"/>
              <w:ind w:left="23" w:right="-15"/>
              <w:rPr>
                <w:sz w:val="10"/>
              </w:rPr>
            </w:pPr>
            <w:r>
              <w:rPr>
                <w:rFonts w:hint="eastAsia"/>
                <w:w w:val="105"/>
                <w:sz w:val="10"/>
                <w:lang w:eastAsia="zh-CN"/>
              </w:rPr>
              <w:t>湘西土家族苗族自治州生态环境局龙山分局</w:t>
            </w:r>
          </w:p>
        </w:tc>
        <w:tc>
          <w:tcPr>
            <w:tcW w:w="626"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678" w:type="dxa"/>
          </w:tcPr>
          <w:p>
            <w:pPr>
              <w:pStyle w:val="8"/>
              <w:rPr>
                <w:rFonts w:ascii="Times New Roman"/>
                <w:sz w:val="10"/>
              </w:rPr>
            </w:pPr>
          </w:p>
        </w:tc>
        <w:tc>
          <w:tcPr>
            <w:tcW w:w="522"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29"/>
              <w:jc w:val="center"/>
              <w:rPr>
                <w:sz w:val="10"/>
              </w:rPr>
            </w:pPr>
            <w:r>
              <w:rPr>
                <w:w w:val="107"/>
                <w:sz w:val="10"/>
              </w:rPr>
              <w:t>√</w:t>
            </w:r>
          </w:p>
        </w:tc>
        <w:tc>
          <w:tcPr>
            <w:tcW w:w="752" w:type="dxa"/>
          </w:tcPr>
          <w:p>
            <w:pPr>
              <w:pStyle w:val="8"/>
              <w:rPr>
                <w:rFonts w:ascii="Times New Roman"/>
                <w:sz w:val="10"/>
              </w:rPr>
            </w:pPr>
          </w:p>
        </w:tc>
        <w:tc>
          <w:tcPr>
            <w:tcW w:w="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9"/>
              </w:rPr>
            </w:pPr>
          </w:p>
          <w:p>
            <w:pPr>
              <w:pStyle w:val="8"/>
              <w:ind w:left="30"/>
              <w:jc w:val="center"/>
              <w:rPr>
                <w:sz w:val="10"/>
              </w:rPr>
            </w:pPr>
            <w:r>
              <w:rPr>
                <w:w w:val="107"/>
                <w:sz w:val="10"/>
              </w:rPr>
              <w:t>√</w:t>
            </w:r>
          </w:p>
        </w:tc>
        <w:tc>
          <w:tcPr>
            <w:tcW w:w="1513"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spacing w:before="1"/>
              <w:ind w:left="24"/>
              <w:rPr>
                <w:sz w:val="10"/>
              </w:rPr>
            </w:pPr>
            <w:r>
              <w:rPr>
                <w:w w:val="105"/>
                <w:sz w:val="10"/>
              </w:rPr>
              <w:t>■政府网站 □政府公报</w:t>
            </w:r>
          </w:p>
          <w:p>
            <w:pPr>
              <w:pStyle w:val="8"/>
              <w:spacing w:before="5"/>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5"/>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rPr>
                <w:sz w:val="10"/>
              </w:rPr>
            </w:pPr>
            <w:r>
              <w:rPr>
                <w:w w:val="105"/>
                <w:sz w:val="10"/>
              </w:rPr>
              <w:t>□精准推送 □其他</w:t>
            </w:r>
          </w:p>
        </w:tc>
        <w:tc>
          <w:tcPr>
            <w:tcW w:w="76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7" w:line="249" w:lineRule="auto"/>
              <w:ind w:left="67" w:right="35"/>
              <w:jc w:val="center"/>
              <w:rPr>
                <w:sz w:val="10"/>
              </w:rPr>
            </w:pPr>
            <w:r>
              <w:rPr>
                <w:w w:val="105"/>
                <w:sz w:val="10"/>
              </w:rPr>
              <w:t>各区县（市） 政府组织下辖乡镇（街道） 据实梳理、填报</w:t>
            </w:r>
          </w:p>
        </w:tc>
        <w:tc>
          <w:tcPr>
            <w:tcW w:w="1678" w:type="dxa"/>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4"/>
              <w:rPr>
                <w:rFonts w:ascii="Times New Roman"/>
                <w:sz w:val="8"/>
              </w:rPr>
            </w:pPr>
          </w:p>
          <w:p>
            <w:pPr>
              <w:pStyle w:val="8"/>
              <w:spacing w:before="1"/>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5"/>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rPr>
                <w:sz w:val="10"/>
              </w:rPr>
            </w:pPr>
            <w:r>
              <w:rPr>
                <w:w w:val="105"/>
                <w:sz w:val="10"/>
              </w:rPr>
              <w:t>□精准推送 □其他</w:t>
            </w:r>
          </w:p>
        </w:tc>
        <w:tc>
          <w:tcPr>
            <w:tcW w:w="1409" w:type="dxa"/>
          </w:tcPr>
          <w:p>
            <w:pPr>
              <w:pStyle w:val="8"/>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55" w:hRule="atLeast"/>
        </w:trPr>
        <w:tc>
          <w:tcPr>
            <w:tcW w:w="522"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5"/>
              <w:rPr>
                <w:rFonts w:ascii="Times New Roman"/>
                <w:sz w:val="11"/>
              </w:rPr>
            </w:pPr>
          </w:p>
          <w:p>
            <w:pPr>
              <w:pStyle w:val="8"/>
              <w:ind w:left="133" w:leftChars="0" w:right="113" w:rightChars="0"/>
              <w:jc w:val="center"/>
              <w:rPr>
                <w:rFonts w:hint="default" w:eastAsia="宋体"/>
                <w:w w:val="105"/>
                <w:sz w:val="10"/>
                <w:lang w:val="en-US" w:eastAsia="zh-CN"/>
              </w:rPr>
            </w:pPr>
            <w:r>
              <w:rPr>
                <w:rFonts w:hint="eastAsia"/>
                <w:w w:val="105"/>
                <w:sz w:val="10"/>
                <w:lang w:val="en-US" w:eastAsia="zh-CN"/>
              </w:rPr>
              <w:t>12</w:t>
            </w:r>
          </w:p>
        </w:tc>
        <w:tc>
          <w:tcPr>
            <w:tcW w:w="649"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6" w:line="249" w:lineRule="auto"/>
              <w:ind w:left="273" w:leftChars="0" w:right="34" w:rightChars="0" w:hanging="216" w:firstLineChars="0"/>
              <w:rPr>
                <w:w w:val="105"/>
                <w:sz w:val="10"/>
              </w:rPr>
            </w:pPr>
            <w:r>
              <w:rPr>
                <w:w w:val="105"/>
                <w:sz w:val="10"/>
              </w:rPr>
              <w:t>公共服务事项</w:t>
            </w:r>
          </w:p>
        </w:tc>
        <w:tc>
          <w:tcPr>
            <w:tcW w:w="731"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6" w:line="249" w:lineRule="auto"/>
              <w:ind w:left="152" w:leftChars="0" w:right="21" w:rightChars="0" w:hanging="108" w:firstLineChars="0"/>
              <w:rPr>
                <w:w w:val="105"/>
                <w:sz w:val="10"/>
              </w:rPr>
            </w:pPr>
            <w:r>
              <w:rPr>
                <w:w w:val="105"/>
                <w:sz w:val="10"/>
              </w:rPr>
              <w:t>生态环境质量信息发布</w:t>
            </w:r>
          </w:p>
        </w:tc>
        <w:tc>
          <w:tcPr>
            <w:tcW w:w="745"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6" w:line="249" w:lineRule="auto"/>
              <w:ind w:left="321" w:leftChars="0" w:right="28" w:rightChars="0" w:hanging="270" w:firstLineChars="0"/>
              <w:rPr>
                <w:w w:val="105"/>
                <w:sz w:val="10"/>
              </w:rPr>
            </w:pPr>
            <w:r>
              <w:rPr>
                <w:w w:val="105"/>
                <w:sz w:val="10"/>
              </w:rPr>
              <w:t>非政务服务事项</w:t>
            </w:r>
          </w:p>
        </w:tc>
        <w:tc>
          <w:tcPr>
            <w:tcW w:w="2258"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5"/>
              <w:rPr>
                <w:rFonts w:ascii="Times New Roman"/>
                <w:sz w:val="11"/>
              </w:rPr>
            </w:pPr>
          </w:p>
          <w:p>
            <w:pPr>
              <w:pStyle w:val="8"/>
              <w:ind w:left="212" w:leftChars="0" w:right="190" w:rightChars="0"/>
              <w:jc w:val="center"/>
              <w:rPr>
                <w:w w:val="105"/>
                <w:sz w:val="10"/>
              </w:rPr>
            </w:pPr>
            <w:r>
              <w:rPr>
                <w:w w:val="105"/>
                <w:sz w:val="10"/>
              </w:rPr>
              <w:t>生态环境质量信息发布</w:t>
            </w:r>
          </w:p>
        </w:tc>
        <w:tc>
          <w:tcPr>
            <w:tcW w:w="1244" w:type="dxa"/>
            <w:vAlign w:val="top"/>
          </w:tcPr>
          <w:p>
            <w:pPr>
              <w:pStyle w:val="8"/>
              <w:rPr>
                <w:rFonts w:ascii="Times New Roman"/>
                <w:sz w:val="10"/>
              </w:rPr>
            </w:pPr>
          </w:p>
          <w:p>
            <w:pPr>
              <w:pStyle w:val="8"/>
              <w:rPr>
                <w:rFonts w:ascii="Times New Roman"/>
                <w:sz w:val="10"/>
              </w:rPr>
            </w:pPr>
          </w:p>
          <w:p>
            <w:pPr>
              <w:pStyle w:val="8"/>
              <w:spacing w:before="3"/>
              <w:rPr>
                <w:rFonts w:ascii="Times New Roman"/>
                <w:sz w:val="9"/>
              </w:rPr>
            </w:pPr>
          </w:p>
          <w:p>
            <w:pPr>
              <w:pStyle w:val="8"/>
              <w:spacing w:line="249" w:lineRule="auto"/>
              <w:ind w:left="20" w:right="18"/>
              <w:jc w:val="both"/>
              <w:rPr>
                <w:sz w:val="10"/>
              </w:rPr>
            </w:pPr>
            <w:r>
              <w:rPr>
                <w:w w:val="105"/>
                <w:sz w:val="10"/>
              </w:rPr>
              <w:t>水环境质量信息（地表水监测结果和集中式生活饮用水水源水质状况报</w:t>
            </w:r>
          </w:p>
          <w:p>
            <w:pPr>
              <w:pStyle w:val="8"/>
              <w:spacing w:before="1"/>
              <w:ind w:left="20"/>
              <w:rPr>
                <w:sz w:val="10"/>
              </w:rPr>
            </w:pPr>
            <w:r>
              <w:rPr>
                <w:w w:val="105"/>
                <w:sz w:val="10"/>
              </w:rPr>
              <w:t>告）；实时空气质量指数</w:t>
            </w:r>
          </w:p>
          <w:p>
            <w:pPr>
              <w:pStyle w:val="8"/>
              <w:spacing w:before="6" w:line="249" w:lineRule="auto"/>
              <w:ind w:left="20" w:leftChars="0" w:right="14" w:rightChars="0"/>
              <w:jc w:val="both"/>
              <w:rPr>
                <w:w w:val="105"/>
                <w:sz w:val="10"/>
              </w:rPr>
            </w:pPr>
            <w:r>
              <w:rPr>
                <w:w w:val="105"/>
                <w:sz w:val="10"/>
              </w:rPr>
              <w:t>（AQI）和PM2.5浓度；声环境功能区监测结果（包括声环境功能区类别、监测点位、执行标准、监测结果）；其他环境质量信息</w:t>
            </w:r>
          </w:p>
        </w:tc>
        <w:tc>
          <w:tcPr>
            <w:tcW w:w="1982"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6"/>
              <w:ind w:left="21"/>
              <w:jc w:val="center"/>
              <w:rPr>
                <w:sz w:val="10"/>
              </w:rPr>
            </w:pPr>
            <w:r>
              <w:rPr>
                <w:w w:val="105"/>
                <w:sz w:val="10"/>
              </w:rPr>
              <w:t>1、地表水监测数据报表</w:t>
            </w:r>
          </w:p>
          <w:p>
            <w:pPr>
              <w:pStyle w:val="8"/>
              <w:spacing w:before="5"/>
              <w:ind w:left="22" w:leftChars="0" w:right="0" w:rightChars="0"/>
              <w:jc w:val="center"/>
              <w:rPr>
                <w:w w:val="105"/>
                <w:sz w:val="10"/>
              </w:rPr>
            </w:pPr>
            <w:r>
              <w:rPr>
                <w:w w:val="105"/>
                <w:sz w:val="10"/>
              </w:rPr>
              <w:t>2、望城区环境空气质量年报</w:t>
            </w:r>
          </w:p>
        </w:tc>
        <w:tc>
          <w:tcPr>
            <w:tcW w:w="1468"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
              <w:rPr>
                <w:rFonts w:ascii="Times New Roman"/>
                <w:sz w:val="14"/>
              </w:rPr>
            </w:pPr>
          </w:p>
          <w:p>
            <w:pPr>
              <w:pStyle w:val="8"/>
              <w:spacing w:before="1" w:line="249" w:lineRule="auto"/>
              <w:ind w:left="20" w:right="26"/>
              <w:jc w:val="both"/>
              <w:rPr>
                <w:sz w:val="10"/>
              </w:rPr>
            </w:pPr>
            <w:r>
              <w:rPr>
                <w:w w:val="105"/>
                <w:sz w:val="10"/>
              </w:rPr>
              <w:t>《环境保护法》、《政府信息公开条例》、《国务院关于印发水污染防治行动计划的通知</w:t>
            </w:r>
          </w:p>
          <w:p>
            <w:pPr>
              <w:pStyle w:val="8"/>
              <w:ind w:left="20" w:leftChars="0" w:right="0" w:rightChars="0"/>
              <w:rPr>
                <w:w w:val="105"/>
                <w:sz w:val="10"/>
              </w:rPr>
            </w:pPr>
            <w:r>
              <w:rPr>
                <w:w w:val="107"/>
                <w:sz w:val="10"/>
              </w:rPr>
              <w:t>》</w:t>
            </w:r>
          </w:p>
        </w:tc>
        <w:tc>
          <w:tcPr>
            <w:tcW w:w="983"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9"/>
              </w:rPr>
            </w:pPr>
          </w:p>
          <w:p>
            <w:pPr>
              <w:pStyle w:val="8"/>
              <w:spacing w:line="249" w:lineRule="auto"/>
              <w:ind w:left="21" w:leftChars="0" w:right="79" w:rightChars="0"/>
              <w:jc w:val="both"/>
              <w:rPr>
                <w:w w:val="105"/>
                <w:sz w:val="10"/>
              </w:rPr>
            </w:pPr>
            <w:r>
              <w:rPr>
                <w:w w:val="105"/>
                <w:sz w:val="10"/>
              </w:rPr>
              <w:t>自该信息形成或者变更之日起20个工作日内</w:t>
            </w:r>
          </w:p>
        </w:tc>
        <w:tc>
          <w:tcPr>
            <w:tcW w:w="1006"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66" w:line="249" w:lineRule="auto"/>
              <w:ind w:left="23" w:leftChars="0" w:right="-15" w:rightChars="0"/>
              <w:rPr>
                <w:rFonts w:hint="eastAsia"/>
                <w:w w:val="105"/>
                <w:sz w:val="10"/>
                <w:lang w:eastAsia="zh-CN"/>
              </w:rPr>
            </w:pPr>
            <w:r>
              <w:rPr>
                <w:rFonts w:hint="eastAsia"/>
                <w:w w:val="105"/>
                <w:sz w:val="10"/>
                <w:lang w:eastAsia="zh-CN"/>
              </w:rPr>
              <w:t>湘西土家族苗族自治州生态环境局龙山分局</w:t>
            </w:r>
          </w:p>
        </w:tc>
        <w:tc>
          <w:tcPr>
            <w:tcW w:w="626"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5"/>
              <w:rPr>
                <w:rFonts w:ascii="Times New Roman"/>
                <w:sz w:val="11"/>
              </w:rPr>
            </w:pPr>
          </w:p>
          <w:p>
            <w:pPr>
              <w:pStyle w:val="8"/>
              <w:ind w:left="30" w:leftChars="0" w:right="0" w:rightChars="0"/>
              <w:jc w:val="center"/>
              <w:rPr>
                <w:w w:val="107"/>
                <w:sz w:val="10"/>
              </w:rPr>
            </w:pPr>
            <w:r>
              <w:rPr>
                <w:w w:val="107"/>
                <w:sz w:val="10"/>
              </w:rPr>
              <w:t>√</w:t>
            </w:r>
          </w:p>
        </w:tc>
        <w:tc>
          <w:tcPr>
            <w:tcW w:w="678" w:type="dxa"/>
            <w:vAlign w:val="top"/>
          </w:tcPr>
          <w:p>
            <w:pPr>
              <w:pStyle w:val="8"/>
              <w:ind w:left="0" w:leftChars="0" w:right="0" w:rightChars="0"/>
              <w:rPr>
                <w:rFonts w:ascii="Times New Roman"/>
                <w:sz w:val="10"/>
              </w:rPr>
            </w:pPr>
          </w:p>
        </w:tc>
        <w:tc>
          <w:tcPr>
            <w:tcW w:w="522"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5"/>
              <w:rPr>
                <w:rFonts w:ascii="Times New Roman"/>
                <w:sz w:val="11"/>
              </w:rPr>
            </w:pPr>
          </w:p>
          <w:p>
            <w:pPr>
              <w:pStyle w:val="8"/>
              <w:ind w:left="29" w:leftChars="0" w:right="0" w:rightChars="0"/>
              <w:jc w:val="center"/>
              <w:rPr>
                <w:w w:val="107"/>
                <w:sz w:val="10"/>
              </w:rPr>
            </w:pPr>
            <w:r>
              <w:rPr>
                <w:w w:val="107"/>
                <w:sz w:val="10"/>
              </w:rPr>
              <w:t>√</w:t>
            </w:r>
          </w:p>
        </w:tc>
        <w:tc>
          <w:tcPr>
            <w:tcW w:w="752" w:type="dxa"/>
            <w:vAlign w:val="top"/>
          </w:tcPr>
          <w:p>
            <w:pPr>
              <w:pStyle w:val="8"/>
              <w:ind w:left="0" w:leftChars="0" w:right="0" w:rightChars="0"/>
              <w:rPr>
                <w:rFonts w:ascii="Times New Roman"/>
                <w:sz w:val="10"/>
              </w:rPr>
            </w:pPr>
          </w:p>
        </w:tc>
        <w:tc>
          <w:tcPr>
            <w:tcW w:w="678"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5"/>
              <w:rPr>
                <w:rFonts w:ascii="Times New Roman"/>
                <w:sz w:val="11"/>
              </w:rPr>
            </w:pPr>
          </w:p>
          <w:p>
            <w:pPr>
              <w:pStyle w:val="8"/>
              <w:ind w:left="30" w:leftChars="0" w:right="0" w:rightChars="0"/>
              <w:jc w:val="center"/>
              <w:rPr>
                <w:w w:val="107"/>
                <w:sz w:val="10"/>
              </w:rPr>
            </w:pPr>
            <w:r>
              <w:rPr>
                <w:w w:val="107"/>
                <w:sz w:val="10"/>
              </w:rPr>
              <w:t>√</w:t>
            </w:r>
          </w:p>
        </w:tc>
        <w:tc>
          <w:tcPr>
            <w:tcW w:w="1513"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0"/>
              </w:rPr>
            </w:pPr>
          </w:p>
          <w:p>
            <w:pPr>
              <w:pStyle w:val="8"/>
              <w:ind w:left="24"/>
              <w:rPr>
                <w:sz w:val="10"/>
              </w:rPr>
            </w:pPr>
            <w:r>
              <w:rPr>
                <w:w w:val="105"/>
                <w:sz w:val="10"/>
              </w:rPr>
              <w:t>■政府网站 □政府公报</w:t>
            </w:r>
          </w:p>
          <w:p>
            <w:pPr>
              <w:pStyle w:val="8"/>
              <w:spacing w:before="5"/>
              <w:ind w:left="24"/>
              <w:rPr>
                <w:sz w:val="10"/>
              </w:rPr>
            </w:pPr>
            <w:r>
              <w:rPr>
                <w:w w:val="105"/>
                <w:sz w:val="10"/>
              </w:rPr>
              <w:t>□两微一端 □发布会/听证会</w:t>
            </w:r>
          </w:p>
          <w:p>
            <w:pPr>
              <w:pStyle w:val="8"/>
              <w:spacing w:before="6"/>
              <w:ind w:left="24"/>
              <w:rPr>
                <w:sz w:val="10"/>
              </w:rPr>
            </w:pPr>
            <w:r>
              <w:rPr>
                <w:w w:val="105"/>
                <w:sz w:val="10"/>
              </w:rPr>
              <w:t>□广播电视 □纸质媒体</w:t>
            </w:r>
          </w:p>
          <w:p>
            <w:pPr>
              <w:pStyle w:val="8"/>
              <w:spacing w:before="5"/>
              <w:ind w:left="24"/>
              <w:rPr>
                <w:sz w:val="10"/>
              </w:rPr>
            </w:pPr>
            <w:r>
              <w:rPr>
                <w:w w:val="105"/>
                <w:sz w:val="10"/>
              </w:rPr>
              <w:t>□公开查阅点■政务服务中心</w:t>
            </w:r>
          </w:p>
          <w:p>
            <w:pPr>
              <w:pStyle w:val="8"/>
              <w:spacing w:before="6"/>
              <w:ind w:left="24"/>
              <w:rPr>
                <w:sz w:val="10"/>
              </w:rPr>
            </w:pPr>
            <w:r>
              <w:rPr>
                <w:w w:val="105"/>
                <w:sz w:val="10"/>
              </w:rPr>
              <w:t>□便民服务站 □入户/现场</w:t>
            </w:r>
          </w:p>
          <w:p>
            <w:pPr>
              <w:pStyle w:val="8"/>
              <w:spacing w:before="5"/>
              <w:ind w:left="24"/>
              <w:rPr>
                <w:sz w:val="10"/>
              </w:rPr>
            </w:pPr>
            <w:r>
              <w:rPr>
                <w:w w:val="105"/>
                <w:sz w:val="10"/>
              </w:rPr>
              <w:t>□社区/企事业单位/村公示栏</w:t>
            </w:r>
          </w:p>
          <w:p>
            <w:pPr>
              <w:pStyle w:val="8"/>
              <w:spacing w:before="5"/>
              <w:ind w:left="24"/>
              <w:rPr>
                <w:sz w:val="10"/>
              </w:rPr>
            </w:pPr>
            <w:r>
              <w:rPr>
                <w:w w:val="105"/>
                <w:sz w:val="10"/>
              </w:rPr>
              <w:t>（电子屏）</w:t>
            </w:r>
          </w:p>
          <w:p>
            <w:pPr>
              <w:pStyle w:val="8"/>
              <w:spacing w:before="5"/>
              <w:ind w:left="24" w:leftChars="0" w:right="0" w:rightChars="0"/>
              <w:rPr>
                <w:w w:val="105"/>
                <w:sz w:val="10"/>
              </w:rPr>
            </w:pPr>
            <w:r>
              <w:rPr>
                <w:w w:val="105"/>
                <w:sz w:val="10"/>
              </w:rPr>
              <w:t>□精准推送 □其他</w:t>
            </w:r>
          </w:p>
        </w:tc>
        <w:tc>
          <w:tcPr>
            <w:tcW w:w="768"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3"/>
              <w:rPr>
                <w:rFonts w:ascii="Times New Roman"/>
                <w:sz w:val="8"/>
              </w:rPr>
            </w:pPr>
          </w:p>
          <w:p>
            <w:pPr>
              <w:pStyle w:val="8"/>
              <w:spacing w:line="249" w:lineRule="auto"/>
              <w:ind w:left="67" w:leftChars="0" w:right="35" w:rightChars="0"/>
              <w:jc w:val="center"/>
              <w:rPr>
                <w:w w:val="105"/>
                <w:sz w:val="10"/>
              </w:rPr>
            </w:pPr>
            <w:r>
              <w:rPr>
                <w:w w:val="105"/>
                <w:sz w:val="10"/>
              </w:rPr>
              <w:t>各区县（市） 政府组织下辖乡镇（街道） 据实梳理、填报</w:t>
            </w:r>
          </w:p>
        </w:tc>
        <w:tc>
          <w:tcPr>
            <w:tcW w:w="1678" w:type="dxa"/>
            <w:vAlign w:val="top"/>
          </w:tcPr>
          <w:p>
            <w:pPr>
              <w:pStyle w:val="8"/>
              <w:rPr>
                <w:rFonts w:ascii="Times New Roman"/>
                <w:sz w:val="10"/>
              </w:rPr>
            </w:pPr>
          </w:p>
          <w:p>
            <w:pPr>
              <w:pStyle w:val="8"/>
              <w:rPr>
                <w:rFonts w:ascii="Times New Roman"/>
                <w:sz w:val="10"/>
              </w:rPr>
            </w:pPr>
          </w:p>
          <w:p>
            <w:pPr>
              <w:pStyle w:val="8"/>
              <w:rPr>
                <w:rFonts w:ascii="Times New Roman"/>
                <w:sz w:val="10"/>
              </w:rPr>
            </w:pPr>
          </w:p>
          <w:p>
            <w:pPr>
              <w:pStyle w:val="8"/>
              <w:spacing w:before="10"/>
              <w:rPr>
                <w:rFonts w:ascii="Times New Roman"/>
                <w:sz w:val="10"/>
              </w:rPr>
            </w:pPr>
          </w:p>
          <w:p>
            <w:pPr>
              <w:pStyle w:val="8"/>
              <w:ind w:left="25"/>
              <w:rPr>
                <w:sz w:val="10"/>
              </w:rPr>
            </w:pPr>
            <w:r>
              <w:rPr>
                <w:w w:val="105"/>
                <w:sz w:val="10"/>
              </w:rPr>
              <w:t>□政府网站 □政府公报</w:t>
            </w:r>
          </w:p>
          <w:p>
            <w:pPr>
              <w:pStyle w:val="8"/>
              <w:spacing w:before="5"/>
              <w:ind w:left="25"/>
              <w:rPr>
                <w:sz w:val="10"/>
              </w:rPr>
            </w:pPr>
            <w:r>
              <w:rPr>
                <w:w w:val="105"/>
                <w:sz w:val="10"/>
              </w:rPr>
              <w:t>□两微一端 □发布会/听证会</w:t>
            </w:r>
          </w:p>
          <w:p>
            <w:pPr>
              <w:pStyle w:val="8"/>
              <w:spacing w:before="6"/>
              <w:ind w:left="25"/>
              <w:rPr>
                <w:sz w:val="10"/>
              </w:rPr>
            </w:pPr>
            <w:r>
              <w:rPr>
                <w:w w:val="105"/>
                <w:sz w:val="10"/>
              </w:rPr>
              <w:t>□广播电视 □纸质媒体</w:t>
            </w:r>
          </w:p>
          <w:p>
            <w:pPr>
              <w:pStyle w:val="8"/>
              <w:spacing w:before="6"/>
              <w:ind w:left="25"/>
              <w:rPr>
                <w:sz w:val="10"/>
              </w:rPr>
            </w:pPr>
            <w:r>
              <w:rPr>
                <w:w w:val="105"/>
                <w:sz w:val="10"/>
              </w:rPr>
              <w:t>□公开查阅点□政务服务中心</w:t>
            </w:r>
          </w:p>
          <w:p>
            <w:pPr>
              <w:pStyle w:val="8"/>
              <w:spacing w:before="5"/>
              <w:ind w:left="25"/>
              <w:rPr>
                <w:sz w:val="10"/>
              </w:rPr>
            </w:pPr>
            <w:r>
              <w:rPr>
                <w:w w:val="105"/>
                <w:sz w:val="10"/>
              </w:rPr>
              <w:t>□便民服务站 □入户/现场</w:t>
            </w:r>
          </w:p>
          <w:p>
            <w:pPr>
              <w:pStyle w:val="8"/>
              <w:spacing w:before="5" w:line="249" w:lineRule="auto"/>
              <w:ind w:left="25" w:right="14"/>
              <w:rPr>
                <w:sz w:val="10"/>
              </w:rPr>
            </w:pPr>
            <w:r>
              <w:rPr>
                <w:w w:val="105"/>
                <w:sz w:val="10"/>
              </w:rPr>
              <w:t>□社区/企事业单位/村公示栏（电子屏）</w:t>
            </w:r>
          </w:p>
          <w:p>
            <w:pPr>
              <w:pStyle w:val="8"/>
              <w:ind w:left="25" w:leftChars="0" w:right="0" w:rightChars="0"/>
              <w:rPr>
                <w:w w:val="105"/>
                <w:sz w:val="10"/>
              </w:rPr>
            </w:pPr>
            <w:r>
              <w:rPr>
                <w:w w:val="105"/>
                <w:sz w:val="10"/>
              </w:rPr>
              <w:t>□精准推送 □其他</w:t>
            </w:r>
          </w:p>
        </w:tc>
        <w:tc>
          <w:tcPr>
            <w:tcW w:w="1409" w:type="dxa"/>
            <w:vAlign w:val="top"/>
          </w:tcPr>
          <w:p>
            <w:pPr>
              <w:pStyle w:val="8"/>
              <w:ind w:left="0" w:leftChars="0" w:right="0" w:rightChars="0"/>
              <w:rPr>
                <w:rFonts w:ascii="Times New Roman"/>
                <w:sz w:val="10"/>
              </w:rPr>
            </w:pPr>
          </w:p>
        </w:tc>
      </w:tr>
    </w:tbl>
    <w:p/>
    <w:sectPr>
      <w:footerReference r:id="rId7" w:type="default"/>
      <w:pgSz w:w="23820" w:h="16840" w:orient="landscape"/>
      <w:pgMar w:top="2040" w:right="780" w:bottom="860" w:left="780" w:header="1644" w:footer="671" w:gutter="0"/>
      <w:pgNumType w:start="9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7393940</wp:posOffset>
              </wp:positionH>
              <wp:positionV relativeFrom="page">
                <wp:posOffset>10126980</wp:posOffset>
              </wp:positionV>
              <wp:extent cx="327025" cy="100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7025" cy="100965"/>
                      </a:xfrm>
                      <a:prstGeom prst="rect">
                        <a:avLst/>
                      </a:prstGeom>
                      <a:noFill/>
                      <a:ln>
                        <a:noFill/>
                      </a:ln>
                    </wps:spPr>
                    <wps:txbx>
                      <w:txbxContent>
                        <w:p>
                          <w:pPr>
                            <w:spacing w:before="1"/>
                            <w:ind w:left="20" w:right="0" w:firstLine="0"/>
                            <w:jc w:val="left"/>
                            <w:rPr>
                              <w:sz w:val="12"/>
                            </w:rPr>
                          </w:pPr>
                        </w:p>
                      </w:txbxContent>
                    </wps:txbx>
                    <wps:bodyPr lIns="0" tIns="0" rIns="0" bIns="0" upright="1"/>
                  </wps:wsp>
                </a:graphicData>
              </a:graphic>
            </wp:anchor>
          </w:drawing>
        </mc:Choice>
        <mc:Fallback>
          <w:pict>
            <v:shape id="_x0000_s1026" o:spid="_x0000_s1026" o:spt="202" type="#_x0000_t202" style="position:absolute;left:0pt;margin-left:582.2pt;margin-top:797.4pt;height:7.95pt;width:25.75pt;mso-position-horizontal-relative:page;mso-position-vertical-relative:page;z-index:-251656192;mso-width-relative:page;mso-height-relative:page;" filled="f" stroked="f" coordsize="21600,21600" o:gfxdata="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jJUc2gAAAA8BAAAPAAAAAAAAAAEAIAAAACIAAABkcnMvZG93bnJldi54bWxQSwEC&#10;FAAUAAAACACHTuJAzPztjLkBAABxAwAADgAAAAAAAAABACAAAAApAQAAZHJzL2Uyb0RvYy54bWxQ&#10;SwUGAAAAAAYABgBZAQAAVAUAAAAA&#10;">
              <v:fill on="f" focussize="0,0"/>
              <v:stroke on="f"/>
              <v:imagedata o:title=""/>
              <o:lock v:ext="edit" aspectratio="f"/>
              <v:textbox inset="0mm,0mm,0mm,0mm">
                <w:txbxContent>
                  <w:p>
                    <w:pPr>
                      <w:spacing w:before="1"/>
                      <w:ind w:left="20" w:right="0" w:firstLine="0"/>
                      <w:jc w:val="left"/>
                      <w:rPr>
                        <w:sz w:val="1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7393940</wp:posOffset>
              </wp:positionH>
              <wp:positionV relativeFrom="page">
                <wp:posOffset>10126980</wp:posOffset>
              </wp:positionV>
              <wp:extent cx="327025" cy="1009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27025" cy="100965"/>
                      </a:xfrm>
                      <a:prstGeom prst="rect">
                        <a:avLst/>
                      </a:prstGeom>
                      <a:noFill/>
                      <a:ln>
                        <a:noFill/>
                      </a:ln>
                    </wps:spPr>
                    <wps:txbx>
                      <w:txbxContent>
                        <w:p>
                          <w:pPr>
                            <w:spacing w:before="1"/>
                            <w:ind w:right="0"/>
                            <w:jc w:val="left"/>
                            <w:rPr>
                              <w:sz w:val="12"/>
                            </w:rPr>
                          </w:pPr>
                        </w:p>
                      </w:txbxContent>
                    </wps:txbx>
                    <wps:bodyPr lIns="0" tIns="0" rIns="0" bIns="0" upright="1"/>
                  </wps:wsp>
                </a:graphicData>
              </a:graphic>
            </wp:anchor>
          </w:drawing>
        </mc:Choice>
        <mc:Fallback>
          <w:pict>
            <v:shape id="_x0000_s1026" o:spid="_x0000_s1026" o:spt="202" type="#_x0000_t202" style="position:absolute;left:0pt;margin-left:582.2pt;margin-top:797.4pt;height:7.95pt;width:25.75pt;mso-position-horizontal-relative:page;mso-position-vertical-relative:page;z-index:-251655168;mso-width-relative:page;mso-height-relative:page;" filled="f" stroked="f" coordsize="21600,21600" o:gfxdata="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YyVHNoAAAAPAQAADwAAAAAAAAABACAAAAAiAAAAZHJzL2Rvd25yZXYueG1sUEsB&#10;AhQAFAAAAAgAh07iQDkNxC+6AQAAcQMAAA4AAAAAAAAAAQAgAAAAKQEAAGRycy9lMm9Eb2MueG1s&#10;UEsFBgAAAAAGAAYAWQEAAFUFAAAAAA==&#10;">
              <v:fill on="f" focussize="0,0"/>
              <v:stroke on="f"/>
              <v:imagedata o:title=""/>
              <o:lock v:ext="edit" aspectratio="f"/>
              <v:textbox inset="0mm,0mm,0mm,0mm">
                <w:txbxContent>
                  <w:p>
                    <w:pPr>
                      <w:spacing w:before="1"/>
                      <w:ind w:right="0"/>
                      <w:jc w:val="left"/>
                      <w:rPr>
                        <w:sz w:val="1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after="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5499100</wp:posOffset>
              </wp:positionH>
              <wp:positionV relativeFrom="page">
                <wp:posOffset>1031240</wp:posOffset>
              </wp:positionV>
              <wp:extent cx="4126865"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26865" cy="288925"/>
                      </a:xfrm>
                      <a:prstGeom prst="rect">
                        <a:avLst/>
                      </a:prstGeom>
                      <a:noFill/>
                      <a:ln>
                        <a:noFill/>
                      </a:ln>
                    </wps:spPr>
                    <wps:txbx>
                      <w:txbxContent>
                        <w:p>
                          <w:pPr>
                            <w:pStyle w:val="2"/>
                            <w:spacing w:before="0" w:after="0" w:line="435" w:lineRule="exact"/>
                            <w:ind w:left="20"/>
                          </w:pPr>
                          <w:r>
                            <w:rPr>
                              <w:rFonts w:hint="eastAsia"/>
                              <w:lang w:eastAsia="zh-CN"/>
                            </w:rPr>
                            <w:t>龙山县</w:t>
                          </w:r>
                          <w:r>
                            <w:t>生态环境领域基层政务公开事项目录</w:t>
                          </w:r>
                        </w:p>
                      </w:txbxContent>
                    </wps:txbx>
                    <wps:bodyPr lIns="0" tIns="0" rIns="0" bIns="0" upright="1"/>
                  </wps:wsp>
                </a:graphicData>
              </a:graphic>
            </wp:anchor>
          </w:drawing>
        </mc:Choice>
        <mc:Fallback>
          <w:pict>
            <v:shape id="_x0000_s1026" o:spid="_x0000_s1026" o:spt="202" type="#_x0000_t202" style="position:absolute;left:0pt;margin-left:433pt;margin-top:81.2pt;height:22.75pt;width:324.95pt;mso-position-horizontal-relative:page;mso-position-vertical-relative:page;z-index:-251657216;mso-width-relative:page;mso-height-relative:page;" filled="f" stroked="f" coordsize="21600,21600" o:gfxdata="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Vqr1DaAAAADAEAAA8AAAAAAAAAAQAgAAAAIgAAAGRycy9kb3ducmV2LnhtbFBL&#10;AQIUABQAAAAIAIdO4kC1ef6PuwEAAHIDAAAOAAAAAAAAAAEAIAAAACkBAABkcnMvZTJvRG9jLnht&#10;bFBLBQYAAAAABgAGAFkBAABWBQAAAAA=&#10;">
              <v:fill on="f" focussize="0,0"/>
              <v:stroke on="f"/>
              <v:imagedata o:title=""/>
              <o:lock v:ext="edit" aspectratio="f"/>
              <v:textbox inset="0mm,0mm,0mm,0mm">
                <w:txbxContent>
                  <w:p>
                    <w:pPr>
                      <w:pStyle w:val="2"/>
                      <w:spacing w:before="0" w:after="0" w:line="435" w:lineRule="exact"/>
                      <w:ind w:left="20"/>
                    </w:pPr>
                    <w:r>
                      <w:rPr>
                        <w:rFonts w:hint="eastAsia"/>
                        <w:lang w:eastAsia="zh-CN"/>
                      </w:rPr>
                      <w:t>龙山县</w:t>
                    </w:r>
                    <w:r>
                      <w:t>生态环境领域基层政务公开事项目录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mY2MDQ5Y2MzMThkYmFkOWQ1Yzk0MzdjNTlhMDEifQ=="/>
  </w:docVars>
  <w:rsids>
    <w:rsidRoot w:val="00000000"/>
    <w:rsid w:val="000610E3"/>
    <w:rsid w:val="037B4E12"/>
    <w:rsid w:val="09170976"/>
    <w:rsid w:val="09DF65DD"/>
    <w:rsid w:val="11F91637"/>
    <w:rsid w:val="124E6465"/>
    <w:rsid w:val="1F636104"/>
    <w:rsid w:val="21767DB7"/>
    <w:rsid w:val="23265C56"/>
    <w:rsid w:val="23F03967"/>
    <w:rsid w:val="25500BA7"/>
    <w:rsid w:val="262E7E53"/>
    <w:rsid w:val="2A4C31A2"/>
    <w:rsid w:val="2C4972BD"/>
    <w:rsid w:val="2D905AB5"/>
    <w:rsid w:val="33D223C3"/>
    <w:rsid w:val="3A3F2BAE"/>
    <w:rsid w:val="4425417C"/>
    <w:rsid w:val="44F954D3"/>
    <w:rsid w:val="509E3E1F"/>
    <w:rsid w:val="572617DD"/>
    <w:rsid w:val="59572046"/>
    <w:rsid w:val="630D1BAC"/>
    <w:rsid w:val="690F018C"/>
    <w:rsid w:val="6AF2398C"/>
    <w:rsid w:val="6AFC3691"/>
    <w:rsid w:val="73B01017"/>
    <w:rsid w:val="783C4F51"/>
    <w:rsid w:val="7983142C"/>
    <w:rsid w:val="7A375603"/>
    <w:rsid w:val="7B836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方正小标宋简体" w:hAnsi="方正小标宋简体" w:eastAsia="方正小标宋简体" w:cs="方正小标宋简体"/>
      <w:sz w:val="28"/>
      <w:szCs w:val="28"/>
      <w:lang w:val="zh-CN" w:eastAsia="zh-CN" w:bidi="zh-CN"/>
    </w:rPr>
  </w:style>
  <w:style w:type="character" w:styleId="5">
    <w:name w:val="Hyperlink"/>
    <w:basedOn w:val="4"/>
    <w:qFormat/>
    <w:uiPriority w:val="0"/>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演示人</cp:lastModifiedBy>
  <dcterms:modified xsi:type="dcterms:W3CDTF">2023-11-14T07:30:58Z</dcterms:modified>
  <dc:title>&lt;433A5C446F63756D656E747320616E642053657474696E67735C41646D696E6973747261746F725CD7C0C3E65CBBF9B2E3D5FECEF1B9ABBFAAC4BFC2BCB8FCD0C2B0E65C3131A1A2C9FACCACBBB7BEB3C1ECD3F2BBF9B2E3D5FECEF1B9ABBFAACAC2CFEEC4BFC2BCA3A8CDFBB3C7C7F8CCE1B9A9A3A92E7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5407881EEF894CCFB12D61F1702C2E88_13</vt:lpwstr>
  </property>
</Properties>
</file>