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等线" w:hAnsi="等线" w:eastAsia="等线"/>
          <w:color w:val="000000" w:themeColor="text1"/>
          <w:szCs w:val="22"/>
          <w14:textFill>
            <w14:solidFill>
              <w14:schemeClr w14:val="tx1"/>
            </w14:solidFill>
          </w14:textFill>
        </w:rPr>
      </w:pPr>
    </w:p>
    <w:p>
      <w:pPr>
        <w:pStyle w:val="2"/>
      </w:pPr>
    </w:p>
    <w:p>
      <w:pPr>
        <w:spacing w:line="360" w:lineRule="auto"/>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龙山县国民经济和社会发展第十四个</w:t>
      </w:r>
    </w:p>
    <w:p>
      <w:pPr>
        <w:spacing w:line="360" w:lineRule="auto"/>
        <w:jc w:val="cente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2"/>
          <w:szCs w:val="32"/>
          <w14:textFill>
            <w14:solidFill>
              <w14:schemeClr w14:val="tx1"/>
            </w14:solidFill>
          </w14:textFill>
        </w:rPr>
        <w:t>五年规划和二〇三五年远景目标纲要</w:t>
      </w:r>
    </w:p>
    <w:p>
      <w:pPr>
        <w:spacing w:line="360" w:lineRule="auto"/>
        <w:rPr>
          <w:rFonts w:ascii="宋体" w:hAnsi="宋体"/>
          <w:b/>
          <w:bCs/>
          <w:color w:val="000000" w:themeColor="text1"/>
          <w:sz w:val="44"/>
          <w:szCs w:val="44"/>
          <w14:textFill>
            <w14:solidFill>
              <w14:schemeClr w14:val="tx1"/>
            </w14:solidFill>
          </w14:textFill>
        </w:rPr>
      </w:pPr>
    </w:p>
    <w:p>
      <w:pPr>
        <w:spacing w:line="360" w:lineRule="auto"/>
        <w:jc w:val="center"/>
        <w:rPr>
          <w:rFonts w:hint="eastAsia" w:ascii="楷体" w:hAnsi="楷体" w:eastAsia="楷体" w:cs="楷体"/>
          <w:b w:val="0"/>
          <w:bCs w:val="0"/>
          <w:color w:val="000000" w:themeColor="text1"/>
          <w:w w:val="100"/>
          <w:sz w:val="30"/>
          <w:szCs w:val="30"/>
          <w14:textFill>
            <w14:solidFill>
              <w14:schemeClr w14:val="tx1"/>
            </w14:solidFill>
          </w14:textFill>
        </w:rPr>
      </w:pPr>
      <w:r>
        <w:rPr>
          <w:rFonts w:hint="eastAsia" w:ascii="楷体" w:hAnsi="楷体" w:eastAsia="楷体" w:cs="楷体"/>
          <w:b w:val="0"/>
          <w:bCs w:val="0"/>
          <w:color w:val="000000" w:themeColor="text1"/>
          <w:w w:val="100"/>
          <w:sz w:val="30"/>
          <w:szCs w:val="30"/>
          <w14:textFill>
            <w14:solidFill>
              <w14:schemeClr w14:val="tx1"/>
            </w14:solidFill>
          </w14:textFill>
        </w:rPr>
        <w:t>(2021年1月20日龙山县第十七届</w:t>
      </w:r>
    </w:p>
    <w:p>
      <w:pPr>
        <w:spacing w:line="360" w:lineRule="auto"/>
        <w:jc w:val="center"/>
        <w:rPr>
          <w:rFonts w:hint="eastAsia" w:ascii="楷体" w:hAnsi="楷体" w:eastAsia="楷体" w:cs="楷体"/>
          <w:b w:val="0"/>
          <w:bCs w:val="0"/>
          <w:color w:val="000000" w:themeColor="text1"/>
          <w:w w:val="100"/>
          <w:sz w:val="30"/>
          <w:szCs w:val="30"/>
          <w14:textFill>
            <w14:solidFill>
              <w14:schemeClr w14:val="tx1"/>
            </w14:solidFill>
          </w14:textFill>
        </w:rPr>
      </w:pPr>
      <w:r>
        <w:rPr>
          <w:rFonts w:hint="eastAsia" w:ascii="楷体" w:hAnsi="楷体" w:eastAsia="楷体" w:cs="楷体"/>
          <w:b w:val="0"/>
          <w:bCs w:val="0"/>
          <w:color w:val="000000" w:themeColor="text1"/>
          <w:w w:val="100"/>
          <w:sz w:val="30"/>
          <w:szCs w:val="30"/>
          <w14:textFill>
            <w14:solidFill>
              <w14:schemeClr w14:val="tx1"/>
            </w14:solidFill>
          </w14:textFill>
        </w:rPr>
        <w:t>人民代表大会第五次会议</w:t>
      </w:r>
      <w:r>
        <w:rPr>
          <w:rFonts w:hint="eastAsia" w:ascii="楷体" w:hAnsi="楷体" w:eastAsia="楷体" w:cs="楷体"/>
          <w:b w:val="0"/>
          <w:bCs w:val="0"/>
          <w:color w:val="000000" w:themeColor="text1"/>
          <w:w w:val="100"/>
          <w:sz w:val="30"/>
          <w:szCs w:val="30"/>
          <w:lang w:eastAsia="zh-CN"/>
          <w14:textFill>
            <w14:solidFill>
              <w14:schemeClr w14:val="tx1"/>
            </w14:solidFill>
          </w14:textFill>
        </w:rPr>
        <w:t>批准</w:t>
      </w:r>
      <w:r>
        <w:rPr>
          <w:rFonts w:hint="eastAsia" w:ascii="楷体" w:hAnsi="楷体" w:eastAsia="楷体" w:cs="楷体"/>
          <w:b w:val="0"/>
          <w:bCs w:val="0"/>
          <w:color w:val="000000" w:themeColor="text1"/>
          <w:w w:val="100"/>
          <w:sz w:val="30"/>
          <w:szCs w:val="30"/>
          <w14:textFill>
            <w14:solidFill>
              <w14:schemeClr w14:val="tx1"/>
            </w14:solidFill>
          </w14:textFill>
        </w:rPr>
        <w:t>)</w:t>
      </w:r>
    </w:p>
    <w:p>
      <w:pPr>
        <w:spacing w:line="360" w:lineRule="auto"/>
        <w:jc w:val="center"/>
        <w:rPr>
          <w:rFonts w:hint="eastAsia" w:ascii="楷体" w:hAnsi="楷体" w:eastAsia="楷体" w:cs="楷体"/>
          <w:b/>
          <w:bCs/>
          <w:color w:val="000000" w:themeColor="text1"/>
          <w:sz w:val="36"/>
          <w:szCs w:val="36"/>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center"/>
        <w:rPr>
          <w:rFonts w:ascii="仿宋_GB2312" w:eastAsia="仿宋_GB2312"/>
          <w:b/>
          <w:color w:val="000000" w:themeColor="text1"/>
          <w:sz w:val="28"/>
          <w:szCs w:val="28"/>
          <w14:textFill>
            <w14:solidFill>
              <w14:schemeClr w14:val="tx1"/>
            </w14:solidFill>
          </w14:textFill>
        </w:rPr>
      </w:pPr>
    </w:p>
    <w:p>
      <w:pPr>
        <w:pStyle w:val="2"/>
        <w:rPr>
          <w:rFonts w:ascii="仿宋_GB2312" w:eastAsia="仿宋_GB2312"/>
          <w:b/>
          <w:color w:val="000000" w:themeColor="text1"/>
          <w:sz w:val="28"/>
          <w:szCs w:val="28"/>
          <w14:textFill>
            <w14:solidFill>
              <w14:schemeClr w14:val="tx1"/>
            </w14:solidFill>
          </w14:textFill>
        </w:rPr>
      </w:pPr>
    </w:p>
    <w:p>
      <w:pPr>
        <w:pStyle w:val="3"/>
        <w:rPr>
          <w:rFonts w:ascii="仿宋_GB2312" w:eastAsia="仿宋_GB2312"/>
          <w:b/>
          <w:color w:val="000000" w:themeColor="text1"/>
          <w:sz w:val="28"/>
          <w:szCs w:val="28"/>
          <w14:textFill>
            <w14:solidFill>
              <w14:schemeClr w14:val="tx1"/>
            </w14:solidFill>
          </w14:textFill>
        </w:rPr>
      </w:pPr>
    </w:p>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仿宋_GB2312" w:eastAsia="仿宋_GB2312"/>
          <w:b/>
          <w:color w:val="000000" w:themeColor="text1"/>
          <w:sz w:val="28"/>
          <w:szCs w:val="28"/>
          <w14:textFill>
            <w14:solidFill>
              <w14:schemeClr w14:val="tx1"/>
            </w14:solidFill>
          </w14:textFill>
        </w:rPr>
      </w:pPr>
    </w:p>
    <w:p>
      <w:pPr>
        <w:spacing w:line="360" w:lineRule="auto"/>
        <w:jc w:val="center"/>
        <w:rPr>
          <w:rFonts w:hint="eastAsia" w:ascii="黑体" w:hAnsi="黑体" w:eastAsia="黑体" w:cs="黑体"/>
          <w:b/>
          <w:color w:val="000000" w:themeColor="text1"/>
          <w:sz w:val="32"/>
          <w:szCs w:val="32"/>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outlineLvl w:val="9"/>
        <w:rPr>
          <w:rFonts w:hint="eastAsia" w:ascii="楷体" w:hAnsi="楷体" w:eastAsia="楷体" w:cs="楷体"/>
          <w:color w:val="000000" w:themeColor="text1"/>
          <w:sz w:val="30"/>
          <w:szCs w:val="30"/>
          <w:lang w:val="en-US" w:eastAsia="zh-CN"/>
          <w14:textFill>
            <w14:solidFill>
              <w14:schemeClr w14:val="tx1"/>
            </w14:solidFill>
          </w14:textFill>
        </w:rPr>
      </w:pPr>
      <w:r>
        <w:rPr>
          <w:rFonts w:hint="eastAsia" w:ascii="楷体" w:hAnsi="楷体" w:eastAsia="楷体" w:cs="楷体"/>
          <w:color w:val="000000" w:themeColor="text1"/>
          <w:sz w:val="30"/>
          <w:szCs w:val="30"/>
          <w14:textFill>
            <w14:solidFill>
              <w14:schemeClr w14:val="tx1"/>
            </w14:solidFill>
          </w14:textFill>
        </w:rPr>
        <w:t>龙山县</w:t>
      </w:r>
      <w:r>
        <w:rPr>
          <w:rFonts w:hint="eastAsia" w:ascii="楷体" w:hAnsi="楷体" w:eastAsia="楷体" w:cs="楷体"/>
          <w:color w:val="000000" w:themeColor="text1"/>
          <w:sz w:val="30"/>
          <w:szCs w:val="30"/>
          <w:lang w:eastAsia="zh-CN"/>
          <w14:textFill>
            <w14:solidFill>
              <w14:schemeClr w14:val="tx1"/>
            </w14:solidFill>
          </w14:textFill>
        </w:rPr>
        <w:t>发展和改革局</w:t>
      </w:r>
      <w:r>
        <w:rPr>
          <w:rFonts w:hint="eastAsia" w:ascii="楷体" w:hAnsi="楷体" w:eastAsia="楷体" w:cs="楷体"/>
          <w:color w:val="000000" w:themeColor="text1"/>
          <w:sz w:val="30"/>
          <w:szCs w:val="30"/>
          <w:lang w:val="en-US" w:eastAsia="zh-CN"/>
          <w14:textFill>
            <w14:solidFill>
              <w14:schemeClr w14:val="tx1"/>
            </w14:solidFill>
          </w14:textFill>
        </w:rPr>
        <w:t xml:space="preserve">  印</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9"/>
        <w:rPr>
          <w:rFonts w:hint="eastAsia" w:ascii="楷体" w:hAnsi="楷体" w:eastAsia="楷体" w:cs="楷体"/>
          <w:color w:val="000000" w:themeColor="text1"/>
          <w:sz w:val="30"/>
          <w:szCs w:val="30"/>
          <w14:textFill>
            <w14:solidFill>
              <w14:schemeClr w14:val="tx1"/>
            </w14:solidFill>
          </w14:textFill>
        </w:rPr>
      </w:pPr>
      <w:r>
        <w:rPr>
          <w:rFonts w:hint="eastAsia" w:ascii="楷体" w:hAnsi="楷体" w:eastAsia="楷体" w:cs="楷体"/>
          <w:color w:val="000000" w:themeColor="text1"/>
          <w:sz w:val="30"/>
          <w:szCs w:val="30"/>
          <w:lang w:val="en-US" w:eastAsia="zh-CN"/>
          <w14:textFill>
            <w14:solidFill>
              <w14:schemeClr w14:val="tx1"/>
            </w14:solidFill>
          </w14:textFill>
        </w:rPr>
        <w:t>2021</w:t>
      </w:r>
      <w:r>
        <w:rPr>
          <w:rFonts w:hint="eastAsia" w:ascii="楷体" w:hAnsi="楷体" w:eastAsia="楷体" w:cs="楷体"/>
          <w:color w:val="000000" w:themeColor="text1"/>
          <w:sz w:val="30"/>
          <w:szCs w:val="30"/>
          <w14:textFill>
            <w14:solidFill>
              <w14:schemeClr w14:val="tx1"/>
            </w14:solidFill>
          </w14:textFill>
        </w:rPr>
        <w:t>年</w:t>
      </w:r>
      <w:r>
        <w:rPr>
          <w:rFonts w:hint="eastAsia" w:ascii="楷体" w:hAnsi="楷体" w:eastAsia="楷体" w:cs="楷体"/>
          <w:color w:val="000000" w:themeColor="text1"/>
          <w:sz w:val="30"/>
          <w:szCs w:val="30"/>
          <w:lang w:val="en-US" w:eastAsia="zh-CN"/>
          <w14:textFill>
            <w14:solidFill>
              <w14:schemeClr w14:val="tx1"/>
            </w14:solidFill>
          </w14:textFill>
        </w:rPr>
        <w:t>5</w:t>
      </w:r>
      <w:r>
        <w:rPr>
          <w:rFonts w:hint="eastAsia" w:ascii="楷体" w:hAnsi="楷体" w:eastAsia="楷体" w:cs="楷体"/>
          <w:color w:val="000000" w:themeColor="text1"/>
          <w:sz w:val="30"/>
          <w:szCs w:val="30"/>
          <w14:textFill>
            <w14:solidFill>
              <w14:schemeClr w14:val="tx1"/>
            </w14:solidFill>
          </w14:textFill>
        </w:rPr>
        <w:t>月</w:t>
      </w:r>
    </w:p>
    <w:p>
      <w:pPr>
        <w:pStyle w:val="2"/>
        <w:rPr>
          <w:rFonts w:hint="eastAsia"/>
        </w:rPr>
        <w:sectPr>
          <w:footerReference r:id="rId4" w:type="default"/>
          <w:pgSz w:w="8391" w:h="11906"/>
          <w:pgMar w:top="1247" w:right="1134" w:bottom="1247" w:left="1134" w:header="851" w:footer="680" w:gutter="0"/>
          <w:pgNumType w:fmt="decimal" w:start="1"/>
          <w:cols w:space="0" w:num="1"/>
          <w:titlePg/>
          <w:rtlGutter w:val="0"/>
          <w:docGrid w:type="lines" w:linePitch="313" w:charSpace="0"/>
        </w:sectPr>
      </w:pPr>
    </w:p>
    <w:p>
      <w:pPr>
        <w:keepNext w:val="0"/>
        <w:keepLines w:val="0"/>
        <w:pageBreakBefore w:val="0"/>
        <w:widowControl w:val="0"/>
        <w:kinsoku/>
        <w:wordWrap/>
        <w:overflowPunct/>
        <w:topLinePunct w:val="0"/>
        <w:autoSpaceDE/>
        <w:autoSpaceDN/>
        <w:bidi w:val="0"/>
        <w:adjustRightInd/>
        <w:snapToGrid/>
        <w:spacing w:line="400" w:lineRule="exact"/>
        <w:ind w:left="0"/>
        <w:textAlignment w:val="auto"/>
        <w:outlineLvl w:val="9"/>
        <w:rPr>
          <w:rFonts w:hint="eastAsia" w:ascii="楷体" w:hAnsi="楷体" w:eastAsia="楷体" w:cs="楷体"/>
          <w:b/>
          <w:bCs/>
          <w:sz w:val="28"/>
          <w:szCs w:val="28"/>
          <w:lang w:eastAsia="zh-CN"/>
        </w:rPr>
      </w:pPr>
    </w:p>
    <w:p>
      <w:pPr>
        <w:keepNext w:val="0"/>
        <w:keepLines w:val="0"/>
        <w:pageBreakBefore w:val="0"/>
        <w:widowControl w:val="0"/>
        <w:kinsoku/>
        <w:wordWrap/>
        <w:overflowPunct/>
        <w:topLinePunct w:val="0"/>
        <w:autoSpaceDE/>
        <w:autoSpaceDN/>
        <w:bidi w:val="0"/>
        <w:adjustRightInd/>
        <w:spacing w:line="560" w:lineRule="exact"/>
        <w:ind w:left="0"/>
        <w:textAlignment w:val="auto"/>
        <w:outlineLvl w:val="9"/>
        <w:rPr>
          <w:rFonts w:hint="eastAsia" w:ascii="楷体" w:hAnsi="楷体" w:eastAsia="楷体" w:cs="楷体"/>
          <w:sz w:val="28"/>
          <w:szCs w:val="28"/>
          <w:lang w:eastAsia="zh-CN"/>
        </w:rPr>
      </w:pPr>
      <w:r>
        <w:rPr>
          <w:rFonts w:hint="eastAsia" w:ascii="楷体" w:hAnsi="楷体" w:eastAsia="楷体" w:cs="楷体"/>
          <w:b/>
          <w:bCs/>
          <w:sz w:val="28"/>
          <w:szCs w:val="28"/>
          <w:lang w:eastAsia="zh-CN"/>
        </w:rPr>
        <w:t>顾</w:t>
      </w:r>
      <w:r>
        <w:rPr>
          <w:rFonts w:hint="eastAsia" w:ascii="楷体" w:hAnsi="楷体" w:eastAsia="楷体" w:cs="楷体"/>
          <w:b/>
          <w:bCs/>
          <w:sz w:val="28"/>
          <w:szCs w:val="28"/>
          <w:lang w:val="en-US" w:eastAsia="zh-CN"/>
        </w:rPr>
        <w:t xml:space="preserve">  </w:t>
      </w:r>
      <w:r>
        <w:rPr>
          <w:rFonts w:hint="eastAsia" w:ascii="楷体" w:hAnsi="楷体" w:eastAsia="楷体" w:cs="楷体"/>
          <w:b/>
          <w:bCs/>
          <w:sz w:val="28"/>
          <w:szCs w:val="28"/>
          <w:lang w:eastAsia="zh-CN"/>
        </w:rPr>
        <w:t>问</w:t>
      </w:r>
      <w:r>
        <w:rPr>
          <w:rFonts w:hint="eastAsia" w:ascii="楷体" w:hAnsi="楷体" w:eastAsia="楷体" w:cs="楷体"/>
          <w:b/>
          <w:bCs/>
          <w:sz w:val="28"/>
          <w:szCs w:val="28"/>
        </w:rPr>
        <w:t>：</w:t>
      </w:r>
      <w:r>
        <w:rPr>
          <w:rFonts w:hint="eastAsia" w:ascii="楷体" w:hAnsi="楷体" w:eastAsia="楷体" w:cs="楷体"/>
          <w:sz w:val="28"/>
          <w:szCs w:val="28"/>
          <w:lang w:eastAsia="zh-CN"/>
        </w:rPr>
        <w:t>刘冬生</w:t>
      </w:r>
    </w:p>
    <w:p>
      <w:pPr>
        <w:keepNext w:val="0"/>
        <w:keepLines w:val="0"/>
        <w:pageBreakBefore w:val="0"/>
        <w:widowControl w:val="0"/>
        <w:kinsoku/>
        <w:wordWrap/>
        <w:overflowPunct/>
        <w:topLinePunct w:val="0"/>
        <w:autoSpaceDE/>
        <w:autoSpaceDN/>
        <w:bidi w:val="0"/>
        <w:adjustRightInd/>
        <w:spacing w:line="560" w:lineRule="exact"/>
        <w:ind w:left="0"/>
        <w:textAlignment w:val="auto"/>
        <w:outlineLvl w:val="9"/>
        <w:rPr>
          <w:rFonts w:hint="eastAsia" w:ascii="楷体" w:hAnsi="楷体" w:eastAsia="楷体" w:cs="楷体"/>
          <w:sz w:val="28"/>
          <w:szCs w:val="28"/>
          <w:lang w:eastAsia="zh-CN"/>
        </w:rPr>
      </w:pPr>
      <w:r>
        <w:rPr>
          <w:rFonts w:hint="eastAsia" w:ascii="楷体" w:hAnsi="楷体" w:eastAsia="楷体" w:cs="楷体"/>
          <w:b/>
          <w:bCs/>
          <w:sz w:val="28"/>
          <w:szCs w:val="28"/>
        </w:rPr>
        <w:t>主　编：</w:t>
      </w:r>
      <w:r>
        <w:rPr>
          <w:rFonts w:hint="eastAsia" w:ascii="楷体" w:hAnsi="楷体" w:eastAsia="楷体" w:cs="楷体"/>
          <w:sz w:val="28"/>
          <w:szCs w:val="28"/>
          <w:lang w:eastAsia="zh-CN"/>
        </w:rPr>
        <w:t>时荣芬</w:t>
      </w:r>
    </w:p>
    <w:p>
      <w:pPr>
        <w:keepNext w:val="0"/>
        <w:keepLines w:val="0"/>
        <w:pageBreakBefore w:val="0"/>
        <w:widowControl w:val="0"/>
        <w:kinsoku/>
        <w:wordWrap/>
        <w:overflowPunct/>
        <w:topLinePunct w:val="0"/>
        <w:autoSpaceDE/>
        <w:autoSpaceDN/>
        <w:bidi w:val="0"/>
        <w:adjustRightInd/>
        <w:spacing w:line="560" w:lineRule="exact"/>
        <w:ind w:left="0" w:hanging="1124" w:hangingChars="400"/>
        <w:textAlignment w:val="auto"/>
        <w:outlineLvl w:val="9"/>
        <w:rPr>
          <w:rFonts w:hint="eastAsia" w:ascii="楷体" w:hAnsi="楷体" w:eastAsia="楷体" w:cs="楷体"/>
          <w:sz w:val="28"/>
          <w:szCs w:val="28"/>
        </w:rPr>
      </w:pPr>
      <w:r>
        <w:rPr>
          <w:rFonts w:hint="eastAsia" w:ascii="楷体" w:hAnsi="楷体" w:eastAsia="楷体" w:cs="楷体"/>
          <w:b/>
          <w:bCs/>
          <w:sz w:val="28"/>
          <w:szCs w:val="28"/>
        </w:rPr>
        <w:t>副主编：</w:t>
      </w:r>
      <w:r>
        <w:rPr>
          <w:rFonts w:hint="eastAsia" w:ascii="楷体" w:hAnsi="楷体" w:eastAsia="楷体" w:cs="楷体"/>
          <w:sz w:val="28"/>
          <w:szCs w:val="28"/>
          <w:lang w:eastAsia="zh-CN"/>
        </w:rPr>
        <w:t>陈忠耀</w:t>
      </w:r>
      <w:r>
        <w:rPr>
          <w:rFonts w:hint="eastAsia" w:ascii="楷体" w:hAnsi="楷体" w:eastAsia="楷体" w:cs="楷体"/>
          <w:sz w:val="28"/>
          <w:szCs w:val="28"/>
        </w:rPr>
        <w:t xml:space="preserve">  </w:t>
      </w:r>
      <w:r>
        <w:rPr>
          <w:rFonts w:hint="eastAsia" w:ascii="楷体" w:hAnsi="楷体" w:eastAsia="楷体" w:cs="楷体"/>
          <w:sz w:val="28"/>
          <w:szCs w:val="28"/>
          <w:lang w:eastAsia="zh-CN"/>
        </w:rPr>
        <w:t>余佳祥</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吴少叶</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蔡</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龙</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符家波</w:t>
      </w:r>
    </w:p>
    <w:p>
      <w:pPr>
        <w:keepNext w:val="0"/>
        <w:keepLines w:val="0"/>
        <w:pageBreakBefore w:val="0"/>
        <w:widowControl w:val="0"/>
        <w:kinsoku/>
        <w:wordWrap/>
        <w:overflowPunct/>
        <w:topLinePunct w:val="0"/>
        <w:autoSpaceDE/>
        <w:autoSpaceDN/>
        <w:bidi w:val="0"/>
        <w:adjustRightInd/>
        <w:spacing w:line="560" w:lineRule="exact"/>
        <w:ind w:left="0" w:hanging="1405" w:hangingChars="500"/>
        <w:textAlignment w:val="auto"/>
        <w:outlineLvl w:val="9"/>
        <w:rPr>
          <w:rFonts w:hint="eastAsia" w:ascii="楷体" w:hAnsi="楷体" w:eastAsia="楷体" w:cs="楷体"/>
          <w:sz w:val="28"/>
          <w:szCs w:val="28"/>
        </w:rPr>
      </w:pPr>
      <w:r>
        <w:rPr>
          <w:rFonts w:hint="eastAsia" w:ascii="楷体" w:hAnsi="楷体" w:eastAsia="楷体" w:cs="楷体"/>
          <w:b/>
          <w:bCs/>
          <w:sz w:val="28"/>
          <w:szCs w:val="28"/>
        </w:rPr>
        <w:t>编　委：</w:t>
      </w:r>
      <w:r>
        <w:rPr>
          <w:rFonts w:hint="eastAsia" w:ascii="楷体" w:hAnsi="楷体" w:eastAsia="楷体" w:cs="楷体"/>
          <w:sz w:val="28"/>
          <w:szCs w:val="28"/>
          <w:lang w:val="en-US" w:eastAsia="zh-CN"/>
        </w:rPr>
        <w:t xml:space="preserve">向雪峰  陈昌武  </w:t>
      </w:r>
      <w:r>
        <w:rPr>
          <w:rFonts w:hint="eastAsia" w:ascii="楷体" w:hAnsi="楷体" w:eastAsia="楷体" w:cs="楷体"/>
          <w:sz w:val="28"/>
          <w:szCs w:val="28"/>
          <w:lang w:eastAsia="zh-CN"/>
        </w:rPr>
        <w:t>田宏应</w:t>
      </w: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彭小波</w:t>
      </w:r>
    </w:p>
    <w:p>
      <w:pPr>
        <w:keepNext w:val="0"/>
        <w:keepLines w:val="0"/>
        <w:pageBreakBefore w:val="0"/>
        <w:widowControl w:val="0"/>
        <w:kinsoku/>
        <w:wordWrap/>
        <w:overflowPunct/>
        <w:topLinePunct w:val="0"/>
        <w:autoSpaceDE/>
        <w:autoSpaceDN/>
        <w:bidi w:val="0"/>
        <w:adjustRightInd/>
        <w:spacing w:line="560" w:lineRule="exact"/>
        <w:ind w:left="1397" w:leftChars="532" w:hanging="280" w:hangingChars="100"/>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val="en-US" w:eastAsia="zh-CN"/>
        </w:rPr>
        <w:t xml:space="preserve">彭  凯  张治国  </w:t>
      </w:r>
      <w:r>
        <w:rPr>
          <w:rFonts w:hint="eastAsia" w:ascii="楷体" w:hAnsi="楷体" w:eastAsia="楷体" w:cs="楷体"/>
          <w:sz w:val="28"/>
          <w:szCs w:val="28"/>
          <w:lang w:eastAsia="zh-CN"/>
        </w:rPr>
        <w:t>郑</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勇</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向发旺</w:t>
      </w:r>
    </w:p>
    <w:p>
      <w:pPr>
        <w:keepNext w:val="0"/>
        <w:keepLines w:val="0"/>
        <w:pageBreakBefore w:val="0"/>
        <w:widowControl w:val="0"/>
        <w:kinsoku/>
        <w:wordWrap/>
        <w:overflowPunct/>
        <w:topLinePunct w:val="0"/>
        <w:autoSpaceDE/>
        <w:autoSpaceDN/>
        <w:bidi w:val="0"/>
        <w:adjustRightInd/>
        <w:spacing w:line="560" w:lineRule="exact"/>
        <w:ind w:left="0" w:hanging="1120" w:hangingChars="40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彭菊花</w:t>
      </w:r>
      <w:r>
        <w:rPr>
          <w:rFonts w:hint="eastAsia" w:ascii="楷体" w:hAnsi="楷体" w:eastAsia="楷体" w:cs="楷体"/>
          <w:sz w:val="28"/>
          <w:szCs w:val="28"/>
          <w:lang w:val="en-US" w:eastAsia="zh-CN"/>
        </w:rPr>
        <w:t xml:space="preserve">  张朝明  向  东  王小明</w:t>
      </w:r>
    </w:p>
    <w:p>
      <w:pPr>
        <w:keepNext w:val="0"/>
        <w:keepLines w:val="0"/>
        <w:pageBreakBefore w:val="0"/>
        <w:widowControl w:val="0"/>
        <w:kinsoku/>
        <w:wordWrap/>
        <w:overflowPunct/>
        <w:topLinePunct w:val="0"/>
        <w:autoSpaceDE/>
        <w:autoSpaceDN/>
        <w:bidi w:val="0"/>
        <w:adjustRightInd/>
        <w:spacing w:line="560" w:lineRule="exact"/>
        <w:ind w:left="1117" w:leftChars="532" w:firstLine="0" w:firstLineChars="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贾美银  何  斌  刘斌兰  尚小琴</w:t>
      </w:r>
    </w:p>
    <w:p>
      <w:pPr>
        <w:keepNext w:val="0"/>
        <w:keepLines w:val="0"/>
        <w:pageBreakBefore w:val="0"/>
        <w:widowControl w:val="0"/>
        <w:kinsoku/>
        <w:wordWrap/>
        <w:overflowPunct/>
        <w:topLinePunct w:val="0"/>
        <w:autoSpaceDE/>
        <w:autoSpaceDN/>
        <w:bidi w:val="0"/>
        <w:adjustRightInd/>
        <w:spacing w:line="560" w:lineRule="exact"/>
        <w:ind w:left="1117" w:leftChars="532" w:firstLine="0" w:firstLineChars="0"/>
        <w:textAlignment w:val="auto"/>
        <w:outlineLvl w:val="9"/>
        <w:rPr>
          <w:rFonts w:hint="eastAsia" w:ascii="楷体" w:hAnsi="楷体" w:eastAsia="楷体" w:cs="楷体"/>
          <w:sz w:val="28"/>
          <w:szCs w:val="28"/>
          <w:lang w:val="en-US" w:eastAsia="zh-CN"/>
        </w:rPr>
      </w:pPr>
      <w:r>
        <w:rPr>
          <w:rFonts w:hint="eastAsia" w:ascii="楷体" w:hAnsi="楷体" w:eastAsia="楷体" w:cs="楷体"/>
          <w:sz w:val="28"/>
          <w:szCs w:val="28"/>
          <w:lang w:eastAsia="zh-CN"/>
        </w:rPr>
        <w:t>向爱平</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周</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军</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吴国祥</w:t>
      </w:r>
      <w:r>
        <w:rPr>
          <w:rFonts w:hint="eastAsia" w:ascii="楷体" w:hAnsi="楷体" w:eastAsia="楷体" w:cs="楷体"/>
          <w:sz w:val="28"/>
          <w:szCs w:val="28"/>
          <w:lang w:val="en-US" w:eastAsia="zh-CN"/>
        </w:rPr>
        <w:t xml:space="preserve">  彭  科</w:t>
      </w:r>
    </w:p>
    <w:p>
      <w:pPr>
        <w:keepNext w:val="0"/>
        <w:keepLines w:val="0"/>
        <w:pageBreakBefore w:val="0"/>
        <w:widowControl w:val="0"/>
        <w:kinsoku/>
        <w:wordWrap/>
        <w:overflowPunct/>
        <w:topLinePunct w:val="0"/>
        <w:autoSpaceDE/>
        <w:autoSpaceDN/>
        <w:bidi w:val="0"/>
        <w:adjustRightInd/>
        <w:spacing w:line="560" w:lineRule="exact"/>
        <w:ind w:left="1117" w:leftChars="532" w:firstLine="0" w:firstLineChars="0"/>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eastAsia="zh-CN"/>
        </w:rPr>
        <w:t>杨智胜</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潘</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翼</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钟</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军</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尚光东</w:t>
      </w:r>
    </w:p>
    <w:p>
      <w:pPr>
        <w:keepNext w:val="0"/>
        <w:keepLines w:val="0"/>
        <w:pageBreakBefore w:val="0"/>
        <w:widowControl w:val="0"/>
        <w:kinsoku/>
        <w:wordWrap/>
        <w:overflowPunct/>
        <w:topLinePunct w:val="0"/>
        <w:autoSpaceDE/>
        <w:autoSpaceDN/>
        <w:bidi w:val="0"/>
        <w:adjustRightInd/>
        <w:spacing w:line="560" w:lineRule="exact"/>
        <w:ind w:left="1117" w:leftChars="532" w:firstLine="0" w:firstLineChars="0"/>
        <w:textAlignment w:val="auto"/>
        <w:outlineLvl w:val="9"/>
        <w:rPr>
          <w:rFonts w:hint="eastAsia" w:ascii="楷体" w:hAnsi="楷体" w:eastAsia="楷体" w:cs="楷体"/>
          <w:sz w:val="28"/>
          <w:szCs w:val="28"/>
          <w:lang w:eastAsia="zh-CN"/>
        </w:rPr>
      </w:pPr>
      <w:r>
        <w:rPr>
          <w:rFonts w:hint="eastAsia" w:ascii="楷体" w:hAnsi="楷体" w:eastAsia="楷体" w:cs="楷体"/>
          <w:sz w:val="28"/>
          <w:szCs w:val="28"/>
          <w:lang w:eastAsia="zh-CN"/>
        </w:rPr>
        <w:t>王先松</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曹</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坤</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彭飞跃</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许</w:t>
      </w:r>
      <w:r>
        <w:rPr>
          <w:rFonts w:hint="eastAsia" w:ascii="楷体" w:hAnsi="楷体" w:eastAsia="楷体" w:cs="楷体"/>
          <w:sz w:val="28"/>
          <w:szCs w:val="28"/>
          <w:lang w:val="en-US" w:eastAsia="zh-CN"/>
        </w:rPr>
        <w:t xml:space="preserve">  </w:t>
      </w:r>
      <w:r>
        <w:rPr>
          <w:rFonts w:hint="eastAsia" w:ascii="楷体" w:hAnsi="楷体" w:eastAsia="楷体" w:cs="楷体"/>
          <w:sz w:val="28"/>
          <w:szCs w:val="28"/>
          <w:lang w:eastAsia="zh-CN"/>
        </w:rPr>
        <w:t>斌</w:t>
      </w:r>
    </w:p>
    <w:p>
      <w:pPr>
        <w:keepNext w:val="0"/>
        <w:keepLines w:val="0"/>
        <w:pageBreakBefore w:val="0"/>
        <w:widowControl w:val="0"/>
        <w:kinsoku/>
        <w:wordWrap/>
        <w:overflowPunct/>
        <w:topLinePunct w:val="0"/>
        <w:autoSpaceDE/>
        <w:autoSpaceDN/>
        <w:bidi w:val="0"/>
        <w:adjustRightInd/>
        <w:spacing w:line="560" w:lineRule="exact"/>
        <w:ind w:left="1117" w:leftChars="532" w:firstLine="0" w:firstLineChars="0"/>
        <w:textAlignment w:val="auto"/>
        <w:outlineLvl w:val="9"/>
        <w:rPr>
          <w:rFonts w:hint="eastAsia" w:ascii="楷体" w:hAnsi="楷体" w:eastAsia="楷体" w:cs="楷体"/>
          <w:sz w:val="28"/>
          <w:szCs w:val="28"/>
        </w:rPr>
      </w:pPr>
      <w:r>
        <w:rPr>
          <w:rFonts w:hint="eastAsia" w:ascii="楷体" w:hAnsi="楷体" w:eastAsia="楷体" w:cs="楷体"/>
          <w:sz w:val="28"/>
          <w:szCs w:val="28"/>
          <w:lang w:eastAsia="zh-CN"/>
        </w:rPr>
        <w:t>张</w:t>
      </w:r>
      <w:r>
        <w:rPr>
          <w:rFonts w:hint="eastAsia" w:ascii="楷体" w:hAnsi="楷体" w:eastAsia="楷体" w:cs="楷体"/>
          <w:sz w:val="28"/>
          <w:szCs w:val="28"/>
          <w:lang w:val="en-US" w:eastAsia="zh-CN"/>
        </w:rPr>
        <w:t xml:space="preserve">  伟</w:t>
      </w:r>
    </w:p>
    <w:p>
      <w:pPr>
        <w:pStyle w:val="2"/>
        <w:keepNext w:val="0"/>
        <w:keepLines w:val="0"/>
        <w:pageBreakBefore w:val="0"/>
        <w:widowControl w:val="0"/>
        <w:kinsoku/>
        <w:wordWrap/>
        <w:overflowPunct/>
        <w:topLinePunct w:val="0"/>
        <w:autoSpaceDE/>
        <w:autoSpaceDN/>
        <w:bidi w:val="0"/>
        <w:adjustRightInd/>
        <w:spacing w:line="560" w:lineRule="exact"/>
        <w:ind w:left="0"/>
        <w:textAlignment w:val="auto"/>
        <w:outlineLvl w:val="9"/>
        <w:rPr>
          <w:rFonts w:hint="eastAsia" w:ascii="楷体" w:hAnsi="楷体" w:eastAsia="楷体" w:cs="楷体"/>
          <w:sz w:val="28"/>
          <w:szCs w:val="28"/>
          <w:lang w:val="en-US" w:eastAsia="zh-CN"/>
        </w:rPr>
      </w:pPr>
      <w:r>
        <w:rPr>
          <w:rFonts w:hint="eastAsia" w:ascii="楷体" w:hAnsi="楷体" w:eastAsia="楷体" w:cs="楷体"/>
          <w:b/>
          <w:bCs/>
          <w:sz w:val="28"/>
          <w:szCs w:val="28"/>
        </w:rPr>
        <w:t>编　辑：</w:t>
      </w:r>
      <w:r>
        <w:rPr>
          <w:rFonts w:hint="eastAsia" w:ascii="楷体" w:hAnsi="楷体" w:eastAsia="楷体" w:cs="楷体"/>
          <w:sz w:val="28"/>
          <w:szCs w:val="28"/>
          <w:lang w:val="en-US" w:eastAsia="zh-CN"/>
        </w:rPr>
        <w:t>肖  寒  康祖耀  陈祖翔</w:t>
      </w:r>
    </w:p>
    <w:p>
      <w:pPr>
        <w:pStyle w:val="3"/>
        <w:rPr>
          <w:rFonts w:hint="eastAsia"/>
        </w:rPr>
      </w:pPr>
    </w:p>
    <w:p>
      <w:pPr>
        <w:pStyle w:val="2"/>
        <w:rPr>
          <w:rFonts w:ascii="仿宋_GB2312" w:eastAsia="仿宋_GB2312"/>
          <w:b/>
          <w:color w:val="000000" w:themeColor="text1"/>
          <w:sz w:val="28"/>
          <w:szCs w:val="28"/>
          <w14:textFill>
            <w14:solidFill>
              <w14:schemeClr w14:val="tx1"/>
            </w14:solidFill>
          </w14:textFill>
        </w:rPr>
        <w:sectPr>
          <w:footerReference r:id="rId5" w:type="default"/>
          <w:pgSz w:w="8391" w:h="11906"/>
          <w:pgMar w:top="1701" w:right="1417" w:bottom="1417" w:left="1417" w:header="851" w:footer="680" w:gutter="0"/>
          <w:pgNumType w:fmt="decimal" w:start="1"/>
          <w:cols w:space="0" w:num="1"/>
          <w:rtlGutter w:val="0"/>
          <w:docGrid w:type="lines" w:linePitch="313" w:charSpace="0"/>
        </w:sectPr>
      </w:pPr>
    </w:p>
    <w:sdt>
      <w:sdtPr>
        <w:rPr>
          <w:rFonts w:ascii="宋体" w:hAnsi="宋体" w:eastAsia="宋体" w:cstheme="minorBidi"/>
          <w:kern w:val="2"/>
          <w:sz w:val="21"/>
          <w:szCs w:val="24"/>
          <w:lang w:val="en-US" w:eastAsia="zh-CN" w:bidi="ar-SA"/>
        </w:rPr>
        <w:id w:val="147476146"/>
        <w:docPartObj>
          <w:docPartGallery w:val="Table of Contents"/>
          <w:docPartUnique/>
        </w:docPartObj>
      </w:sdtPr>
      <w:sdtEndPr>
        <w:rPr>
          <w:rFonts w:ascii="Calibri" w:hAnsi="Calibri"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bookmarkStart w:id="0" w:name="_Toc12061_WPSOffice_Type3"/>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目</w:t>
          </w:r>
          <w:r>
            <w:rPr>
              <w:rFonts w:hint="eastAsia" w:ascii="方正小标宋简体" w:hAnsi="方正小标宋简体" w:eastAsia="方正小标宋简体" w:cs="方正小标宋简体"/>
              <w:sz w:val="30"/>
              <w:szCs w:val="30"/>
              <w:lang w:val="en-US" w:eastAsia="zh-CN"/>
            </w:rPr>
            <w:t xml:space="preserve">    </w:t>
          </w:r>
          <w:r>
            <w:rPr>
              <w:rFonts w:hint="eastAsia" w:ascii="方正小标宋简体" w:hAnsi="方正小标宋简体" w:eastAsia="方正小标宋简体" w:cs="方正小标宋简体"/>
              <w:sz w:val="30"/>
              <w:szCs w:val="30"/>
            </w:rPr>
            <w:t>录</w:t>
          </w:r>
        </w:p>
        <w:p>
          <w:pPr>
            <w:pStyle w:val="31"/>
            <w:tabs>
              <w:tab w:val="right" w:leader="dot" w:pos="6123"/>
            </w:tabs>
          </w:pPr>
          <w:r>
            <w:fldChar w:fldCharType="begin"/>
          </w:r>
          <w:r>
            <w:instrText xml:space="preserve"> HYPERLINK \l _Toc24020_WPSOffice_Level1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f4009fb2-280b-4842-8a50-3c0c663f4cce}"/>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Times New Roman"/>
                </w:rPr>
                <w:t xml:space="preserve">前 </w:t>
              </w:r>
              <w:r>
                <w:rPr>
                  <w:rFonts w:ascii="黑体" w:hAnsi="黑体" w:eastAsia="黑体" w:cs="Times New Roman"/>
                </w:rPr>
                <w:t xml:space="preserve"> </w:t>
              </w:r>
              <w:r>
                <w:rPr>
                  <w:rFonts w:hint="eastAsia" w:ascii="黑体" w:hAnsi="黑体" w:eastAsia="黑体" w:cs="Times New Roman"/>
                </w:rPr>
                <w:t>言</w:t>
              </w:r>
            </w:sdtContent>
          </w:sdt>
          <w:r>
            <w:tab/>
          </w:r>
          <w:bookmarkStart w:id="1" w:name="_Toc24020_WPSOffice_Level1Page"/>
          <w:r>
            <w:t>1</w:t>
          </w:r>
          <w:bookmarkEnd w:id="1"/>
          <w:r>
            <w:fldChar w:fldCharType="end"/>
          </w:r>
        </w:p>
        <w:p>
          <w:pPr>
            <w:pStyle w:val="31"/>
            <w:tabs>
              <w:tab w:val="right" w:leader="dot" w:pos="6123"/>
            </w:tabs>
          </w:pPr>
          <w:r>
            <w:fldChar w:fldCharType="begin"/>
          </w:r>
          <w:r>
            <w:instrText xml:space="preserve"> HYPERLINK \l _Toc1312_WPSOffice_Level1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200b7cb5-113d-44ad-8711-0d296bd7a930}"/>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第一篇  全面建成小康社会，开启全面建设</w:t>
              </w:r>
              <w:sdt>
                <w:sdtPr>
                  <w:rPr>
                    <w:rFonts w:asciiTheme="minorHAnsi" w:hAnsiTheme="minorHAnsi" w:eastAsiaTheme="minorEastAsia" w:cstheme="minorBidi"/>
                    <w:kern w:val="2"/>
                    <w:sz w:val="21"/>
                    <w:szCs w:val="24"/>
                    <w:lang w:val="en-US" w:eastAsia="zh-CN" w:bidi="ar-SA"/>
                  </w:rPr>
                  <w:id w:val="147476149"/>
                  <w:placeholder>
                    <w:docPart w:val="{1b3127d0-0707-4d40-bbf2-3a650108108e}"/>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社会主义现代化新征程</w:t>
                  </w:r>
                </w:sdtContent>
              </w:sdt>
            </w:sdtContent>
          </w:sdt>
          <w:r>
            <w:tab/>
          </w:r>
          <w:bookmarkStart w:id="2" w:name="_Toc1312_WPSOffice_Level1Page"/>
          <w:r>
            <w:t>2</w:t>
          </w:r>
          <w:bookmarkEnd w:id="2"/>
          <w:r>
            <w:fldChar w:fldCharType="end"/>
          </w:r>
        </w:p>
        <w:p>
          <w:pPr>
            <w:pStyle w:val="32"/>
            <w:tabs>
              <w:tab w:val="right" w:leader="dot" w:pos="6123"/>
            </w:tabs>
          </w:pPr>
          <w:r>
            <w:fldChar w:fldCharType="begin"/>
          </w:r>
          <w:r>
            <w:instrText xml:space="preserve"> HYPERLINK \l _Toc22718_WPSOffice_Level2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89868d0e-73be-4eb7-bd7c-1e66386520df}"/>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第一章  “十三五”时期发展成就</w:t>
              </w:r>
            </w:sdtContent>
          </w:sdt>
          <w:r>
            <w:tab/>
          </w:r>
          <w:bookmarkStart w:id="3" w:name="_Toc22718_WPSOffice_Level2Page"/>
          <w:r>
            <w:t>2</w:t>
          </w:r>
          <w:bookmarkEnd w:id="3"/>
          <w:r>
            <w:fldChar w:fldCharType="end"/>
          </w:r>
        </w:p>
        <w:p>
          <w:pPr>
            <w:pStyle w:val="32"/>
            <w:tabs>
              <w:tab w:val="right" w:leader="dot" w:pos="6123"/>
            </w:tabs>
          </w:pPr>
          <w:r>
            <w:fldChar w:fldCharType="begin"/>
          </w:r>
          <w:r>
            <w:instrText xml:space="preserve"> HYPERLINK \l _Toc26223_WPSOffice_Level2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c540e12a-b982-4b7e-91e6-cf88260a5adf}"/>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第二章  “十四五”时期发展环境</w:t>
              </w:r>
            </w:sdtContent>
          </w:sdt>
          <w:r>
            <w:tab/>
          </w:r>
          <w:bookmarkStart w:id="4" w:name="_Toc26223_WPSOffice_Level2Page"/>
          <w:r>
            <w:t>14</w:t>
          </w:r>
          <w:bookmarkEnd w:id="4"/>
          <w:r>
            <w:fldChar w:fldCharType="end"/>
          </w:r>
        </w:p>
        <w:p>
          <w:pPr>
            <w:pStyle w:val="33"/>
            <w:tabs>
              <w:tab w:val="right" w:leader="dot" w:pos="6123"/>
            </w:tabs>
          </w:pPr>
          <w:r>
            <w:fldChar w:fldCharType="begin"/>
          </w:r>
          <w:r>
            <w:instrText xml:space="preserve"> HYPERLINK \l _Toc1312_WPSOffice_Level3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39298b24-8804-43cc-bc7b-bc92c8d56b69}"/>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发展形势分析</w:t>
              </w:r>
            </w:sdtContent>
          </w:sdt>
          <w:r>
            <w:tab/>
          </w:r>
          <w:bookmarkStart w:id="5" w:name="_Toc1312_WPSOffice_Level3Page"/>
          <w:r>
            <w:t>14</w:t>
          </w:r>
          <w:bookmarkEnd w:id="5"/>
          <w:r>
            <w:fldChar w:fldCharType="end"/>
          </w:r>
        </w:p>
        <w:p>
          <w:pPr>
            <w:pStyle w:val="33"/>
            <w:tabs>
              <w:tab w:val="right" w:leader="dot" w:pos="6123"/>
            </w:tabs>
          </w:pPr>
          <w:r>
            <w:fldChar w:fldCharType="begin"/>
          </w:r>
          <w:r>
            <w:instrText xml:space="preserve"> HYPERLINK \l _Toc22718_WPSOffice_Level3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5725ac98-bf06-40fa-aeec-742229e24425}"/>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面临机遇</w:t>
              </w:r>
            </w:sdtContent>
          </w:sdt>
          <w:r>
            <w:tab/>
          </w:r>
          <w:bookmarkStart w:id="6" w:name="_Toc22718_WPSOffice_Level3Page"/>
          <w:r>
            <w:t>16</w:t>
          </w:r>
          <w:bookmarkEnd w:id="6"/>
          <w:r>
            <w:fldChar w:fldCharType="end"/>
          </w:r>
        </w:p>
        <w:p>
          <w:pPr>
            <w:pStyle w:val="33"/>
            <w:tabs>
              <w:tab w:val="right" w:leader="dot" w:pos="6123"/>
            </w:tabs>
          </w:pPr>
          <w:r>
            <w:fldChar w:fldCharType="begin"/>
          </w:r>
          <w:r>
            <w:instrText xml:space="preserve"> HYPERLINK \l _Toc26223_WPSOffice_Level3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6060a42b-b1e5-44ad-abf0-3e5171fb471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主要挑战</w:t>
              </w:r>
            </w:sdtContent>
          </w:sdt>
          <w:r>
            <w:tab/>
          </w:r>
          <w:bookmarkStart w:id="7" w:name="_Toc26223_WPSOffice_Level3Page"/>
          <w:r>
            <w:t>18</w:t>
          </w:r>
          <w:bookmarkEnd w:id="7"/>
          <w:r>
            <w:fldChar w:fldCharType="end"/>
          </w:r>
        </w:p>
        <w:p>
          <w:pPr>
            <w:pStyle w:val="32"/>
            <w:tabs>
              <w:tab w:val="right" w:leader="dot" w:pos="6123"/>
            </w:tabs>
          </w:pPr>
          <w:r>
            <w:fldChar w:fldCharType="begin"/>
          </w:r>
          <w:r>
            <w:instrText xml:space="preserve"> HYPERLINK \l _Toc26093_WPSOffice_Level2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6c86d7d5-e8ec-4d81-b743-b99a80847d7e}"/>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第三章  二〇三五年远景目标</w:t>
              </w:r>
            </w:sdtContent>
          </w:sdt>
          <w:r>
            <w:tab/>
          </w:r>
          <w:bookmarkStart w:id="8" w:name="_Toc26093_WPSOffice_Level2Page"/>
          <w:r>
            <w:t>21</w:t>
          </w:r>
          <w:bookmarkEnd w:id="8"/>
          <w:r>
            <w:fldChar w:fldCharType="end"/>
          </w:r>
        </w:p>
        <w:p>
          <w:pPr>
            <w:pStyle w:val="31"/>
            <w:tabs>
              <w:tab w:val="right" w:leader="dot" w:pos="6123"/>
            </w:tabs>
          </w:pPr>
          <w:r>
            <w:fldChar w:fldCharType="begin"/>
          </w:r>
          <w:r>
            <w:instrText xml:space="preserve"> HYPERLINK \l _Toc22718_WPSOffice_Level1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995a1280-8891-4d0b-a5ba-76c8ae5ce4d0}"/>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第二篇  “十四五”时期经济社会发展</w:t>
              </w:r>
              <w:sdt>
                <w:sdtPr>
                  <w:rPr>
                    <w:rFonts w:asciiTheme="minorHAnsi" w:hAnsiTheme="minorHAnsi" w:eastAsiaTheme="minorEastAsia" w:cstheme="minorBidi"/>
                    <w:kern w:val="2"/>
                    <w:sz w:val="21"/>
                    <w:szCs w:val="24"/>
                    <w:lang w:val="en-US" w:eastAsia="zh-CN" w:bidi="ar-SA"/>
                  </w:rPr>
                  <w:id w:val="147476149"/>
                  <w:placeholder>
                    <w:docPart w:val="{c8453d98-6b7d-49a3-94c0-c4212da1e043}"/>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指导方针和主要目标</w:t>
                  </w:r>
                </w:sdtContent>
              </w:sdt>
            </w:sdtContent>
          </w:sdt>
          <w:r>
            <w:tab/>
          </w:r>
          <w:bookmarkStart w:id="9" w:name="_Toc22718_WPSOffice_Level1Page"/>
          <w:r>
            <w:t>22</w:t>
          </w:r>
          <w:bookmarkEnd w:id="9"/>
          <w:r>
            <w:fldChar w:fldCharType="end"/>
          </w:r>
        </w:p>
        <w:p>
          <w:pPr>
            <w:pStyle w:val="32"/>
            <w:tabs>
              <w:tab w:val="right" w:leader="dot" w:pos="6123"/>
            </w:tabs>
          </w:pPr>
          <w:r>
            <w:fldChar w:fldCharType="begin"/>
          </w:r>
          <w:r>
            <w:instrText xml:space="preserve"> HYPERLINK \l _Toc14288_WPSOffice_Level2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58aae96a-4416-4582-9bf8-de8c7feb2a06}"/>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第四章  指导思想</w:t>
              </w:r>
            </w:sdtContent>
          </w:sdt>
          <w:r>
            <w:tab/>
          </w:r>
          <w:bookmarkStart w:id="10" w:name="_Toc14288_WPSOffice_Level2Page"/>
          <w:r>
            <w:t>22</w:t>
          </w:r>
          <w:bookmarkEnd w:id="10"/>
          <w:r>
            <w:fldChar w:fldCharType="end"/>
          </w:r>
        </w:p>
        <w:p>
          <w:pPr>
            <w:pStyle w:val="32"/>
            <w:tabs>
              <w:tab w:val="right" w:leader="dot" w:pos="6123"/>
            </w:tabs>
          </w:pPr>
          <w:r>
            <w:fldChar w:fldCharType="begin"/>
          </w:r>
          <w:r>
            <w:instrText xml:space="preserve"> HYPERLINK \l _Toc3489_WPSOffice_Level2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8df18fae-3735-408c-bfec-423871bfc1f5}"/>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第五章  基本原则</w:t>
              </w:r>
            </w:sdtContent>
          </w:sdt>
          <w:r>
            <w:tab/>
          </w:r>
          <w:bookmarkStart w:id="11" w:name="_Toc3489_WPSOffice_Level2Page"/>
          <w:r>
            <w:t>23</w:t>
          </w:r>
          <w:bookmarkEnd w:id="11"/>
          <w:r>
            <w:fldChar w:fldCharType="end"/>
          </w:r>
        </w:p>
        <w:p>
          <w:pPr>
            <w:pStyle w:val="32"/>
            <w:tabs>
              <w:tab w:val="right" w:leader="dot" w:pos="6123"/>
            </w:tabs>
          </w:pPr>
          <w:r>
            <w:fldChar w:fldCharType="begin"/>
          </w:r>
          <w:r>
            <w:instrText xml:space="preserve"> HYPERLINK \l _Toc9823_WPSOffice_Level2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e3a7076e-bd95-4593-bd57-573626d056d0}"/>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第六章  发展定位</w:t>
              </w:r>
            </w:sdtContent>
          </w:sdt>
          <w:r>
            <w:tab/>
          </w:r>
          <w:bookmarkStart w:id="12" w:name="_Toc9823_WPSOffice_Level2Page"/>
          <w:r>
            <w:t>24</w:t>
          </w:r>
          <w:bookmarkEnd w:id="12"/>
          <w:r>
            <w:fldChar w:fldCharType="end"/>
          </w:r>
        </w:p>
        <w:p>
          <w:pPr>
            <w:pStyle w:val="32"/>
            <w:tabs>
              <w:tab w:val="right" w:leader="dot" w:pos="6123"/>
            </w:tabs>
          </w:pPr>
          <w:r>
            <w:fldChar w:fldCharType="begin"/>
          </w:r>
          <w:r>
            <w:instrText xml:space="preserve"> HYPERLINK \l _Toc31235_WPSOffice_Level2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02a56965-3b74-475b-a715-889e0b6f0b79}"/>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第七章  主要目标</w:t>
              </w:r>
            </w:sdtContent>
          </w:sdt>
          <w:r>
            <w:tab/>
          </w:r>
          <w:bookmarkStart w:id="13" w:name="_Toc31235_WPSOffice_Level2Page"/>
          <w:r>
            <w:t>26</w:t>
          </w:r>
          <w:bookmarkEnd w:id="13"/>
          <w:r>
            <w:fldChar w:fldCharType="end"/>
          </w:r>
        </w:p>
        <w:p>
          <w:pPr>
            <w:pStyle w:val="31"/>
            <w:tabs>
              <w:tab w:val="right" w:leader="dot" w:pos="6123"/>
            </w:tabs>
          </w:pPr>
          <w:r>
            <w:fldChar w:fldCharType="begin"/>
          </w:r>
          <w:r>
            <w:instrText xml:space="preserve"> HYPERLINK \l _Toc26223_WPSOffice_Level1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cd6c6825-3273-4b6d-8e26-aa3659d04101}"/>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 xml:space="preserve">第三篇  </w:t>
              </w:r>
              <w:r>
                <w:rPr>
                  <w:rFonts w:hint="eastAsia" w:ascii="方正小标宋简体" w:hAnsi="方正小标宋简体" w:eastAsia="方正小标宋简体" w:cs="方正小标宋简体"/>
                  <w:spacing w:val="-6"/>
                </w:rPr>
                <w:t>深入推进五大“1711”行动，</w:t>
              </w:r>
              <w:sdt>
                <w:sdtPr>
                  <w:rPr>
                    <w:rFonts w:asciiTheme="minorHAnsi" w:hAnsiTheme="minorHAnsi" w:eastAsiaTheme="minorEastAsia" w:cstheme="minorBidi"/>
                    <w:spacing w:val="-6"/>
                    <w:kern w:val="2"/>
                    <w:sz w:val="21"/>
                    <w:szCs w:val="24"/>
                    <w:lang w:val="en-US" w:eastAsia="zh-CN" w:bidi="ar-SA"/>
                  </w:rPr>
                  <w:id w:val="147476149"/>
                  <w:placeholder>
                    <w:docPart w:val="{40cc6180-33b2-432a-bca5-f2c63a96dff4}"/>
                  </w:placeholder>
                </w:sdtPr>
                <w:sdtEndPr>
                  <w:rPr>
                    <w:rFonts w:asciiTheme="minorHAnsi" w:hAnsiTheme="minorHAnsi" w:eastAsiaTheme="minorEastAsia" w:cstheme="minorBidi"/>
                    <w:spacing w:val="-6"/>
                    <w:kern w:val="2"/>
                    <w:sz w:val="21"/>
                    <w:szCs w:val="24"/>
                    <w:lang w:val="en-US" w:eastAsia="zh-CN" w:bidi="ar-SA"/>
                  </w:rPr>
                </w:sdtEndPr>
                <w:sdtContent>
                  <w:r>
                    <w:rPr>
                      <w:rFonts w:hint="eastAsia" w:ascii="方正小标宋简体" w:hAnsi="方正小标宋简体" w:eastAsia="方正小标宋简体" w:cs="方正小标宋简体"/>
                      <w:spacing w:val="-6"/>
                    </w:rPr>
                    <w:t>奋力建设州域北部重点经济区</w:t>
                  </w:r>
                </w:sdtContent>
              </w:sdt>
            </w:sdtContent>
          </w:sdt>
          <w:r>
            <w:tab/>
          </w:r>
          <w:bookmarkStart w:id="14" w:name="_Toc26223_WPSOffice_Level1Page"/>
          <w:r>
            <w:t>32</w:t>
          </w:r>
          <w:bookmarkEnd w:id="14"/>
          <w:r>
            <w:fldChar w:fldCharType="end"/>
          </w:r>
        </w:p>
        <w:p>
          <w:pPr>
            <w:pStyle w:val="32"/>
            <w:tabs>
              <w:tab w:val="right" w:leader="dot" w:pos="6123"/>
            </w:tabs>
          </w:pPr>
          <w:r>
            <w:fldChar w:fldCharType="begin"/>
          </w:r>
          <w:r>
            <w:instrText xml:space="preserve"> HYPERLINK \l _Toc6765_WPSOffice_Level2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5aa06adb-2d57-44bf-b547-7e278d110729}"/>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第八章  做大做强生态文化旅游业，推动</w:t>
              </w:r>
              <w:sdt>
                <w:sdtPr>
                  <w:rPr>
                    <w:rFonts w:asciiTheme="minorHAnsi" w:hAnsiTheme="minorHAnsi" w:eastAsiaTheme="minorEastAsia" w:cstheme="minorBidi"/>
                    <w:kern w:val="2"/>
                    <w:sz w:val="21"/>
                    <w:szCs w:val="24"/>
                    <w:lang w:val="en-US" w:eastAsia="zh-CN" w:bidi="ar-SA"/>
                  </w:rPr>
                  <w:id w:val="147476149"/>
                  <w:placeholder>
                    <w:docPart w:val="{b5f4c148-29a1-48b9-8d53-6c182389efcf}"/>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全域旅游达到新高度</w:t>
                  </w:r>
                </w:sdtContent>
              </w:sdt>
            </w:sdtContent>
          </w:sdt>
          <w:r>
            <w:tab/>
          </w:r>
          <w:bookmarkStart w:id="15" w:name="_Toc6765_WPSOffice_Level2Page"/>
          <w:r>
            <w:t>32</w:t>
          </w:r>
          <w:bookmarkEnd w:id="15"/>
          <w:r>
            <w:fldChar w:fldCharType="end"/>
          </w:r>
        </w:p>
        <w:p>
          <w:pPr>
            <w:pStyle w:val="32"/>
            <w:tabs>
              <w:tab w:val="right" w:leader="dot" w:pos="6123"/>
            </w:tabs>
            <w:ind w:firstLine="400" w:firstLineChars="200"/>
          </w:pPr>
          <w:r>
            <w:fldChar w:fldCharType="begin"/>
          </w:r>
          <w:r>
            <w:instrText xml:space="preserve"> HYPERLINK \l _Toc5425_WPSOffice_Level2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d3fa1d2a-e287-46c6-ac98-41d3eb628276}"/>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明确旅游发展新目标</w:t>
              </w:r>
            </w:sdtContent>
          </w:sdt>
          <w:r>
            <w:tab/>
          </w:r>
          <w:bookmarkStart w:id="16" w:name="_Toc5425_WPSOffice_Level2Page"/>
          <w:r>
            <w:t>32</w:t>
          </w:r>
          <w:bookmarkEnd w:id="16"/>
          <w:r>
            <w:fldChar w:fldCharType="end"/>
          </w:r>
        </w:p>
        <w:p>
          <w:pPr>
            <w:pStyle w:val="32"/>
            <w:tabs>
              <w:tab w:val="right" w:leader="dot" w:pos="6123"/>
            </w:tabs>
            <w:ind w:firstLine="400" w:firstLineChars="200"/>
          </w:pPr>
          <w:r>
            <w:fldChar w:fldCharType="begin"/>
          </w:r>
          <w:r>
            <w:instrText xml:space="preserve"> HYPERLINK \l _Toc13443_WPSOffice_Level2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84aca5c0-1cf9-418b-84b0-543d50cc1129}"/>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EastAsia"/>
                </w:rPr>
                <w:t>第二节  构建旅游产品新格局</w:t>
              </w:r>
            </w:sdtContent>
          </w:sdt>
          <w:r>
            <w:tab/>
          </w:r>
          <w:bookmarkStart w:id="17" w:name="_Toc13443_WPSOffice_Level2Page"/>
          <w:r>
            <w:t>33</w:t>
          </w:r>
          <w:bookmarkEnd w:id="17"/>
          <w:r>
            <w:fldChar w:fldCharType="end"/>
          </w:r>
        </w:p>
        <w:p>
          <w:pPr>
            <w:pStyle w:val="32"/>
            <w:tabs>
              <w:tab w:val="right" w:leader="dot" w:pos="6123"/>
            </w:tabs>
            <w:ind w:firstLine="400" w:firstLineChars="200"/>
          </w:pPr>
          <w:r>
            <w:fldChar w:fldCharType="begin"/>
          </w:r>
          <w:r>
            <w:instrText xml:space="preserve"> HYPERLINK \l _Toc26618_WPSOffice_Level2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0facb6e7-40ba-41b9-89ec-f493104ff805}"/>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丰富“大美龙山”新内涵</w:t>
              </w:r>
            </w:sdtContent>
          </w:sdt>
          <w:r>
            <w:tab/>
          </w:r>
          <w:bookmarkStart w:id="18" w:name="_Toc26618_WPSOffice_Level2Page"/>
          <w:r>
            <w:t>35</w:t>
          </w:r>
          <w:bookmarkEnd w:id="18"/>
          <w:r>
            <w:fldChar w:fldCharType="end"/>
          </w:r>
        </w:p>
        <w:p>
          <w:pPr>
            <w:pStyle w:val="32"/>
            <w:tabs>
              <w:tab w:val="right" w:leader="dot" w:pos="6123"/>
            </w:tabs>
          </w:pPr>
          <w:r>
            <w:fldChar w:fldCharType="begin"/>
          </w:r>
          <w:r>
            <w:instrText xml:space="preserve"> HYPERLINK \l _Toc30845_WPSOffice_Level2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0fd9c080-58c7-41a1-b7ff-59826d834996}"/>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kern w:val="2"/>
                  <w:sz w:val="21"/>
                  <w:szCs w:val="24"/>
                  <w:lang w:val="en-US" w:eastAsia="zh-CN" w:bidi="ar-SA"/>
                </w:rPr>
                <w:t xml:space="preserve">    </w:t>
              </w:r>
              <w:r>
                <w:rPr>
                  <w:rFonts w:hint="eastAsia" w:ascii="方正书宋简体" w:hAnsi="方正书宋简体" w:eastAsia="方正书宋简体" w:cs="方正书宋简体"/>
                </w:rPr>
                <w:t>第四节  提质景区创建新品牌</w:t>
              </w:r>
            </w:sdtContent>
          </w:sdt>
          <w:r>
            <w:tab/>
          </w:r>
          <w:bookmarkStart w:id="19" w:name="_Toc30845_WPSOffice_Level2Page"/>
          <w:r>
            <w:t>36</w:t>
          </w:r>
          <w:bookmarkEnd w:id="19"/>
          <w:r>
            <w:fldChar w:fldCharType="end"/>
          </w:r>
        </w:p>
        <w:p>
          <w:pPr>
            <w:pStyle w:val="32"/>
            <w:tabs>
              <w:tab w:val="right" w:leader="dot" w:pos="6123"/>
            </w:tabs>
          </w:pPr>
          <w:r>
            <w:fldChar w:fldCharType="begin"/>
          </w:r>
          <w:r>
            <w:instrText xml:space="preserve"> HYPERLINK \l _Toc26803_WPSOffice_Level2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dbd225e3-53fa-4291-8ec7-162c7b00554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HAnsi" w:hAnsiTheme="minorHAnsi" w:eastAsiaTheme="minorEastAsia" w:cstheme="minorBidi"/>
                  <w:kern w:val="2"/>
                  <w:sz w:val="21"/>
                  <w:szCs w:val="24"/>
                  <w:lang w:val="en-US" w:eastAsia="zh-CN" w:bidi="ar-SA"/>
                </w:rPr>
                <w:t xml:space="preserve">    </w:t>
              </w:r>
              <w:r>
                <w:rPr>
                  <w:rFonts w:hint="eastAsia" w:ascii="方正书宋简体" w:hAnsi="方正书宋简体" w:eastAsia="方正书宋简体" w:cs="方正书宋简体"/>
                </w:rPr>
                <w:t>第五节  推进农旅融合发展</w:t>
              </w:r>
            </w:sdtContent>
          </w:sdt>
          <w:r>
            <w:tab/>
          </w:r>
          <w:bookmarkStart w:id="20" w:name="_Toc26803_WPSOffice_Level2Page"/>
          <w:r>
            <w:t>37</w:t>
          </w:r>
          <w:bookmarkEnd w:id="20"/>
          <w:r>
            <w:fldChar w:fldCharType="end"/>
          </w:r>
        </w:p>
        <w:p>
          <w:pPr>
            <w:pStyle w:val="32"/>
            <w:tabs>
              <w:tab w:val="right" w:leader="dot" w:pos="6123"/>
            </w:tabs>
          </w:pPr>
          <w:r>
            <w:fldChar w:fldCharType="begin"/>
          </w:r>
          <w:r>
            <w:instrText xml:space="preserve"> HYPERLINK \l _Toc2948_WPSOffice_Level2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fa04b668-ce8b-4f4e-a35b-9ba2fbac212e}"/>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第九章  优先发展农业农村，全面推进</w:t>
              </w:r>
              <w:sdt>
                <w:sdtPr>
                  <w:rPr>
                    <w:rFonts w:asciiTheme="minorHAnsi" w:hAnsiTheme="minorHAnsi" w:eastAsiaTheme="minorEastAsia" w:cstheme="minorBidi"/>
                    <w:kern w:val="2"/>
                    <w:sz w:val="21"/>
                    <w:szCs w:val="24"/>
                    <w:lang w:val="en-US" w:eastAsia="zh-CN" w:bidi="ar-SA"/>
                  </w:rPr>
                  <w:id w:val="147476149"/>
                  <w:placeholder>
                    <w:docPart w:val="{f10dcc2d-9e05-479b-934d-e334aba14416}"/>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乡村振兴开创新局面</w:t>
                  </w:r>
                </w:sdtContent>
              </w:sdt>
            </w:sdtContent>
          </w:sdt>
          <w:r>
            <w:tab/>
          </w:r>
          <w:bookmarkStart w:id="21" w:name="_Toc2948_WPSOffice_Level2Page"/>
          <w:r>
            <w:t>40</w:t>
          </w:r>
          <w:bookmarkEnd w:id="21"/>
          <w:r>
            <w:fldChar w:fldCharType="end"/>
          </w:r>
        </w:p>
        <w:p>
          <w:pPr>
            <w:pStyle w:val="33"/>
            <w:tabs>
              <w:tab w:val="right" w:leader="dot" w:pos="6123"/>
            </w:tabs>
          </w:pPr>
          <w:r>
            <w:fldChar w:fldCharType="begin"/>
          </w:r>
          <w:r>
            <w:instrText xml:space="preserve"> HYPERLINK \l _Toc26418_WPSOffice_Level3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4dadc0c8-6313-4ea9-8cd9-b292a1c7331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提高农业质量效益和竞争力</w:t>
              </w:r>
            </w:sdtContent>
          </w:sdt>
          <w:r>
            <w:tab/>
          </w:r>
          <w:bookmarkStart w:id="22" w:name="_Toc26418_WPSOffice_Level3Page"/>
          <w:r>
            <w:t>40</w:t>
          </w:r>
          <w:bookmarkEnd w:id="22"/>
          <w:r>
            <w:fldChar w:fldCharType="end"/>
          </w:r>
        </w:p>
        <w:p>
          <w:pPr>
            <w:pStyle w:val="33"/>
            <w:tabs>
              <w:tab w:val="right" w:leader="dot" w:pos="6123"/>
            </w:tabs>
          </w:pPr>
          <w:r>
            <w:fldChar w:fldCharType="begin"/>
          </w:r>
          <w:r>
            <w:instrText xml:space="preserve"> HYPERLINK \l _Toc14288_WPSOffice_Level3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32d539a2-ecf3-42c4-9864-3541e4678ca2}"/>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实施乡村建设行动</w:t>
              </w:r>
            </w:sdtContent>
          </w:sdt>
          <w:r>
            <w:tab/>
          </w:r>
          <w:bookmarkStart w:id="23" w:name="_Toc14288_WPSOffice_Level3Page"/>
          <w:r>
            <w:t>49</w:t>
          </w:r>
          <w:bookmarkEnd w:id="23"/>
          <w:r>
            <w:fldChar w:fldCharType="end"/>
          </w:r>
        </w:p>
        <w:p>
          <w:pPr>
            <w:pStyle w:val="33"/>
            <w:tabs>
              <w:tab w:val="right" w:leader="dot" w:pos="6123"/>
            </w:tabs>
          </w:pPr>
          <w:r>
            <w:fldChar w:fldCharType="begin"/>
          </w:r>
          <w:r>
            <w:instrText xml:space="preserve"> HYPERLINK \l _Toc3489_WPSOffice_Level3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0964eb11-5bfe-4d9d-9652-8b0b7ac5333a}"/>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深化农村改革</w:t>
              </w:r>
            </w:sdtContent>
          </w:sdt>
          <w:r>
            <w:tab/>
          </w:r>
          <w:bookmarkStart w:id="24" w:name="_Toc3489_WPSOffice_Level3Page"/>
          <w:r>
            <w:t>50</w:t>
          </w:r>
          <w:bookmarkEnd w:id="24"/>
          <w:r>
            <w:fldChar w:fldCharType="end"/>
          </w:r>
        </w:p>
        <w:p>
          <w:pPr>
            <w:pStyle w:val="33"/>
            <w:tabs>
              <w:tab w:val="right" w:leader="dot" w:pos="6123"/>
            </w:tabs>
          </w:pPr>
          <w:r>
            <w:fldChar w:fldCharType="begin"/>
          </w:r>
          <w:r>
            <w:instrText xml:space="preserve"> HYPERLINK \l _Toc9823_WPSOffice_Level3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58ff0301-22ae-42b4-82e4-0f873e18a551}"/>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推进脱贫攻坚与乡村振兴有效衔接</w:t>
              </w:r>
            </w:sdtContent>
          </w:sdt>
          <w:r>
            <w:tab/>
          </w:r>
          <w:bookmarkStart w:id="25" w:name="_Toc9823_WPSOffice_Level3Page"/>
          <w:r>
            <w:t>53</w:t>
          </w:r>
          <w:bookmarkEnd w:id="25"/>
          <w:r>
            <w:fldChar w:fldCharType="end"/>
          </w:r>
        </w:p>
        <w:p>
          <w:pPr>
            <w:pStyle w:val="32"/>
            <w:tabs>
              <w:tab w:val="right" w:leader="dot" w:pos="6123"/>
            </w:tabs>
          </w:pPr>
          <w:r>
            <w:fldChar w:fldCharType="begin"/>
          </w:r>
          <w:r>
            <w:instrText xml:space="preserve"> HYPERLINK \l _Toc12483_WPSOffice_Level2 </w:instrText>
          </w:r>
          <w:r>
            <w:fldChar w:fldCharType="separate"/>
          </w:r>
          <w:sdt>
            <w:sdtPr>
              <w:rPr>
                <w:rFonts w:asciiTheme="minorHAnsi" w:hAnsiTheme="minorHAnsi" w:eastAsiaTheme="minorEastAsia" w:cstheme="minorBidi"/>
                <w:kern w:val="2"/>
                <w:sz w:val="21"/>
                <w:szCs w:val="24"/>
                <w:lang w:val="en-US" w:eastAsia="zh-CN" w:bidi="ar-SA"/>
              </w:rPr>
              <w:id w:val="147476149"/>
              <w:placeholder>
                <w:docPart w:val="{93c54799-614f-4863-8d0a-4f428786dd54}"/>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第十章  推动工业转型升级，助推经济发展</w:t>
              </w:r>
              <w:sdt>
                <w:sdtPr>
                  <w:rPr>
                    <w:rFonts w:asciiTheme="minorHAnsi" w:hAnsiTheme="minorHAnsi" w:eastAsiaTheme="minorEastAsia" w:cstheme="minorBidi"/>
                    <w:kern w:val="2"/>
                    <w:sz w:val="21"/>
                    <w:szCs w:val="24"/>
                    <w:lang w:val="en-US" w:eastAsia="zh-CN" w:bidi="ar-SA"/>
                  </w:rPr>
                  <w:id w:val="147476149"/>
                  <w:placeholder>
                    <w:docPart w:val="{f22dc5a8-c02f-44a9-ba03-2f0721967380}"/>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取得新成效</w:t>
                  </w:r>
                </w:sdtContent>
              </w:sdt>
            </w:sdtContent>
          </w:sdt>
          <w:r>
            <w:tab/>
          </w:r>
          <w:bookmarkStart w:id="26" w:name="_Toc12483_WPSOffice_Level2Page"/>
          <w:r>
            <w:t>57</w:t>
          </w:r>
          <w:bookmarkEnd w:id="26"/>
          <w:r>
            <w:fldChar w:fldCharType="end"/>
          </w:r>
        </w:p>
        <w:p>
          <w:pPr>
            <w:pStyle w:val="33"/>
            <w:tabs>
              <w:tab w:val="right" w:leader="dot" w:pos="6123"/>
            </w:tabs>
          </w:pPr>
          <w:r>
            <w:fldChar w:fldCharType="begin"/>
          </w:r>
          <w:r>
            <w:instrText xml:space="preserve"> HYPERLINK \l _Toc31235_WPSOffice_Level3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4a11cc79-50d1-4375-85b5-62dfc8ec2bfe}"/>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推动工业高质量发展</w:t>
              </w:r>
            </w:sdtContent>
          </w:sdt>
          <w:r>
            <w:tab/>
          </w:r>
          <w:bookmarkStart w:id="27" w:name="_Toc31235_WPSOffice_Level3Page"/>
          <w:r>
            <w:t>57</w:t>
          </w:r>
          <w:bookmarkEnd w:id="27"/>
          <w:r>
            <w:fldChar w:fldCharType="end"/>
          </w:r>
        </w:p>
        <w:p>
          <w:pPr>
            <w:pStyle w:val="33"/>
            <w:tabs>
              <w:tab w:val="right" w:leader="dot" w:pos="6123"/>
            </w:tabs>
          </w:pPr>
          <w:r>
            <w:fldChar w:fldCharType="begin"/>
          </w:r>
          <w:r>
            <w:instrText xml:space="preserve"> HYPERLINK \l _Toc12061_WPSOffice_Level3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1a5521a5-589d-4ef4-9af7-d34909117105}"/>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加快“一区三园”建设步伐</w:t>
              </w:r>
            </w:sdtContent>
          </w:sdt>
          <w:r>
            <w:tab/>
          </w:r>
          <w:bookmarkStart w:id="28" w:name="_Toc12061_WPSOffice_Level3Page"/>
          <w:r>
            <w:t>62</w:t>
          </w:r>
          <w:bookmarkEnd w:id="28"/>
          <w:r>
            <w:fldChar w:fldCharType="end"/>
          </w:r>
        </w:p>
        <w:p>
          <w:pPr>
            <w:pStyle w:val="33"/>
            <w:tabs>
              <w:tab w:val="right" w:leader="dot" w:pos="6123"/>
            </w:tabs>
          </w:pPr>
          <w:r>
            <w:fldChar w:fldCharType="begin"/>
          </w:r>
          <w:r>
            <w:instrText xml:space="preserve"> HYPERLINK \l _Toc7815_WPSOffice_Level3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78db415f-d80e-41e5-8b6c-4331a127f72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加大企业培育力度</w:t>
              </w:r>
            </w:sdtContent>
          </w:sdt>
          <w:r>
            <w:tab/>
          </w:r>
          <w:bookmarkStart w:id="29" w:name="_Toc7815_WPSOffice_Level3Page"/>
          <w:r>
            <w:t>65</w:t>
          </w:r>
          <w:bookmarkEnd w:id="29"/>
          <w:r>
            <w:fldChar w:fldCharType="end"/>
          </w:r>
        </w:p>
        <w:p>
          <w:pPr>
            <w:pStyle w:val="33"/>
            <w:tabs>
              <w:tab w:val="right" w:leader="dot" w:pos="6123"/>
            </w:tabs>
          </w:pPr>
          <w:r>
            <w:fldChar w:fldCharType="begin"/>
          </w:r>
          <w:r>
            <w:instrText xml:space="preserve"> HYPERLINK \l _Toc17518_WPSOffice_Level3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b23f0dc6-ea05-477e-8135-ba2eba136921}"/>
              </w:placeholder>
            </w:sdtPr>
            <w:sdtEndPr>
              <w:rPr>
                <w:rFonts w:asciiTheme="minorHAnsi" w:hAnsiTheme="minorHAnsi" w:eastAsiaTheme="minorEastAsia" w:cstheme="minorBidi"/>
                <w:kern w:val="2"/>
                <w:sz w:val="21"/>
                <w:szCs w:val="24"/>
                <w:lang w:val="en-US" w:eastAsia="zh-CN" w:bidi="ar-SA"/>
              </w:rPr>
            </w:sdtEndPr>
            <w:sdtContent>
              <w:r>
                <w:rPr>
                  <w:rFonts w:hint="eastAsia" w:asciiTheme="minorEastAsia" w:hAnsiTheme="minorEastAsia" w:eastAsiaTheme="minorEastAsia" w:cstheme="minorEastAsia"/>
                </w:rPr>
                <w:t>第四节  积极承接产业转移</w:t>
              </w:r>
            </w:sdtContent>
          </w:sdt>
          <w:r>
            <w:tab/>
          </w:r>
          <w:bookmarkStart w:id="30" w:name="_Toc17518_WPSOffice_Level3Page"/>
          <w:r>
            <w:t>66</w:t>
          </w:r>
          <w:bookmarkEnd w:id="30"/>
          <w:r>
            <w:fldChar w:fldCharType="end"/>
          </w:r>
        </w:p>
        <w:p>
          <w:pPr>
            <w:pStyle w:val="32"/>
            <w:tabs>
              <w:tab w:val="right" w:leader="dot" w:pos="6123"/>
            </w:tabs>
          </w:pPr>
          <w:r>
            <w:fldChar w:fldCharType="begin"/>
          </w:r>
          <w:r>
            <w:instrText xml:space="preserve"> HYPERLINK \l _Toc12061_WPSOffice_Level2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83db775a-32e7-41eb-bc4d-57bf21b59b5e}"/>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第十一章  加快商贸物流发展，推动</w:t>
              </w:r>
              <w:sdt>
                <w:sdtPr>
                  <w:rPr>
                    <w:rFonts w:asciiTheme="minorHAnsi" w:hAnsiTheme="minorHAnsi" w:eastAsiaTheme="minorEastAsia" w:cstheme="minorBidi"/>
                    <w:kern w:val="2"/>
                    <w:sz w:val="21"/>
                    <w:szCs w:val="24"/>
                    <w:lang w:val="en-US" w:eastAsia="zh-CN" w:bidi="ar-SA"/>
                  </w:rPr>
                  <w:id w:val="147476146"/>
                  <w:placeholder>
                    <w:docPart w:val="{d5aa25e5-858b-4a67-9292-64f3c326f909}"/>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现代服务业实现新突破</w:t>
                  </w:r>
                </w:sdtContent>
              </w:sdt>
            </w:sdtContent>
          </w:sdt>
          <w:r>
            <w:tab/>
          </w:r>
          <w:bookmarkStart w:id="31" w:name="_Toc12061_WPSOffice_Level2Page"/>
          <w:r>
            <w:t>68</w:t>
          </w:r>
          <w:bookmarkEnd w:id="31"/>
          <w:r>
            <w:fldChar w:fldCharType="end"/>
          </w:r>
        </w:p>
        <w:p>
          <w:pPr>
            <w:pStyle w:val="33"/>
            <w:tabs>
              <w:tab w:val="right" w:leader="dot" w:pos="6123"/>
            </w:tabs>
          </w:pPr>
          <w:r>
            <w:fldChar w:fldCharType="begin"/>
          </w:r>
          <w:r>
            <w:instrText xml:space="preserve"> HYPERLINK \l _Toc3640_WPSOffice_Level3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99a87d0e-8766-458d-a2ca-d268fd00d85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加快发展现代新型物流服务业</w:t>
              </w:r>
            </w:sdtContent>
          </w:sdt>
          <w:r>
            <w:tab/>
          </w:r>
          <w:bookmarkStart w:id="32" w:name="_Toc3640_WPSOffice_Level3Page"/>
          <w:r>
            <w:t>69</w:t>
          </w:r>
          <w:bookmarkEnd w:id="32"/>
          <w:r>
            <w:fldChar w:fldCharType="end"/>
          </w:r>
        </w:p>
        <w:p>
          <w:pPr>
            <w:pStyle w:val="33"/>
            <w:tabs>
              <w:tab w:val="right" w:leader="dot" w:pos="6123"/>
            </w:tabs>
          </w:pPr>
          <w:r>
            <w:fldChar w:fldCharType="begin"/>
          </w:r>
          <w:r>
            <w:instrText xml:space="preserve"> HYPERLINK \l _Toc30345_WPSOffice_Level3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957bc35d-9b41-4c9a-aef2-2d5c16c7508b}"/>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持续壮大特色商贸服务业</w:t>
              </w:r>
            </w:sdtContent>
          </w:sdt>
          <w:r>
            <w:tab/>
          </w:r>
          <w:bookmarkStart w:id="33" w:name="_Toc30345_WPSOffice_Level3Page"/>
          <w:r>
            <w:t>71</w:t>
          </w:r>
          <w:bookmarkEnd w:id="33"/>
          <w:r>
            <w:fldChar w:fldCharType="end"/>
          </w:r>
        </w:p>
        <w:p>
          <w:pPr>
            <w:pStyle w:val="33"/>
            <w:tabs>
              <w:tab w:val="right" w:leader="dot" w:pos="6123"/>
            </w:tabs>
          </w:pPr>
          <w:r>
            <w:fldChar w:fldCharType="begin"/>
          </w:r>
          <w:r>
            <w:instrText xml:space="preserve"> HYPERLINK \l _Toc17401_WPSOffice_Level3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60a42a12-f106-44d2-b399-13a1b045af4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积极发展金融服务业</w:t>
              </w:r>
            </w:sdtContent>
          </w:sdt>
          <w:r>
            <w:tab/>
          </w:r>
          <w:bookmarkStart w:id="34" w:name="_Toc17401_WPSOffice_Level3Page"/>
          <w:r>
            <w:t>75</w:t>
          </w:r>
          <w:bookmarkEnd w:id="34"/>
          <w:r>
            <w:fldChar w:fldCharType="end"/>
          </w:r>
        </w:p>
        <w:p>
          <w:pPr>
            <w:pStyle w:val="33"/>
            <w:tabs>
              <w:tab w:val="right" w:leader="dot" w:pos="6123"/>
            </w:tabs>
          </w:pPr>
          <w:r>
            <w:fldChar w:fldCharType="begin"/>
          </w:r>
          <w:r>
            <w:instrText xml:space="preserve"> HYPERLINK \l _Toc562_WPSOffice_Level3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25be9a46-ac84-4b22-b42f-5fb8dbbb888a}"/>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促进电子商务繁荣发展</w:t>
              </w:r>
            </w:sdtContent>
          </w:sdt>
          <w:r>
            <w:tab/>
          </w:r>
          <w:bookmarkStart w:id="35" w:name="_Toc562_WPSOffice_Level3Page"/>
          <w:r>
            <w:t>75</w:t>
          </w:r>
          <w:bookmarkEnd w:id="35"/>
          <w:r>
            <w:fldChar w:fldCharType="end"/>
          </w:r>
        </w:p>
        <w:p>
          <w:pPr>
            <w:pStyle w:val="33"/>
            <w:tabs>
              <w:tab w:val="right" w:leader="dot" w:pos="6123"/>
            </w:tabs>
          </w:pPr>
          <w:r>
            <w:fldChar w:fldCharType="begin"/>
          </w:r>
          <w:r>
            <w:instrText xml:space="preserve"> HYPERLINK \l _Toc26335_WPSOffice_Level3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22915ee-4a7f-43a4-9403-deb49846d81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第五节  着力培育发展大健康服务业</w:t>
              </w:r>
            </w:sdtContent>
          </w:sdt>
          <w:r>
            <w:tab/>
          </w:r>
          <w:bookmarkStart w:id="36" w:name="_Toc26335_WPSOffice_Level3Page"/>
          <w:r>
            <w:t>77</w:t>
          </w:r>
          <w:bookmarkEnd w:id="36"/>
          <w:r>
            <w:fldChar w:fldCharType="end"/>
          </w:r>
        </w:p>
        <w:p>
          <w:pPr>
            <w:pStyle w:val="33"/>
            <w:tabs>
              <w:tab w:val="right" w:leader="dot" w:pos="6123"/>
            </w:tabs>
          </w:pPr>
          <w:r>
            <w:fldChar w:fldCharType="begin"/>
          </w:r>
          <w:r>
            <w:instrText xml:space="preserve"> HYPERLINK \l _Toc25087_WPSOffice_Level3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6b69415-e402-4542-9e78-8ddae9cf698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第六节  推动信息化建设与应用</w:t>
              </w:r>
            </w:sdtContent>
          </w:sdt>
          <w:r>
            <w:tab/>
          </w:r>
          <w:bookmarkStart w:id="37" w:name="_Toc25087_WPSOffice_Level3Page"/>
          <w:r>
            <w:t>77</w:t>
          </w:r>
          <w:bookmarkEnd w:id="37"/>
          <w:r>
            <w:fldChar w:fldCharType="end"/>
          </w:r>
        </w:p>
        <w:p>
          <w:pPr>
            <w:pStyle w:val="32"/>
            <w:tabs>
              <w:tab w:val="right" w:leader="dot" w:pos="6123"/>
            </w:tabs>
          </w:pPr>
          <w:r>
            <w:fldChar w:fldCharType="begin"/>
          </w:r>
          <w:r>
            <w:instrText xml:space="preserve"> HYPERLINK \l _Toc17518_WPSOffice_Level2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fbc58548-8c99-4cb0-8e42-1a949122ebe1}"/>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第十二章  加速推进新型城镇化，塑造</w:t>
              </w:r>
              <w:sdt>
                <w:sdtPr>
                  <w:rPr>
                    <w:rFonts w:asciiTheme="minorHAnsi" w:hAnsiTheme="minorHAnsi" w:eastAsiaTheme="minorEastAsia" w:cstheme="minorBidi"/>
                    <w:kern w:val="2"/>
                    <w:sz w:val="21"/>
                    <w:szCs w:val="24"/>
                    <w:lang w:val="en-US" w:eastAsia="zh-CN" w:bidi="ar-SA"/>
                  </w:rPr>
                  <w:id w:val="147476146"/>
                  <w:placeholder>
                    <w:docPart w:val="{46b6172b-46d5-4ce9-834b-cdb279e5a1bf}"/>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区域协调发展新格局</w:t>
                  </w:r>
                </w:sdtContent>
              </w:sdt>
            </w:sdtContent>
          </w:sdt>
          <w:r>
            <w:tab/>
          </w:r>
          <w:bookmarkStart w:id="38" w:name="_Toc17518_WPSOffice_Level2Page"/>
          <w:r>
            <w:t>83</w:t>
          </w:r>
          <w:bookmarkEnd w:id="38"/>
          <w:r>
            <w:fldChar w:fldCharType="end"/>
          </w:r>
        </w:p>
        <w:p>
          <w:pPr>
            <w:pStyle w:val="33"/>
            <w:tabs>
              <w:tab w:val="right" w:leader="dot" w:pos="6123"/>
            </w:tabs>
          </w:pPr>
          <w:r>
            <w:fldChar w:fldCharType="begin"/>
          </w:r>
          <w:r>
            <w:instrText xml:space="preserve"> HYPERLINK \l _Toc8086_WPSOffice_Level3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23cd9a8a-ded5-4f47-a1d9-9eea982a83a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推进以人为核心的新型城镇化</w:t>
              </w:r>
            </w:sdtContent>
          </w:sdt>
          <w:r>
            <w:tab/>
          </w:r>
          <w:bookmarkStart w:id="39" w:name="_Toc8086_WPSOffice_Level3Page"/>
          <w:r>
            <w:t>83</w:t>
          </w:r>
          <w:bookmarkEnd w:id="39"/>
          <w:r>
            <w:fldChar w:fldCharType="end"/>
          </w:r>
        </w:p>
        <w:p>
          <w:pPr>
            <w:pStyle w:val="33"/>
            <w:tabs>
              <w:tab w:val="right" w:leader="dot" w:pos="6123"/>
            </w:tabs>
          </w:pPr>
          <w:r>
            <w:fldChar w:fldCharType="begin"/>
          </w:r>
          <w:r>
            <w:instrText xml:space="preserve"> HYPERLINK \l _Toc6809_WPSOffice_Level3 </w:instrText>
          </w:r>
          <w:r>
            <w:fldChar w:fldCharType="separate"/>
          </w:r>
          <w:r>
            <w:fldChar w:fldCharType="end"/>
          </w:r>
          <w:r>
            <w:fldChar w:fldCharType="begin"/>
          </w:r>
          <w:r>
            <w:instrText xml:space="preserve"> HYPERLINK \l _Toc3115_WPSOffice_Level3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3577141-74df-4a56-a446-62e6b2f9ffc3}"/>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推动新一轮龙凤经济协作示范区建设</w:t>
              </w:r>
            </w:sdtContent>
          </w:sdt>
          <w:r>
            <w:tab/>
          </w:r>
          <w:bookmarkStart w:id="40" w:name="_Toc3115_WPSOffice_Level3Page"/>
          <w:r>
            <w:t>88</w:t>
          </w:r>
          <w:bookmarkEnd w:id="40"/>
          <w:r>
            <w:fldChar w:fldCharType="end"/>
          </w:r>
        </w:p>
        <w:p>
          <w:pPr>
            <w:pStyle w:val="33"/>
            <w:tabs>
              <w:tab w:val="right" w:leader="dot" w:pos="6123"/>
            </w:tabs>
          </w:pPr>
          <w:r>
            <w:fldChar w:fldCharType="begin"/>
          </w:r>
          <w:r>
            <w:instrText xml:space="preserve"> HYPERLINK \l _Toc21971_WPSOffice_Level3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ae86308f-15f0-4f91-a6c6-e959a15316c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统筹推进基础设施建设</w:t>
              </w:r>
            </w:sdtContent>
          </w:sdt>
          <w:r>
            <w:tab/>
          </w:r>
          <w:bookmarkStart w:id="41" w:name="_Toc21971_WPSOffice_Level3Page"/>
          <w:r>
            <w:t>90</w:t>
          </w:r>
          <w:bookmarkEnd w:id="41"/>
          <w:r>
            <w:fldChar w:fldCharType="end"/>
          </w:r>
        </w:p>
        <w:p>
          <w:pPr>
            <w:pStyle w:val="31"/>
            <w:tabs>
              <w:tab w:val="right" w:leader="dot" w:pos="6123"/>
            </w:tabs>
          </w:pPr>
          <w:r>
            <w:fldChar w:fldCharType="begin"/>
          </w:r>
          <w:r>
            <w:instrText xml:space="preserve"> HYPERLINK \l _Toc12061_WPSOffice_Level1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b041a8aa-f0c0-4723-9924-e38a3a382da2}"/>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第四篇  统筹发展和安全，建成绿色文化</w:t>
              </w:r>
              <w:sdt>
                <w:sdtPr>
                  <w:rPr>
                    <w:rFonts w:asciiTheme="minorHAnsi" w:hAnsiTheme="minorHAnsi" w:eastAsiaTheme="minorEastAsia" w:cstheme="minorBidi"/>
                    <w:kern w:val="2"/>
                    <w:sz w:val="21"/>
                    <w:szCs w:val="24"/>
                    <w:lang w:val="en-US" w:eastAsia="zh-CN" w:bidi="ar-SA"/>
                  </w:rPr>
                  <w:id w:val="147476146"/>
                  <w:placeholder>
                    <w:docPart w:val="{4897e141-d85b-4f5e-8155-f64cea817efd}"/>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开放健康平安龙山</w:t>
                  </w:r>
                </w:sdtContent>
              </w:sdt>
            </w:sdtContent>
          </w:sdt>
          <w:r>
            <w:tab/>
          </w:r>
          <w:bookmarkStart w:id="42" w:name="_Toc12061_WPSOffice_Level1Page"/>
          <w:r>
            <w:t>101</w:t>
          </w:r>
          <w:bookmarkEnd w:id="42"/>
          <w:r>
            <w:fldChar w:fldCharType="end"/>
          </w:r>
        </w:p>
        <w:p>
          <w:pPr>
            <w:pStyle w:val="32"/>
            <w:tabs>
              <w:tab w:val="right" w:leader="dot" w:pos="6123"/>
            </w:tabs>
          </w:pPr>
          <w:r>
            <w:fldChar w:fldCharType="begin"/>
          </w:r>
          <w:r>
            <w:instrText xml:space="preserve"> HYPERLINK \l _Toc17401_WPSOffice_Level2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bf48b7bf-1c04-4659-b61f-bb19b185df36}"/>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第十三章  推动绿色龙山建设，实现生态文明建设新进步</w:t>
              </w:r>
            </w:sdtContent>
          </w:sdt>
          <w:r>
            <w:tab/>
          </w:r>
          <w:bookmarkStart w:id="43" w:name="_Toc17401_WPSOffice_Level2Page"/>
          <w:r>
            <w:t>101</w:t>
          </w:r>
          <w:bookmarkEnd w:id="43"/>
          <w:r>
            <w:fldChar w:fldCharType="end"/>
          </w:r>
        </w:p>
        <w:p>
          <w:pPr>
            <w:pStyle w:val="33"/>
            <w:tabs>
              <w:tab w:val="right" w:leader="dot" w:pos="6123"/>
            </w:tabs>
          </w:pPr>
          <w:r>
            <w:fldChar w:fldCharType="begin"/>
          </w:r>
          <w:r>
            <w:instrText xml:space="preserve"> HYPERLINK \l _Toc24895_WPSOffice_Level3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f22f68b9-13ff-457e-80a6-4ce0f6a02d46}"/>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全面推动绿色低碳发展</w:t>
              </w:r>
            </w:sdtContent>
          </w:sdt>
          <w:r>
            <w:tab/>
          </w:r>
          <w:bookmarkStart w:id="44" w:name="_Toc24895_WPSOffice_Level3Page"/>
          <w:r>
            <w:t>101</w:t>
          </w:r>
          <w:bookmarkEnd w:id="44"/>
          <w:r>
            <w:fldChar w:fldCharType="end"/>
          </w:r>
        </w:p>
        <w:p>
          <w:pPr>
            <w:pStyle w:val="33"/>
            <w:tabs>
              <w:tab w:val="right" w:leader="dot" w:pos="6123"/>
            </w:tabs>
          </w:pPr>
          <w:r>
            <w:fldChar w:fldCharType="begin"/>
          </w:r>
          <w:r>
            <w:instrText xml:space="preserve"> HYPERLINK \l _Toc12460_WPSOffice_Level3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1c5866d2-f4a9-4160-9394-3e2b1cd77ec3}"/>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持续改善环境质量</w:t>
              </w:r>
            </w:sdtContent>
          </w:sdt>
          <w:r>
            <w:tab/>
          </w:r>
          <w:bookmarkStart w:id="45" w:name="_Toc12460_WPSOffice_Level3Page"/>
          <w:r>
            <w:t>104</w:t>
          </w:r>
          <w:bookmarkEnd w:id="45"/>
          <w:r>
            <w:fldChar w:fldCharType="end"/>
          </w:r>
        </w:p>
        <w:p>
          <w:pPr>
            <w:pStyle w:val="33"/>
            <w:tabs>
              <w:tab w:val="right" w:leader="dot" w:pos="6123"/>
            </w:tabs>
          </w:pPr>
          <w:r>
            <w:fldChar w:fldCharType="begin"/>
          </w:r>
          <w:r>
            <w:instrText xml:space="preserve"> HYPERLINK \l _Toc4779_WPSOffice_Level3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15ef0119-af2a-4471-92d8-00ef3ed563a9}"/>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加强生态系统保护与修复</w:t>
              </w:r>
            </w:sdtContent>
          </w:sdt>
          <w:r>
            <w:tab/>
          </w:r>
          <w:bookmarkStart w:id="46" w:name="_Toc4779_WPSOffice_Level3Page"/>
          <w:r>
            <w:t>105</w:t>
          </w:r>
          <w:bookmarkEnd w:id="46"/>
          <w:r>
            <w:fldChar w:fldCharType="end"/>
          </w:r>
        </w:p>
        <w:p>
          <w:pPr>
            <w:pStyle w:val="33"/>
            <w:tabs>
              <w:tab w:val="right" w:leader="dot" w:pos="6123"/>
            </w:tabs>
          </w:pPr>
          <w:r>
            <w:fldChar w:fldCharType="begin"/>
          </w:r>
          <w:r>
            <w:instrText xml:space="preserve"> HYPERLINK \l _Toc23175_WPSOffice_Level3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b35fffd6-b16c-4841-be6e-ca9e80e45c2f}"/>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完善生态环境治理体系</w:t>
              </w:r>
            </w:sdtContent>
          </w:sdt>
          <w:r>
            <w:tab/>
          </w:r>
          <w:bookmarkStart w:id="47" w:name="_Toc23175_WPSOffice_Level3Page"/>
          <w:r>
            <w:t>108</w:t>
          </w:r>
          <w:bookmarkEnd w:id="47"/>
          <w:r>
            <w:fldChar w:fldCharType="end"/>
          </w:r>
        </w:p>
        <w:p>
          <w:pPr>
            <w:pStyle w:val="32"/>
            <w:tabs>
              <w:tab w:val="right" w:leader="dot" w:pos="6123"/>
            </w:tabs>
          </w:pPr>
          <w:r>
            <w:fldChar w:fldCharType="begin"/>
          </w:r>
          <w:r>
            <w:instrText xml:space="preserve"> HYPERLINK \l _Toc562_WPSOffice_Level2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2067aa4-da30-41dc-9f89-1d5c35354284}"/>
              </w:placeholder>
            </w:sdtPr>
            <w:sdtEndPr>
              <w:rPr>
                <w:rFonts w:asciiTheme="minorHAnsi" w:hAnsiTheme="minorHAnsi" w:eastAsiaTheme="minorEastAsia" w:cstheme="minorBidi"/>
                <w:spacing w:val="-11"/>
                <w:kern w:val="2"/>
                <w:sz w:val="21"/>
                <w:szCs w:val="24"/>
                <w:lang w:val="en-US" w:eastAsia="zh-CN" w:bidi="ar-SA"/>
              </w:rPr>
            </w:sdtEndPr>
            <w:sdtContent>
              <w:r>
                <w:rPr>
                  <w:rFonts w:hint="eastAsia" w:ascii="黑体" w:hAnsi="黑体" w:eastAsia="黑体" w:cs="黑体"/>
                </w:rPr>
                <w:t xml:space="preserve">第十四章  </w:t>
              </w:r>
              <w:r>
                <w:rPr>
                  <w:rFonts w:hint="eastAsia" w:ascii="黑体" w:hAnsi="黑体" w:eastAsia="黑体" w:cs="黑体"/>
                  <w:spacing w:val="-11"/>
                </w:rPr>
                <w:t>繁荣发展社会主义文化，推动社会文明程度得到新提高</w:t>
              </w:r>
            </w:sdtContent>
          </w:sdt>
          <w:r>
            <w:tab/>
          </w:r>
          <w:bookmarkStart w:id="48" w:name="_Toc562_WPSOffice_Level2Page"/>
          <w:r>
            <w:t>112</w:t>
          </w:r>
          <w:bookmarkEnd w:id="48"/>
          <w:r>
            <w:fldChar w:fldCharType="end"/>
          </w:r>
        </w:p>
        <w:p>
          <w:pPr>
            <w:pStyle w:val="33"/>
            <w:tabs>
              <w:tab w:val="right" w:leader="dot" w:pos="6123"/>
            </w:tabs>
          </w:pPr>
          <w:r>
            <w:fldChar w:fldCharType="begin"/>
          </w:r>
          <w:r>
            <w:instrText xml:space="preserve"> HYPERLINK \l _Toc23898_WPSOffice_Level3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c42604cb-5bc3-488d-ba30-3da1990db58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提高社会文明程度</w:t>
              </w:r>
            </w:sdtContent>
          </w:sdt>
          <w:r>
            <w:tab/>
          </w:r>
          <w:bookmarkStart w:id="49" w:name="_Toc23898_WPSOffice_Level3Page"/>
          <w:r>
            <w:t>112</w:t>
          </w:r>
          <w:bookmarkEnd w:id="49"/>
          <w:r>
            <w:fldChar w:fldCharType="end"/>
          </w:r>
        </w:p>
        <w:p>
          <w:pPr>
            <w:pStyle w:val="33"/>
            <w:tabs>
              <w:tab w:val="right" w:leader="dot" w:pos="6123"/>
            </w:tabs>
          </w:pPr>
          <w:r>
            <w:fldChar w:fldCharType="begin"/>
          </w:r>
          <w:r>
            <w:instrText xml:space="preserve"> HYPERLINK \l _Toc6618_WPSOffice_Level3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85b6bd07-491e-4872-bf4b-2f32fc152f0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加强文化保护利用</w:t>
              </w:r>
            </w:sdtContent>
          </w:sdt>
          <w:r>
            <w:tab/>
          </w:r>
          <w:bookmarkStart w:id="50" w:name="_Toc6618_WPSOffice_Level3Page"/>
          <w:r>
            <w:t>113</w:t>
          </w:r>
          <w:bookmarkEnd w:id="50"/>
          <w:r>
            <w:fldChar w:fldCharType="end"/>
          </w:r>
        </w:p>
        <w:p>
          <w:pPr>
            <w:pStyle w:val="33"/>
            <w:tabs>
              <w:tab w:val="right" w:leader="dot" w:pos="6123"/>
            </w:tabs>
          </w:pPr>
          <w:r>
            <w:fldChar w:fldCharType="begin"/>
          </w:r>
          <w:r>
            <w:instrText xml:space="preserve"> HYPERLINK \l _Toc22748_WPSOffice_Level3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adac1aae-e724-49a3-9c1d-c77ca3fea644}"/>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繁荣发展文化事业</w:t>
              </w:r>
            </w:sdtContent>
          </w:sdt>
          <w:r>
            <w:tab/>
          </w:r>
          <w:bookmarkStart w:id="51" w:name="_Toc22748_WPSOffice_Level3Page"/>
          <w:r>
            <w:t>114</w:t>
          </w:r>
          <w:bookmarkEnd w:id="51"/>
          <w:r>
            <w:fldChar w:fldCharType="end"/>
          </w:r>
        </w:p>
        <w:p>
          <w:pPr>
            <w:pStyle w:val="33"/>
            <w:tabs>
              <w:tab w:val="right" w:leader="dot" w:pos="6123"/>
            </w:tabs>
          </w:pPr>
          <w:r>
            <w:fldChar w:fldCharType="begin"/>
          </w:r>
          <w:r>
            <w:instrText xml:space="preserve"> HYPERLINK \l _Toc13314_WPSOffice_Level3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3c9c5aae-3dca-4dbb-b207-9c2001e4908b}"/>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发展壮大民族文化产业</w:t>
              </w:r>
            </w:sdtContent>
          </w:sdt>
          <w:r>
            <w:tab/>
          </w:r>
          <w:bookmarkStart w:id="52" w:name="_Toc13314_WPSOffice_Level3Page"/>
          <w:r>
            <w:t>118</w:t>
          </w:r>
          <w:bookmarkEnd w:id="52"/>
          <w:r>
            <w:fldChar w:fldCharType="end"/>
          </w:r>
        </w:p>
        <w:p>
          <w:pPr>
            <w:pStyle w:val="32"/>
            <w:tabs>
              <w:tab w:val="right" w:leader="dot" w:pos="6123"/>
            </w:tabs>
          </w:pPr>
          <w:r>
            <w:fldChar w:fldCharType="begin"/>
          </w:r>
          <w:r>
            <w:instrText xml:space="preserve"> HYPERLINK \l _Toc26335_WPSOffice_Level2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17475176-65c4-472d-b259-0f43e05dc2dc}"/>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第十五章  深化改革创新，促进改革开放</w:t>
              </w:r>
              <w:sdt>
                <w:sdtPr>
                  <w:rPr>
                    <w:rFonts w:asciiTheme="minorHAnsi" w:hAnsiTheme="minorHAnsi" w:eastAsiaTheme="minorEastAsia" w:cstheme="minorBidi"/>
                    <w:kern w:val="2"/>
                    <w:sz w:val="21"/>
                    <w:szCs w:val="24"/>
                    <w:lang w:val="en-US" w:eastAsia="zh-CN" w:bidi="ar-SA"/>
                  </w:rPr>
                  <w:id w:val="147476146"/>
                  <w:placeholder>
                    <w:docPart w:val="{92ce1eac-e4cb-4b6a-81b9-9c1bbaa0f6c8}"/>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迈出新步伐</w:t>
                  </w:r>
                </w:sdtContent>
              </w:sdt>
            </w:sdtContent>
          </w:sdt>
          <w:r>
            <w:tab/>
          </w:r>
          <w:bookmarkStart w:id="53" w:name="_Toc26335_WPSOffice_Level2Page"/>
          <w:r>
            <w:t>119</w:t>
          </w:r>
          <w:bookmarkEnd w:id="53"/>
          <w:r>
            <w:fldChar w:fldCharType="end"/>
          </w:r>
        </w:p>
        <w:p>
          <w:pPr>
            <w:pStyle w:val="33"/>
            <w:tabs>
              <w:tab w:val="right" w:leader="dot" w:pos="6123"/>
            </w:tabs>
          </w:pPr>
          <w:r>
            <w:fldChar w:fldCharType="begin"/>
          </w:r>
          <w:r>
            <w:instrText xml:space="preserve"> HYPERLINK \l _Toc14591_WPSOffice_Level3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6eaa7396-1e8d-4d14-8069-142c4d810f2c}"/>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坚持全面深化改革</w:t>
              </w:r>
            </w:sdtContent>
          </w:sdt>
          <w:r>
            <w:tab/>
          </w:r>
          <w:bookmarkStart w:id="54" w:name="_Toc14591_WPSOffice_Level3Page"/>
          <w:r>
            <w:t>119</w:t>
          </w:r>
          <w:bookmarkEnd w:id="54"/>
          <w:r>
            <w:fldChar w:fldCharType="end"/>
          </w:r>
        </w:p>
        <w:p>
          <w:pPr>
            <w:pStyle w:val="33"/>
            <w:tabs>
              <w:tab w:val="right" w:leader="dot" w:pos="6123"/>
            </w:tabs>
          </w:pPr>
          <w:r>
            <w:fldChar w:fldCharType="begin"/>
          </w:r>
          <w:r>
            <w:instrText xml:space="preserve"> HYPERLINK \l _Toc2538_WPSOffice_Level3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b4c96cb-3f01-46d9-9ff1-d1d964675c28}"/>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坚持扩大开放</w:t>
              </w:r>
            </w:sdtContent>
          </w:sdt>
          <w:r>
            <w:tab/>
          </w:r>
          <w:bookmarkStart w:id="55" w:name="_Toc2538_WPSOffice_Level3Page"/>
          <w:r>
            <w:t>124</w:t>
          </w:r>
          <w:bookmarkEnd w:id="55"/>
          <w:r>
            <w:fldChar w:fldCharType="end"/>
          </w:r>
        </w:p>
        <w:p>
          <w:pPr>
            <w:pStyle w:val="33"/>
            <w:tabs>
              <w:tab w:val="right" w:leader="dot" w:pos="6123"/>
            </w:tabs>
          </w:pPr>
          <w:r>
            <w:fldChar w:fldCharType="begin"/>
          </w:r>
          <w:r>
            <w:instrText xml:space="preserve"> HYPERLINK \l _Toc19954_WPSOffice_Level3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04ed9968-fbeb-4c36-b896-5a8ecca6e86c}"/>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推动创新驱动发展</w:t>
              </w:r>
            </w:sdtContent>
          </w:sdt>
          <w:r>
            <w:tab/>
          </w:r>
          <w:bookmarkStart w:id="56" w:name="_Toc19954_WPSOffice_Level3Page"/>
          <w:r>
            <w:t>126</w:t>
          </w:r>
          <w:bookmarkEnd w:id="56"/>
          <w:r>
            <w:fldChar w:fldCharType="end"/>
          </w:r>
        </w:p>
        <w:p>
          <w:pPr>
            <w:pStyle w:val="32"/>
            <w:tabs>
              <w:tab w:val="right" w:leader="dot" w:pos="6123"/>
            </w:tabs>
          </w:pPr>
          <w:r>
            <w:fldChar w:fldCharType="begin"/>
          </w:r>
          <w:r>
            <w:instrText xml:space="preserve"> HYPERLINK \l _Toc8086_WPSOffice_Level2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dc2f68a0-fb08-4ba4-a5da-c367850dced6}"/>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第十六章  改善人民生活品质，促进民生福祉达到新水平</w:t>
              </w:r>
            </w:sdtContent>
          </w:sdt>
          <w:r>
            <w:tab/>
          </w:r>
          <w:bookmarkStart w:id="57" w:name="_Toc8086_WPSOffice_Level2Page"/>
          <w:r>
            <w:t>128</w:t>
          </w:r>
          <w:bookmarkEnd w:id="57"/>
          <w:r>
            <w:fldChar w:fldCharType="end"/>
          </w:r>
        </w:p>
        <w:p>
          <w:pPr>
            <w:pStyle w:val="33"/>
            <w:tabs>
              <w:tab w:val="right" w:leader="dot" w:pos="6123"/>
            </w:tabs>
          </w:pPr>
          <w:r>
            <w:fldChar w:fldCharType="begin"/>
          </w:r>
          <w:r>
            <w:instrText xml:space="preserve"> HYPERLINK \l _Toc6707_WPSOffice_Level3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06a0087e-4814-42b5-bd62-9f77cc1830ac}"/>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实施就业创业优先政策</w:t>
              </w:r>
            </w:sdtContent>
          </w:sdt>
          <w:r>
            <w:tab/>
          </w:r>
          <w:bookmarkStart w:id="58" w:name="_Toc6707_WPSOffice_Level3Page"/>
          <w:r>
            <w:t>128</w:t>
          </w:r>
          <w:bookmarkEnd w:id="58"/>
          <w:r>
            <w:fldChar w:fldCharType="end"/>
          </w:r>
        </w:p>
        <w:p>
          <w:pPr>
            <w:pStyle w:val="33"/>
            <w:tabs>
              <w:tab w:val="right" w:leader="dot" w:pos="6123"/>
            </w:tabs>
          </w:pPr>
          <w:r>
            <w:fldChar w:fldCharType="begin"/>
          </w:r>
          <w:r>
            <w:instrText xml:space="preserve"> HYPERLINK \l _Toc30292_WPSOffice_Level3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0e9ccdbf-b851-495b-b3c7-08654eb255ab}"/>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推进教育与体育高质量发展</w:t>
              </w:r>
            </w:sdtContent>
          </w:sdt>
          <w:r>
            <w:tab/>
          </w:r>
          <w:bookmarkStart w:id="59" w:name="_Toc30292_WPSOffice_Level3Page"/>
          <w:r>
            <w:t>131</w:t>
          </w:r>
          <w:bookmarkEnd w:id="59"/>
          <w:r>
            <w:fldChar w:fldCharType="end"/>
          </w:r>
        </w:p>
        <w:p>
          <w:pPr>
            <w:pStyle w:val="33"/>
            <w:tabs>
              <w:tab w:val="right" w:leader="dot" w:pos="6123"/>
            </w:tabs>
          </w:pPr>
          <w:r>
            <w:fldChar w:fldCharType="begin"/>
          </w:r>
          <w:r>
            <w:instrText xml:space="preserve"> HYPERLINK \l _Toc16759_WPSOffice_Level3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31c5a1f-a6c4-4f81-80c7-aa6102b8722a}"/>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推动健康龙山建设</w:t>
              </w:r>
            </w:sdtContent>
          </w:sdt>
          <w:r>
            <w:tab/>
          </w:r>
          <w:bookmarkStart w:id="60" w:name="_Toc16759_WPSOffice_Level3Page"/>
          <w:r>
            <w:t>137</w:t>
          </w:r>
          <w:bookmarkEnd w:id="60"/>
          <w:r>
            <w:fldChar w:fldCharType="end"/>
          </w:r>
        </w:p>
        <w:p>
          <w:pPr>
            <w:pStyle w:val="33"/>
            <w:tabs>
              <w:tab w:val="right" w:leader="dot" w:pos="6123"/>
            </w:tabs>
          </w:pPr>
          <w:r>
            <w:fldChar w:fldCharType="begin"/>
          </w:r>
          <w:r>
            <w:instrText xml:space="preserve"> HYPERLINK \l _Toc6888_WPSOffice_Level3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304017bf-3067-4d76-8c54-2fb00a0f3d03}"/>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完善社会保障体系</w:t>
              </w:r>
            </w:sdtContent>
          </w:sdt>
          <w:r>
            <w:tab/>
          </w:r>
          <w:bookmarkStart w:id="61" w:name="_Toc6888_WPSOffice_Level3Page"/>
          <w:r>
            <w:t>143</w:t>
          </w:r>
          <w:bookmarkEnd w:id="61"/>
          <w:r>
            <w:fldChar w:fldCharType="end"/>
          </w:r>
        </w:p>
        <w:p>
          <w:pPr>
            <w:pStyle w:val="32"/>
            <w:tabs>
              <w:tab w:val="right" w:leader="dot" w:pos="6123"/>
            </w:tabs>
          </w:pPr>
          <w:r>
            <w:fldChar w:fldCharType="begin"/>
          </w:r>
          <w:r>
            <w:instrText xml:space="preserve"> HYPERLINK \l _Toc6809_WPSOffice_Level2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0f2bdcce-8827-4aef-86a6-4849cad0d357}"/>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 xml:space="preserve">第十七章  </w:t>
              </w:r>
              <w:r>
                <w:rPr>
                  <w:rFonts w:hint="eastAsia" w:ascii="黑体" w:hAnsi="黑体" w:eastAsia="黑体" w:cs="黑体"/>
                  <w:spacing w:val="-11"/>
                </w:rPr>
                <w:t>建设更高水平的平安龙山</w:t>
              </w:r>
              <w:r>
                <w:rPr>
                  <w:rFonts w:hint="eastAsia" w:ascii="黑体" w:hAnsi="黑体" w:eastAsia="黑体" w:cs="黑体"/>
                  <w:spacing w:val="-11"/>
                  <w:lang w:val="en-US" w:eastAsia="zh-CN"/>
                </w:rPr>
                <w:t>,</w:t>
              </w:r>
              <w:r>
                <w:rPr>
                  <w:rFonts w:hint="eastAsia" w:ascii="黑体" w:hAnsi="黑体" w:eastAsia="黑体" w:cs="黑体"/>
                  <w:spacing w:val="-11"/>
                </w:rPr>
                <w:t>推动</w:t>
              </w:r>
              <w:sdt>
                <w:sdtPr>
                  <w:rPr>
                    <w:rFonts w:asciiTheme="minorHAnsi" w:hAnsiTheme="minorHAnsi" w:eastAsiaTheme="minorEastAsia" w:cstheme="minorBidi"/>
                    <w:spacing w:val="-11"/>
                    <w:kern w:val="2"/>
                    <w:sz w:val="21"/>
                    <w:szCs w:val="24"/>
                    <w:lang w:val="en-US" w:eastAsia="zh-CN" w:bidi="ar-SA"/>
                  </w:rPr>
                  <w:id w:val="147476146"/>
                  <w:placeholder>
                    <w:docPart w:val="{2c944c02-0263-427f-a88c-f53424269656}"/>
                  </w:placeholder>
                </w:sdtPr>
                <w:sdtEndPr>
                  <w:rPr>
                    <w:rFonts w:asciiTheme="minorHAnsi" w:hAnsiTheme="minorHAnsi" w:eastAsiaTheme="minorEastAsia" w:cstheme="minorBidi"/>
                    <w:spacing w:val="-11"/>
                    <w:kern w:val="2"/>
                    <w:sz w:val="21"/>
                    <w:szCs w:val="24"/>
                    <w:lang w:val="en-US" w:eastAsia="zh-CN" w:bidi="ar-SA"/>
                  </w:rPr>
                </w:sdtEndPr>
                <w:sdtContent>
                  <w:r>
                    <w:rPr>
                      <w:rFonts w:hint="eastAsia" w:ascii="黑体" w:hAnsi="黑体" w:eastAsia="黑体" w:cs="黑体"/>
                      <w:spacing w:val="-11"/>
                    </w:rPr>
                    <w:t>县域治理效能得到新提升</w:t>
                  </w:r>
                </w:sdtContent>
              </w:sdt>
            </w:sdtContent>
          </w:sdt>
          <w:r>
            <w:tab/>
          </w:r>
          <w:bookmarkStart w:id="62" w:name="_Toc6809_WPSOffice_Level2Page"/>
          <w:r>
            <w:t>149</w:t>
          </w:r>
          <w:bookmarkEnd w:id="62"/>
          <w:r>
            <w:fldChar w:fldCharType="end"/>
          </w:r>
        </w:p>
        <w:p>
          <w:pPr>
            <w:pStyle w:val="33"/>
            <w:tabs>
              <w:tab w:val="right" w:leader="dot" w:pos="6123"/>
            </w:tabs>
          </w:pPr>
          <w:r>
            <w:fldChar w:fldCharType="begin"/>
          </w:r>
          <w:r>
            <w:instrText xml:space="preserve"> HYPERLINK \l _Toc4537_WPSOffice_Level3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13917131-3909-4b33-8931-1b15307f800a}"/>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第一节  全面推进法治龙山建设</w:t>
              </w:r>
            </w:sdtContent>
          </w:sdt>
          <w:r>
            <w:tab/>
          </w:r>
          <w:bookmarkStart w:id="63" w:name="_Toc4537_WPSOffice_Level3Page"/>
          <w:r>
            <w:t>149</w:t>
          </w:r>
          <w:bookmarkEnd w:id="63"/>
          <w:r>
            <w:fldChar w:fldCharType="end"/>
          </w:r>
        </w:p>
        <w:p>
          <w:pPr>
            <w:pStyle w:val="33"/>
            <w:tabs>
              <w:tab w:val="right" w:leader="dot" w:pos="6123"/>
            </w:tabs>
          </w:pPr>
          <w:r>
            <w:fldChar w:fldCharType="begin"/>
          </w:r>
          <w:r>
            <w:instrText xml:space="preserve"> HYPERLINK \l _Toc18633_WPSOffice_Level3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af95cb7f-648d-4cfd-8d04-6c5eeedc43e0}"/>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第二节  加强和创新社会治理</w:t>
              </w:r>
            </w:sdtContent>
          </w:sdt>
          <w:r>
            <w:tab/>
          </w:r>
          <w:bookmarkStart w:id="64" w:name="_Toc18633_WPSOffice_Level3Page"/>
          <w:r>
            <w:t>152</w:t>
          </w:r>
          <w:bookmarkEnd w:id="64"/>
          <w:r>
            <w:fldChar w:fldCharType="end"/>
          </w:r>
        </w:p>
        <w:p>
          <w:pPr>
            <w:pStyle w:val="33"/>
            <w:tabs>
              <w:tab w:val="right" w:leader="dot" w:pos="6123"/>
            </w:tabs>
          </w:pPr>
          <w:r>
            <w:fldChar w:fldCharType="begin"/>
          </w:r>
          <w:r>
            <w:instrText xml:space="preserve"> HYPERLINK \l _Toc8771_WPSOffice_Level3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a992f7e-6431-4b26-aeff-11566e983281}"/>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第三节  维护社会稳定和安全</w:t>
              </w:r>
            </w:sdtContent>
          </w:sdt>
          <w:r>
            <w:tab/>
          </w:r>
          <w:bookmarkStart w:id="65" w:name="_Toc8771_WPSOffice_Level3Page"/>
          <w:r>
            <w:t>155</w:t>
          </w:r>
          <w:bookmarkEnd w:id="65"/>
          <w:r>
            <w:fldChar w:fldCharType="end"/>
          </w:r>
        </w:p>
        <w:p>
          <w:pPr>
            <w:pStyle w:val="33"/>
            <w:tabs>
              <w:tab w:val="right" w:leader="dot" w:pos="6123"/>
            </w:tabs>
          </w:pPr>
          <w:r>
            <w:fldChar w:fldCharType="begin"/>
          </w:r>
          <w:r>
            <w:instrText xml:space="preserve"> HYPERLINK \l _Toc26188_WPSOffice_Level3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d4f2597b-af7b-478c-9e3b-61dc3c0b7529}"/>
              </w:placeholder>
            </w:sdtPr>
            <w:sdtEndPr>
              <w:rPr>
                <w:rFonts w:asciiTheme="minorHAnsi" w:hAnsiTheme="minorHAnsi" w:eastAsiaTheme="minorEastAsia" w:cstheme="minorBidi"/>
                <w:kern w:val="2"/>
                <w:sz w:val="21"/>
                <w:szCs w:val="24"/>
                <w:lang w:val="en-US" w:eastAsia="zh-CN" w:bidi="ar-SA"/>
              </w:rPr>
            </w:sdtEndPr>
            <w:sdtContent>
              <w:r>
                <w:rPr>
                  <w:rFonts w:hint="eastAsia" w:ascii="方正书宋简体" w:hAnsi="方正书宋简体" w:eastAsia="方正书宋简体" w:cs="方正书宋简体"/>
                </w:rPr>
                <w:t>第四节  强化债务风险防控</w:t>
              </w:r>
            </w:sdtContent>
          </w:sdt>
          <w:r>
            <w:tab/>
          </w:r>
          <w:bookmarkStart w:id="66" w:name="_Toc26188_WPSOffice_Level3Page"/>
          <w:r>
            <w:t>160</w:t>
          </w:r>
          <w:bookmarkEnd w:id="66"/>
          <w:r>
            <w:fldChar w:fldCharType="end"/>
          </w:r>
        </w:p>
        <w:p>
          <w:pPr>
            <w:pStyle w:val="31"/>
            <w:tabs>
              <w:tab w:val="right" w:leader="dot" w:pos="6123"/>
            </w:tabs>
          </w:pPr>
          <w:r>
            <w:fldChar w:fldCharType="begin"/>
          </w:r>
          <w:r>
            <w:instrText xml:space="preserve"> HYPERLINK \l _Toc7815_WPSOffice_Level1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8cc875f-0d37-4db1-99a4-81f4a5dc598b}"/>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第五篇  全县人民团结起来，为实现“十四五”规划和二〇三五年远景目标而奋斗</w:t>
              </w:r>
            </w:sdtContent>
          </w:sdt>
          <w:r>
            <w:tab/>
          </w:r>
          <w:bookmarkStart w:id="67" w:name="_Toc7815_WPSOffice_Level1Page"/>
          <w:r>
            <w:t>163</w:t>
          </w:r>
          <w:bookmarkEnd w:id="67"/>
          <w:r>
            <w:fldChar w:fldCharType="end"/>
          </w:r>
        </w:p>
        <w:p>
          <w:pPr>
            <w:pStyle w:val="32"/>
            <w:tabs>
              <w:tab w:val="right" w:leader="dot" w:pos="6123"/>
            </w:tabs>
          </w:pPr>
          <w:r>
            <w:fldChar w:fldCharType="begin"/>
          </w:r>
          <w:r>
            <w:instrText xml:space="preserve"> HYPERLINK \l _Toc21971_WPSOffice_Level2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5df0e470-b715-4e3c-a76a-cb12fd16e1e7}"/>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第十八章  坚持和加强党的全面领导</w:t>
              </w:r>
            </w:sdtContent>
          </w:sdt>
          <w:r>
            <w:tab/>
          </w:r>
          <w:bookmarkStart w:id="68" w:name="_Toc21971_WPSOffice_Level2Page"/>
          <w:r>
            <w:t>163</w:t>
          </w:r>
          <w:bookmarkEnd w:id="68"/>
          <w:r>
            <w:fldChar w:fldCharType="end"/>
          </w:r>
        </w:p>
        <w:p>
          <w:pPr>
            <w:pStyle w:val="32"/>
            <w:tabs>
              <w:tab w:val="right" w:leader="dot" w:pos="6123"/>
            </w:tabs>
          </w:pPr>
          <w:r>
            <w:fldChar w:fldCharType="begin"/>
          </w:r>
          <w:r>
            <w:instrText xml:space="preserve"> HYPERLINK \l _Toc2868_WPSOffice_Level2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4c72159c-0b5f-468e-80c4-9b0b9a8bda87}"/>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第十九章  推进社会主义民主政治建设</w:t>
              </w:r>
            </w:sdtContent>
          </w:sdt>
          <w:r>
            <w:tab/>
          </w:r>
          <w:bookmarkStart w:id="69" w:name="_Toc2868_WPSOffice_Level2Page"/>
          <w:r>
            <w:t>164</w:t>
          </w:r>
          <w:bookmarkEnd w:id="69"/>
          <w:r>
            <w:fldChar w:fldCharType="end"/>
          </w:r>
        </w:p>
        <w:p>
          <w:pPr>
            <w:pStyle w:val="32"/>
            <w:tabs>
              <w:tab w:val="right" w:leader="dot" w:pos="6123"/>
            </w:tabs>
          </w:pPr>
          <w:r>
            <w:fldChar w:fldCharType="begin"/>
          </w:r>
          <w:r>
            <w:instrText xml:space="preserve"> HYPERLINK \l _Toc11188_WPSOffice_Level2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b2744563-012d-4fff-b3e6-612df03b00dd}"/>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第二十章  推进清廉龙山建设</w:t>
              </w:r>
            </w:sdtContent>
          </w:sdt>
          <w:r>
            <w:tab/>
          </w:r>
          <w:bookmarkStart w:id="70" w:name="_Toc11188_WPSOffice_Level2Page"/>
          <w:r>
            <w:t>165</w:t>
          </w:r>
          <w:bookmarkEnd w:id="70"/>
          <w:r>
            <w:fldChar w:fldCharType="end"/>
          </w:r>
        </w:p>
        <w:p>
          <w:pPr>
            <w:pStyle w:val="32"/>
            <w:tabs>
              <w:tab w:val="right" w:leader="dot" w:pos="6123"/>
            </w:tabs>
          </w:pPr>
          <w:r>
            <w:fldChar w:fldCharType="begin"/>
          </w:r>
          <w:r>
            <w:instrText xml:space="preserve"> HYPERLINK \l _Toc24895_WPSOffice_Level2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da126d15-7263-4296-a5f8-86c472787121}"/>
              </w:placeholder>
            </w:sdtPr>
            <w:sdtEndPr>
              <w:rPr>
                <w:rFonts w:asciiTheme="minorHAnsi" w:hAnsiTheme="minorHAnsi" w:eastAsiaTheme="minorEastAsia" w:cstheme="minorBidi"/>
                <w:kern w:val="2"/>
                <w:sz w:val="21"/>
                <w:szCs w:val="24"/>
                <w:lang w:val="en-US" w:eastAsia="zh-CN" w:bidi="ar-SA"/>
              </w:rPr>
            </w:sdtEndPr>
            <w:sdtContent>
              <w:r>
                <w:rPr>
                  <w:rFonts w:hint="eastAsia" w:ascii="黑体" w:hAnsi="黑体" w:eastAsia="黑体" w:cs="黑体"/>
                </w:rPr>
                <w:t>第二十一章  强化要素保障</w:t>
              </w:r>
            </w:sdtContent>
          </w:sdt>
          <w:r>
            <w:tab/>
          </w:r>
          <w:bookmarkStart w:id="71" w:name="_Toc24895_WPSOffice_Level2Page"/>
          <w:r>
            <w:t>166</w:t>
          </w:r>
          <w:bookmarkEnd w:id="71"/>
          <w:r>
            <w:fldChar w:fldCharType="end"/>
          </w:r>
        </w:p>
        <w:p>
          <w:pPr>
            <w:pStyle w:val="31"/>
            <w:tabs>
              <w:tab w:val="right" w:leader="dot" w:pos="6123"/>
            </w:tabs>
          </w:pPr>
          <w:r>
            <w:fldChar w:fldCharType="begin"/>
          </w:r>
          <w:r>
            <w:instrText xml:space="preserve"> HYPERLINK \l _Toc17518_WPSOffice_Level1 </w:instrText>
          </w:r>
          <w:r>
            <w:fldChar w:fldCharType="separate"/>
          </w:r>
          <w:sdt>
            <w:sdtPr>
              <w:rPr>
                <w:rFonts w:asciiTheme="minorHAnsi" w:hAnsiTheme="minorHAnsi" w:eastAsiaTheme="minorEastAsia" w:cstheme="minorBidi"/>
                <w:kern w:val="2"/>
                <w:sz w:val="21"/>
                <w:szCs w:val="24"/>
                <w:lang w:val="en-US" w:eastAsia="zh-CN" w:bidi="ar-SA"/>
              </w:rPr>
              <w:id w:val="147476146"/>
              <w:placeholder>
                <w:docPart w:val="{8dcc6e91-8779-4475-affc-3d3f2af64f91}"/>
              </w:placeholder>
            </w:sdtPr>
            <w:sdtEndPr>
              <w:rPr>
                <w:rFonts w:asciiTheme="minorHAnsi" w:hAnsiTheme="minorHAnsi" w:eastAsiaTheme="minorEastAsia" w:cstheme="minorBidi"/>
                <w:kern w:val="2"/>
                <w:sz w:val="21"/>
                <w:szCs w:val="24"/>
                <w:lang w:val="en-US" w:eastAsia="zh-CN" w:bidi="ar-SA"/>
              </w:rPr>
            </w:sdtEndPr>
            <w:sdtContent>
              <w:r>
                <w:rPr>
                  <w:rFonts w:hint="eastAsia" w:ascii="方正小标宋简体" w:hAnsi="方正小标宋简体" w:eastAsia="方正小标宋简体" w:cs="方正小标宋简体"/>
                </w:rPr>
                <w:t>名词解释：</w:t>
              </w:r>
            </w:sdtContent>
          </w:sdt>
          <w:r>
            <w:tab/>
          </w:r>
          <w:bookmarkStart w:id="72" w:name="_Toc17518_WPSOffice_Level1Page"/>
          <w:r>
            <w:t>169</w:t>
          </w:r>
          <w:bookmarkEnd w:id="72"/>
          <w:r>
            <w:fldChar w:fldCharType="end"/>
          </w:r>
          <w:bookmarkEnd w:id="0"/>
        </w:p>
      </w:sdtContent>
    </w:sdt>
    <w:p>
      <w:pPr>
        <w:pStyle w:val="3"/>
        <w:keepNext w:val="0"/>
        <w:keepLines w:val="0"/>
        <w:pageBreakBefore w:val="0"/>
        <w:kinsoku/>
        <w:wordWrap/>
        <w:overflowPunct/>
        <w:topLinePunct w:val="0"/>
        <w:autoSpaceDE/>
        <w:autoSpaceDN/>
        <w:bidi w:val="0"/>
        <w:spacing w:line="420" w:lineRule="exact"/>
        <w:ind w:left="0" w:leftChars="0" w:firstLine="0" w:firstLineChars="0"/>
        <w:jc w:val="both"/>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2"/>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rPr>
          <w:rFonts w:hint="eastAsia" w:ascii="黑体" w:hAnsi="黑体" w:eastAsia="黑体" w:cs="Times New Roman"/>
          <w:b w:val="0"/>
          <w:bCs w:val="0"/>
          <w:color w:val="000000" w:themeColor="text1"/>
          <w:kern w:val="44"/>
          <w:sz w:val="32"/>
          <w:szCs w:val="32"/>
          <w14:textFill>
            <w14:solidFill>
              <w14:schemeClr w14:val="tx1"/>
            </w14:solidFill>
          </w14:textFill>
        </w:rPr>
        <w:sectPr>
          <w:footerReference r:id="rId6" w:type="default"/>
          <w:endnotePr>
            <w:numFmt w:val="decimalEnclosedCircleChinese"/>
          </w:endnotePr>
          <w:pgSz w:w="8391" w:h="11906"/>
          <w:pgMar w:top="1247" w:right="1134" w:bottom="1247" w:left="1134" w:header="851" w:footer="680" w:gutter="0"/>
          <w:pgNumType w:fmt="decimal" w:start="1"/>
          <w:cols w:space="0" w:num="1"/>
          <w:rtlGutter w:val="0"/>
          <w:docGrid w:type="lines" w:linePitch="313" w:charSpace="0"/>
        </w:sectPr>
      </w:pPr>
    </w:p>
    <w:p>
      <w:pPr>
        <w:rPr>
          <w:rFonts w:hint="eastAsia"/>
        </w:rPr>
      </w:pPr>
    </w:p>
    <w:p>
      <w:pPr>
        <w:rPr>
          <w:rFonts w:hint="eastAsia"/>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sectPr>
          <w:footerReference r:id="rId7" w:type="default"/>
          <w:endnotePr>
            <w:numFmt w:val="decimalEnclosedCircleChinese"/>
          </w:endnotePr>
          <w:pgSz w:w="8391" w:h="11906"/>
          <w:pgMar w:top="1247" w:right="1134" w:bottom="1247" w:left="1134" w:header="851" w:footer="680" w:gutter="0"/>
          <w:pgNumType w:fmt="decimal" w:start="1"/>
          <w:cols w:space="0" w:num="1"/>
          <w:rtlGutter w:val="0"/>
          <w:docGrid w:type="lines" w:linePitch="313" w:charSpace="0"/>
        </w:sect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hint="eastAsia" w:ascii="黑体" w:hAnsi="黑体" w:eastAsia="黑体" w:cs="Times New Roman"/>
          <w:b w:val="0"/>
          <w:bCs w:val="0"/>
          <w:color w:val="000000" w:themeColor="text1"/>
          <w:kern w:val="44"/>
          <w:sz w:val="32"/>
          <w:szCs w:val="32"/>
          <w14:textFill>
            <w14:solidFill>
              <w14:schemeClr w14:val="tx1"/>
            </w14:solidFill>
          </w14:textFill>
        </w:rPr>
      </w:pPr>
    </w:p>
    <w:p>
      <w:pPr>
        <w:pStyle w:val="3"/>
        <w:keepNext w:val="0"/>
        <w:keepLines w:val="0"/>
        <w:pageBreakBefore w:val="0"/>
        <w:kinsoku/>
        <w:wordWrap/>
        <w:overflowPunct/>
        <w:topLinePunct w:val="0"/>
        <w:autoSpaceDE/>
        <w:autoSpaceDN/>
        <w:bidi w:val="0"/>
        <w:spacing w:line="420" w:lineRule="exact"/>
        <w:ind w:left="0" w:leftChars="0" w:firstLine="0" w:firstLineChars="0"/>
        <w:jc w:val="center"/>
        <w:textAlignment w:val="auto"/>
        <w:outlineLvl w:val="9"/>
        <w:rPr>
          <w:rFonts w:ascii="黑体" w:hAnsi="黑体" w:eastAsia="黑体" w:cs="Times New Roman"/>
          <w:b w:val="0"/>
          <w:bCs w:val="0"/>
          <w:color w:val="000000" w:themeColor="text1"/>
          <w:kern w:val="44"/>
          <w:sz w:val="32"/>
          <w:szCs w:val="32"/>
          <w14:textFill>
            <w14:solidFill>
              <w14:schemeClr w14:val="tx1"/>
            </w14:solidFill>
          </w14:textFill>
        </w:rPr>
      </w:pPr>
      <w:bookmarkStart w:id="73" w:name="_Toc24020_WPSOffice_Level1"/>
      <w:r>
        <w:rPr>
          <w:rFonts w:hint="eastAsia" w:ascii="黑体" w:hAnsi="黑体" w:eastAsia="黑体" w:cs="Times New Roman"/>
          <w:b w:val="0"/>
          <w:bCs w:val="0"/>
          <w:color w:val="000000" w:themeColor="text1"/>
          <w:kern w:val="44"/>
          <w:sz w:val="32"/>
          <w:szCs w:val="32"/>
          <w14:textFill>
            <w14:solidFill>
              <w14:schemeClr w14:val="tx1"/>
            </w14:solidFill>
          </w14:textFill>
        </w:rPr>
        <w:t xml:space="preserve">前 </w:t>
      </w:r>
      <w:r>
        <w:rPr>
          <w:rFonts w:ascii="黑体" w:hAnsi="黑体" w:eastAsia="黑体" w:cs="Times New Roman"/>
          <w:b w:val="0"/>
          <w:bCs w:val="0"/>
          <w:color w:val="000000" w:themeColor="text1"/>
          <w:kern w:val="44"/>
          <w:sz w:val="32"/>
          <w:szCs w:val="32"/>
          <w14:textFill>
            <w14:solidFill>
              <w14:schemeClr w14:val="tx1"/>
            </w14:solidFill>
          </w14:textFill>
        </w:rPr>
        <w:t xml:space="preserve"> </w:t>
      </w:r>
      <w:r>
        <w:rPr>
          <w:rFonts w:hint="eastAsia" w:ascii="黑体" w:hAnsi="黑体" w:eastAsia="黑体" w:cs="Times New Roman"/>
          <w:b w:val="0"/>
          <w:bCs w:val="0"/>
          <w:color w:val="000000" w:themeColor="text1"/>
          <w:kern w:val="44"/>
          <w:sz w:val="32"/>
          <w:szCs w:val="32"/>
          <w14:textFill>
            <w14:solidFill>
              <w14:schemeClr w14:val="tx1"/>
            </w14:solidFill>
          </w14:textFill>
        </w:rPr>
        <w:t>言</w:t>
      </w:r>
      <w:bookmarkEnd w:id="73"/>
    </w:p>
    <w:p>
      <w:pPr>
        <w:pageBreakBefore w:val="0"/>
        <w:widowControl w:val="0"/>
        <w:kinsoku/>
        <w:wordWrap/>
        <w:overflowPunct/>
        <w:topLinePunct w:val="0"/>
        <w:autoSpaceDE/>
        <w:autoSpaceDN/>
        <w:bidi w:val="0"/>
        <w:spacing w:line="560" w:lineRule="exact"/>
        <w:ind w:firstLine="560" w:firstLineChars="200"/>
        <w:textAlignment w:val="auto"/>
        <w:rPr>
          <w:rFonts w:hint="eastAsia" w:ascii="仿宋_GB2312" w:eastAsia="仿宋_GB2312"/>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56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龙山县国民经济和社会发展第十四个五年规划和二〇三五年远景目标纲要》根据中央、省委、州委、县委关于制定国民经济和社会发展第十四个五年规划和二〇三五年远景目标的建议编制，重点阐明我县未来五年经济社会发展的指导思想、主要目标、重点任务、政策措施以及2035年远景目标，是政府履行宏观调控、市场监管、社会治理、公共服务和环境保护职责的重要依据，是引导市场主体行为的重要参考，是引领全县各族人民共同奋斗的宏伟蓝图和行动纲领。</w:t>
      </w:r>
    </w:p>
    <w:p>
      <w:pPr>
        <w:pStyle w:val="2"/>
        <w:rPr>
          <w:rFonts w:hint="eastAsia" w:asciiTheme="minorEastAsia" w:hAnsiTheme="minorEastAsia" w:eastAsiaTheme="minorEastAsia" w:cstheme="minorEastAsia"/>
          <w:sz w:val="28"/>
          <w:szCs w:val="28"/>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spacing w:val="-11"/>
          <w:w w:val="100"/>
          <w:kern w:val="44"/>
          <w:sz w:val="30"/>
          <w:szCs w:val="30"/>
          <w14:textFill>
            <w14:solidFill>
              <w14:schemeClr w14:val="tx1"/>
            </w14:solidFill>
          </w14:textFill>
        </w:rPr>
      </w:pPr>
      <w:bookmarkStart w:id="74" w:name="_Toc60048881"/>
    </w:p>
    <w:p>
      <w:pPr>
        <w:pStyle w:val="2"/>
        <w:rPr>
          <w:rFonts w:hint="eastAsia" w:ascii="方正小标宋简体" w:hAnsi="方正小标宋简体" w:eastAsia="方正小标宋简体" w:cs="方正小标宋简体"/>
          <w:b w:val="0"/>
          <w:bCs w:val="0"/>
          <w:color w:val="000000" w:themeColor="text1"/>
          <w:spacing w:val="-11"/>
          <w:w w:val="100"/>
          <w:kern w:val="44"/>
          <w:sz w:val="30"/>
          <w:szCs w:val="30"/>
          <w14:textFill>
            <w14:solidFill>
              <w14:schemeClr w14:val="tx1"/>
            </w14:solidFill>
          </w14:textFill>
        </w:rPr>
      </w:pPr>
    </w:p>
    <w:p>
      <w:pPr>
        <w:pStyle w:val="3"/>
        <w:rPr>
          <w:rFonts w:hint="eastAsia"/>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sectPr>
          <w:footerReference r:id="rId8" w:type="default"/>
          <w:endnotePr>
            <w:numFmt w:val="decimalEnclosedCircleChinese"/>
          </w:endnotePr>
          <w:pgSz w:w="8391" w:h="11906"/>
          <w:pgMar w:top="1247" w:right="1134" w:bottom="1247" w:left="1134" w:header="851" w:footer="680" w:gutter="0"/>
          <w:pgNumType w:fmt="decimal" w:start="1"/>
          <w:cols w:space="0" w:num="1"/>
          <w:rtlGutter w:val="0"/>
          <w:docGrid w:type="lines" w:linePitch="313" w:charSpace="0"/>
        </w:sectPr>
      </w:pPr>
    </w:p>
    <w:p>
      <w:pPr>
        <w:pStyle w:val="2"/>
        <w:rPr>
          <w:rFonts w:hint="eastAsia"/>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pPr>
      <w:bookmarkStart w:id="75" w:name="_Toc1312_WPSOffice_Level1"/>
      <w:r>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t>第一篇  全面建成小康社会，开启全面建设</w:t>
      </w:r>
      <w:bookmarkEnd w:id="75"/>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pPr>
      <w:bookmarkStart w:id="76" w:name="_Toc32746_WPSOffice_Level2"/>
      <w:bookmarkStart w:id="77" w:name="_Toc1312_WPSOffice_Level2"/>
      <w:r>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t>社会主义现代化新征程</w:t>
      </w:r>
      <w:bookmarkEnd w:id="74"/>
      <w:bookmarkEnd w:id="76"/>
      <w:bookmarkEnd w:id="77"/>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开启全面建设社会主义现代化龙山新征程，必须立足于我县经济社会发展的现实基础和阶段性特征，必须适应宏观环境和县情发生的深刻复杂变化，坚定不移贯彻新发展理念，加快构建新发展格局，持之以恒推动高质量发展。</w:t>
      </w:r>
    </w:p>
    <w:p>
      <w:pPr>
        <w:pStyle w:val="2"/>
        <w:keepNext w:val="0"/>
        <w:keepLines w:val="0"/>
        <w:pageBreakBefore w:val="0"/>
        <w:widowControl w:val="0"/>
        <w:kinsoku/>
        <w:wordWrap/>
        <w:overflowPunct/>
        <w:topLinePunct w:val="0"/>
        <w:autoSpaceDE/>
        <w:autoSpaceDN/>
        <w:bidi w:val="0"/>
        <w:spacing w:line="420" w:lineRule="exact"/>
        <w:textAlignment w:val="auto"/>
        <w:rPr>
          <w:rFonts w:hint="eastAsia"/>
        </w:r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78" w:name="_Toc22718_WPSOffice_Level2"/>
      <w:bookmarkStart w:id="79" w:name="_Toc60048882"/>
      <w:r>
        <w:rPr>
          <w:rFonts w:hint="eastAsia" w:ascii="黑体" w:hAnsi="黑体" w:eastAsia="黑体" w:cs="黑体"/>
          <w:b w:val="0"/>
          <w:bCs w:val="0"/>
          <w:color w:val="000000" w:themeColor="text1"/>
          <w:sz w:val="30"/>
          <w:szCs w:val="30"/>
          <w14:textFill>
            <w14:solidFill>
              <w14:schemeClr w14:val="tx1"/>
            </w14:solidFill>
          </w14:textFill>
        </w:rPr>
        <w:t>第一章  “十三五”时期发展成就</w:t>
      </w:r>
      <w:bookmarkEnd w:id="78"/>
      <w:bookmarkEnd w:id="79"/>
    </w:p>
    <w:p>
      <w:pPr>
        <w:pStyle w:val="2"/>
        <w:keepNext w:val="0"/>
        <w:keepLines w:val="0"/>
        <w:pageBreakBefore w:val="0"/>
        <w:widowControl w:val="0"/>
        <w:kinsoku/>
        <w:wordWrap/>
        <w:overflowPunct/>
        <w:topLinePunct w:val="0"/>
        <w:autoSpaceDE/>
        <w:autoSpaceDN/>
        <w:bidi w:val="0"/>
        <w:spacing w:line="420" w:lineRule="exact"/>
        <w:textAlignment w:val="auto"/>
        <w:rPr>
          <w:rFonts w:hint="eastAsia"/>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决战脱贫攻坚、决胜全面建成小康社会取得决定性成就。“十三五”时期是我县发展极不平凡、极为重要的五年。面对复杂多变的宏观环境、艰巨</w:t>
      </w:r>
      <w:bookmarkStart w:id="298" w:name="_GoBack"/>
      <w:bookmarkEnd w:id="298"/>
      <w:r>
        <w:rPr>
          <w:rFonts w:hint="eastAsia" w:ascii="方正书宋简体" w:hAnsi="方正书宋简体" w:eastAsia="方正书宋简体" w:cs="方正书宋简体"/>
          <w:color w:val="000000" w:themeColor="text1"/>
          <w:sz w:val="24"/>
          <w:szCs w:val="24"/>
          <w14:textFill>
            <w14:solidFill>
              <w14:schemeClr w14:val="tx1"/>
            </w14:solidFill>
          </w14:textFill>
        </w:rPr>
        <w:t>繁重的脱贫发展任务，面对新冠肺炎疫情严重冲击，在习近平新时代中国特色社会主义思想科学指引下，在党中央、国务院和省委、省政府及州委、州政府的坚强领导下，县委、县政府团结带领全县各族人民，砥砺前行、开拓创新，着力稳增长、促改革、调结构、惠民生、防风险，全面贯彻落实党的十九大和十九届二中、三中、四中、五中全会精神，认真贯彻落实新发展理念、创新引领开放崛起战略和州委“542”发展战略，坚持稳中求进工作总基调，聚焦三大攻坚战、高质量发展，积极应对风险挑战，推动经济社会各领域取得了历史性成就，“十三五”规划目标任务即将完成，全面建成小康社会胜利在望，为开启全面建设社会主义现代化国家新征程奠定了坚实基础。</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经济实力得到显著增强。</w:t>
      </w:r>
      <w:r>
        <w:rPr>
          <w:rFonts w:hint="eastAsia" w:ascii="方正书宋简体" w:hAnsi="方正书宋简体" w:eastAsia="方正书宋简体" w:cs="方正书宋简体"/>
          <w:color w:val="000000" w:themeColor="text1"/>
          <w:sz w:val="24"/>
          <w:szCs w:val="24"/>
          <w14:textFill>
            <w14:solidFill>
              <w14:schemeClr w14:val="tx1"/>
            </w14:solidFill>
          </w14:textFill>
        </w:rPr>
        <w:t>“十三五”期间，县域经济综合实力大幅增强，产业结构不断优化，经济活力不断增强，发展质量持续提升。2015-2020年（2020年数值均为预计值，下同），地区生产总值由67.37亿元增加至</w:t>
      </w:r>
      <w:r>
        <w:rPr>
          <w:rFonts w:hint="eastAsia" w:ascii="方正书宋简体" w:hAnsi="方正书宋简体" w:eastAsia="方正书宋简体" w:cs="方正书宋简体"/>
          <w:color w:val="000000" w:themeColor="text1"/>
          <w:spacing w:val="2"/>
          <w:kern w:val="0"/>
          <w:sz w:val="24"/>
          <w:szCs w:val="24"/>
          <w14:textFill>
            <w14:solidFill>
              <w14:schemeClr w14:val="tx1"/>
            </w14:solidFill>
          </w14:textFill>
        </w:rPr>
        <w:t>98.86</w:t>
      </w:r>
      <w:r>
        <w:rPr>
          <w:rFonts w:hint="eastAsia" w:ascii="方正书宋简体" w:hAnsi="方正书宋简体" w:eastAsia="方正书宋简体" w:cs="方正书宋简体"/>
          <w:color w:val="000000" w:themeColor="text1"/>
          <w:sz w:val="24"/>
          <w:szCs w:val="24"/>
          <w14:textFill>
            <w14:solidFill>
              <w14:schemeClr w14:val="tx1"/>
            </w14:solidFill>
          </w14:textFill>
        </w:rPr>
        <w:t>亿元，年均增长6.8%，总量居全州第2；财政总收入由6.11亿元增加至9.33亿元，年均增长8.84%，其中一般性公共预算收入由4.4亿元增加至6.23亿元，年均增长7.35%，财政总支出由33.4亿元增加至55.84亿元，年均增长10.85%；规模工业增加值年均增长9.3%；固定资产投资年均增长6.1%；社会消费品零售总额年均增长6.3%；城镇、农村居民人均可支配收入年均分别增长9%、10.7%；年末银行存款年均增长12.54%；年末银行贷款从125.26亿元增加到167.64亿元，年均增长30.35%。</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三大攻坚战取得决定性成就。</w:t>
      </w:r>
      <w:r>
        <w:rPr>
          <w:rFonts w:hint="eastAsia" w:ascii="方正书宋简体" w:hAnsi="方正书宋简体" w:eastAsia="方正书宋简体" w:cs="方正书宋简体"/>
          <w:b w:val="0"/>
          <w:bCs w:val="0"/>
          <w:color w:val="000000" w:themeColor="text1"/>
          <w:spacing w:val="7"/>
          <w:kern w:val="0"/>
          <w:sz w:val="24"/>
          <w:szCs w:val="24"/>
          <w:shd w:val="clear" w:color="auto" w:fill="FFFFFF"/>
          <w:lang w:bidi="ar"/>
          <w14:textFill>
            <w14:solidFill>
              <w14:schemeClr w14:val="tx1"/>
            </w14:solidFill>
          </w14:textFill>
        </w:rPr>
        <w:t>打好打赢精准脱贫攻坚战。</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始终坚持将打好打赢脱贫攻坚战作为头等大事和第一民生工程，践行五级书记抓扶贫的历史责任和精准扶贫的基本方略，在农业农村部鼎力支持、长沙市26年守望相助、济南市市中区倾情帮扶下，坚持尽锐出战，累计投入各类资金59.33亿元，深入推进精准脱贫“十一项工程”，产业就业得到迅猛发展，城乡居民人均可支配收入年同比增长率平均超过10%，水、电、路、讯等基础设施和公共服务显著改善，“三保障”问题全面解决，全县11.95万贫困人口全部稳定脱贫、227个贫困村全部有序退出、贫困县顺利实现摘帽，按期完成了新时代脱贫攻坚各项目标任务。其中，实施易地扶贫搬迁3004户12272人，投入资金8.23亿元；危房改造8414户，投资3.26亿元。重大风险得到有效防范和化解。严控PPP项目立项审批，通过“调、停、缓、撤”重大项目压减投资35.26亿元，国有企业市场化转型稳步推进，债务风险总体可控，风险等级为绿色；依法妥善处置天然气、商银理财等领域非法集资案件，推动金融体系良性循环发展，坚定维护社会繁荣稳定。污染防治深入推进。污染防治攻坚战取得重大进展，大力推进农村改厨改厕、城乡生活垃圾集中处理、城乡污水管网建设、黑臭水体整治等，建成惹巴拉污水处理厂，退养禁捕有力有效，城市环境空气质量优良率达95.9%。</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特色产业建设取得新成效。</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贯彻落实“生态立县、旅游兴县、工业强县”发展战略，加速推动县域产业健康高速发展。农业产业快速提质升级。农业产值达27.8亿元。农作物总播种面积稳定在100万亩以上，粮食作物播种面积53万亩，粮食总产量19.6万吨，形成了百合、柑橘（果蔬）、茶叶、油茶、烤烟、中药材、养殖等七大农业特色产业。县域南部脐橙、中部油茶、东部茶叶、城郊百合、高寒地区中药材、中北部烤烟的特色产业布局基本成型，发展农产品加工企业141家，农业产业化龙头企业23家，其中省级龙头企业5家、州级龙头企业18家；四星级以上休闲农庄5家，农民专业合作社1113个;农产品加工企业获得SC认证12家，获农产品地理标志认证6个；绿色食品认证8个；6万亩百合基地为全国绿色食品原料标准化生产基地；190个村集体经济收入突破5万元；完成改（新）建农村户用卫生厕所7084户。“十三五”期间，农业建设成绩显著：2019年获批省级农业科技园，2016-2018年连续3年被评为全省粮食生产先进县、2018-2020年被国家杂交水稻工程技术研究中心授予粮食高产绿色优质科技创新工程先进示范基地，2015-2018年连续4年被评为全省养殖业目标管理先进县，龙山百合获湖南省首批“一县一特”农产品优秀品牌目录，里耶镇入选2020年国家农业产业强镇示范建设。新型工业稳步发展。全县规模工业企业由29家增长到42家，规模以下小微工业企业达500余家，全社会研发经费投入增长至5700万元，工业集中区建成标准化厂房8万平方米，污水处理等配套设施不断完善，园区企业达34家，2020年，全县实现工业增加值达13.1亿元。文化旅游业加速升级。累计投资22亿元，里耶-八面山、惹巴拉、乌龙山、太平山、茨岩塘五大景区景点建设基本完成，全部对外开放，影视基地、溶洞群、山居民宿、红色基地、历史古街、帐篷营地、房车营地等特色景点靓丽呈现，土家族大型电视连续剧《血盟千年》圆满完成拍摄。里耶古城成功获批国家4A景区，乌龙山大峡谷景区成功通过4A级景区景观质量评审，成功创建国家3A级旅游景区5个，茨岩塘景区成功入选“潇湘红八景”及“锦绣潇湘”湖南旅游精品线路红色线路（不忘初心·重走长征路），里耶镇、苗儿滩镇获得湖南“特色文旅小镇”称号，成功获评“中国民间文化艺术之乡-舍巴日之乡”、顺利通过“中国民间文化艺术之乡-土家织锦之乡”复核，获得国家级风景名胜区、中国历史文化名镇名村、全国关心下一代党史国史教育基地（茨岩塘）、国家国防教育示范基地（湘鄂川黔革命根据地）、全国指定影视拍摄基地等国字号品牌20余项。2020年，预计全县接待国内外游客近510万人次，实现旅游总收入50亿元，旅游接待人次、旅游收入分别比2015年增长79.7%、105.6%。现代服务业快速发展。房地产业高速增长，总投资额达67亿元，龙城外滩、天玺一号、诚信广场、诚信御园等一大批房产项目先后建成使用。信息产业蓬勃发展。物流业务总量突破60亿元，年均增长6.8%。货币金融服务业快速发展，全县存贷款余额分别达188亿、169亿，年均分别增长12.54%、34.92%，完成农商行改制工作，设立助农取款服务点397个、金融扶贫服务站227个，实现基础金融服务不出村、综合金融服务不出镇。商贸物流加快发展。获批全国电子商务进农村综合示范整体推进县，县、乡、村三级农村电商网络和物流体系初具雏形，“十三五”期间，对外贸易首次突破亿元大关，总额超1.5亿元，累计社会消费品零售总额达197.05亿元，累计完成电子商务交易额30亿元，年均增长30%。物流园、农贸市场等项目建设加快推进，新改建农贸市场6个。</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基础设施变化巨大。</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现代综合立体交通网络体系基本形成。累计完成交通工程投资90亿元，黔张常铁路、龙永高速建成通车，结束了县域没有铁路和高速公路的历史，龙里、洗里、石洗等干线公路建成投用，桑龙高速启动建设，农村公路新修、提质改造2344公里，新建、改造桥梁249座，新修公路生命防护工程1750公里，全面实现建制村通水泥路达到100%、建制村通客运班车达到100%、25户100人以上自然村通硬化路达到100%目标，综合交通网络格局实现立体式全覆盖。水利建设取得新成果。累计完成水利工程投资9亿元，里耶防洪工程、落水洞电站、楠竹坪水库、“五小”水利工程全面完工，农村饮水安全提升工程全面实施，解决了农村51.16万人饮水安全问题。能源保障取得新成效。落水洞电站、湾塘电站增效扩容、大灵山风电场、苗市光伏电站已建成投入使用，大湘西天然气长输管网（龙山段）全面完成，县域供电、供水、供气覆盖率、稳定性全面提升，城乡居民水电气需求得到充分保障。信息化建设取得新进展。累计投资达2.7亿余元，无线基站达到1828个，其中4G以下基站457个，4G基站1371个，无线信号已实现全县所有行政村100%覆盖，在397个村委会、学校、卫生所等重点场所及周边村民集中居住区域，4G信号已实现100%的有效覆盖，通信基础设施建设基本完善。</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城乡面貌焕然一新。</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城市扩容提质步伐加快。新型城镇化快速推进，“山水龙城”加快建设，华塘、城东、高铁、老城四大组团加快发展，城区面积加速扩大，功能配套逐步完善，城市承载能力和人居环境不断提升，城镇化率达到47%，县城中心城区突破14平方公里。皇仓坪森林公园、果利河“山水龙城”两河休闲风光带相继建成开放，30余个商住小区相继竣工交付，建设商品住房总面积200余万平方米，城镇居民人均住房面积达38.5平方米，全面升级改造24条城区道路，配套完善亮化、绿化、人行道、下水道、管网管线、电子监控、公交停靠站点等八大配套设施，城镇污水处理率达到93%，供水普及率达到98.1%，饮用水源连续四年达标率100%，城乡生活垃圾无害化处理率达到100%，燃气普及率达90.2%，对县城区80台小型燃煤锅炉、炉灶实施改造和污染防治设施改造，县城区清洁能源使用率达95％以上，县城内300家餐馆采取油烟净化措施，“两违”现象得到遏制，环境污染得到治理，城乡面貌发生新的变化。美丽乡村建设扎实推进，完成65个农村环境综合整治项目，全面完成全县397个村（社区）综合服务平台建设，申报国家级传统村落29个，实施农村改厕近2万座，新建改造乡镇公厕35座，茨岩塘、靛房、召市、水田坝、惹巴拉等村镇建设项目全面竣工，乡镇卫生院、学校、道路亮化等建设基本完成，农村人居环境整治纵深推进，打造美丽乡村新形象。获“全省新农村建设先进县”。里耶镇荣获“全国特色小镇”和国家级“历史文化名镇”称号。生态环境建设显著加强。林业用地面积增加1.3万公顷，森林面积增加4.57万公顷，森林覆盖率达70.15%，成功创建茨岩塘镇等9个省级生态乡镇和石羔街道泗坪村等19个省级生态村，对248个行政村进行农村环境综合整治，城乡人居环境明显改善，与全州同步成功创建全国森林城市。</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社会治理效能提升有力。</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全面从严治党不断深化，基层基础更加夯实，民主法治建设有力推进，治理体系和治理能力有效提升，城乡同建同治、网格化社会服务管理富有成效，宣传思想文化工作不断加强，汛情应对、安全生产扎实有力，新冠肺炎疫情等风险防控卓有成效，社会大局持续稳定。全力打击违法犯罪，立刑事案件4377起，破案2220起，破案率50.72%。深入推进扫黑除恶专项斗争，打掉涉黑、涉恶团伙10个。禁毒工作成效明显，办理“7.01”等部督毒品目标案件4起，全民禁毒意识深入人心。大力推进警务机制改革，组建巡特警大队，成功处置60余起涉众性事件；组建“城市快警”，完成“一村一辅警”配备，取缔麻将馆1300余家，全县治安水平全面提升。健全完善县级领导接访、约访、下访和领导包案机制，深入推进信访制度改革工作，着力打造“阳光信访”“责任信访”“法治信访”，有效化解一批信访积案，信访秩序进一步好转，2020年实现零非访工作目标。严格落实安全生产责任制，强力推进安全隐患排查整治，扎实推进落后产能关闭退出工作，“十三五”期间关闭退出3家烟花爆竹生产企业、1家煤矿企业。连续四年获评“全省综治工作先进县”，连续两年被评为全省平安县，连续四年评为“全省安全生产工作先进县”。</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改革开放纵深推进。</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各项改革稳步推进。调整优化县级党政机构设置和职能配置，共设置党政机构37个，其中县委机构8个，县政府工作部门29个。深化人大、政协机构改革和群团组织改革，深化事业单位、综合行政执法、乡镇机构改革，统筹推进审批服务便民化改革，将机构改革同深化简政放权、放管结合、优化服务改革有机结合起来，全面推行审批服务“马上办、网上办、就近办、一次办”，不断优化办事创业和营商环境。创新驱动持续增强。推动实施“龙山百合绿色高效种植技术及深加工关键技术应用与示范”“龙山县特色中药材种植及高附加值产品开发”“中药材玉竹加工与高产培育技术创新研究与推广”等国家、省、州的科技项目建设。成功创建湖南省农业科技园区，全社会研发经费投入5700万元，高新技术产值6.39亿元，全县有高新技术企业6家，省级知识产权示范企业2家、省级科普示范基地2个、合作共建工程中心1个。开放合作开创新局面。全县累计签约招商项目84个，完成省外境内招商到位资金32亿元，利用外资229.5万美元，增长率达到75%，成功引进了红星美凯龙、大灵山风能、健坤教育、龙城天街等重大招商引资项目，引进非金融类“三类500强”企业4家，累计实现外贸进出口总额1.5亿余元，在全州排名实现从第七升至第二。</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龙凤示范区建设取得丰硕成果。</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一是经济发展明显提速。全县生产总值由2011年的43.72亿元，增加到2019年的94.94亿元，年均增长9.5%。财政总收入由2011年的2.68亿元，增加到2019年的10.07亿元，年均增长10.7%。二是交通条件明显改善。高速、高铁全面开通，以龙凤示范区为核心4小时抵达长沙、重庆、武汉等省会城市的武陵山腹地交通枢纽。三是龙凤经济一体化发展格局基本形成。形成了50平方公里50万人口“一水双城”武陵山片区重要城市框架，共同推进了同城共建、基本公共服务均等化、生态环境保护等一体化建设。</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社会事业全面发展。</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累计财政民生支出  165.26亿元，2020年民生支出占财政支出比重为71.42%。就业形势基本稳定。2020年城镇新增就业0.3778万人，新增转移农村劳动力0.5683万人，全县转移就业稳定在17万人左右，城镇登记失业率控制在2.88%以内。教育均衡发展取得进步。启动了城区9所学校建设、7所小学改扩建工程，实施农村薄弱学校改造97所，第一芙蓉学校、龙山一中、职教中心建成投用，新增学位12150个，消除超大班额1055个，班级学生数从平均71人/班减少至55人/班，义务教育入学率达100%，高中阶段毛入学率达93.23%，职校毕业生就业率达97%以上。“十三五”期间，全县考取北大、清华共38人，本、专科升学率提高6.8%，2020年已顺利通过国家教育均衡发展督导评估，“龙山教育”已成为湘鄂渝边区一大品牌。体育事业不断发展。体育中心建成投用，新建各级各类体育场地570余处，成功举办了2018年湖南省第九届少数民族运动会、2020年中国户外健康休闲大会（龙山太平山站）等体育盛会，以及“2020薪火传承·中国健康跑‘福湘教育杯’神秘湘西大美龙山·茨岩塘站”在茨岩塘镇红色广场火热开跑，连续两年举办巅峰湖南·六大名山登山赛（八面山站）。医疗卫生服务水平不断提升。人民医院迁建工程竣工投用，第二人民医院启动建设，全县医疗卫生资源总量持续增加，乡镇卫生院全科医生实现全覆盖，城乡居民卫生服务体系基本建立，基本医保参保率达到95%以上，持续深化医药卫生体制改革，实现城乡医保“二保合一”，累计报销16亿元，报销比例达55%，城乡居民健康水平持续提高，覆盖城乡居民基本的卫生服务体系基本建立。文化事业繁荣发展。连续举办“土家族舍巴日”土家传统文化活动，公共文化服务体系示范区建设工作经验获省政府充分肯定并在全省推介，建成文化场馆4个，乡镇文化广场21个、村级文化活动广场397个，乡镇文化广场面积全部达到1000平方米以上，村村响广播点3554余个、户户通1万余户，地面数字电视节目播出实现全覆盖。社会保障持续加强。城乡居民基本医疗保险财政补助、优抚、低保以及企业养老保险基本养老金等标准持续提高；及时启动社会救助和保障标准与物价挂钩联动机制，困难群众基本生活得到保障。优抚抚恤生活补助标准提高到7200元/年；残疾人生活补贴和护理补贴均达1200元/年。全面落实孤儿保障政策，健全儿童福利保障体系。“十三五”期间，新建龙山县儿童福利院（与养老院合建），新建397所儿童之家（与村委合建），孤儿生活费保障金不断增加，切实保障了儿童权益，深入开展乡镇慈善事业，大大改善了困难儿童的基本生活。养老服务体系稳步发展。每千名老年人口拥有养老床位数（张）由2015年的21张增长至37张；长寿保健金从2015年2400元/年提高到4800元/年；新建7个敬老院和1所儿童福利院及养老服务体系项目。专项公共事务管理和服务水平不断提高。按照“进一扇门、办百样事”的服务理念，统一设置了村（居）“两委”办，行政区划地名顺利开展，深化“放管服”改革，婚姻登记规范化管理。殡葬改革顺利推进。县城区已启动以“两集中一统一”</w:t>
      </w:r>
      <w:r>
        <w:rPr>
          <w:rFonts w:hint="eastAsia" w:ascii="方正书宋简体" w:hAnsi="方正书宋简体" w:eastAsia="方正书宋简体" w:cs="方正书宋简体"/>
          <w:b w:val="0"/>
          <w:bCs w:val="0"/>
          <w:color w:val="000000" w:themeColor="text1"/>
          <w:sz w:val="24"/>
          <w:szCs w:val="24"/>
          <w:lang w:val="en-US"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集中治丧、集中安葬、统一火化</w:t>
      </w:r>
      <w:r>
        <w:rPr>
          <w:rFonts w:hint="eastAsia" w:ascii="方正书宋简体" w:hAnsi="方正书宋简体" w:eastAsia="方正书宋简体" w:cs="方正书宋简体"/>
          <w:b w:val="0"/>
          <w:bCs w:val="0"/>
          <w:color w:val="000000" w:themeColor="text1"/>
          <w:sz w:val="24"/>
          <w:szCs w:val="24"/>
          <w:lang w:val="en-US" w:eastAsia="zh-CN"/>
          <w14:textFill>
            <w14:solidFill>
              <w14:schemeClr w14:val="tx1"/>
            </w14:solidFill>
          </w14:textFill>
        </w:rPr>
        <w:t>)</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为核心的殡葬改革；着力推进绿色生态殡葬，科学精准地划分了火葬区和禁葬区范围；殡葬基础服务设施建设进度加快，新建殡仪馆已集中治丧165例，统一火化181例，集中治丧率100%，统一火化率100%；乡镇公益性墓地建设有序推进，其中里耶镇、苗儿滩镇六合村公益性墓地，苗儿滩镇捞车村、靛房镇联星社区、农车镇马蹄社区公益性骨灰墓地、石羔街道桃红社区鄢家坡公益性骨灰墓地已全面完工。全县深入开展“两学一做”学习教育、“不忘初心、牢记使命”主题教育，党风政风为之一新，党员干部理想信念更加坚定牢固；民族、宗教、工会、共青团、妇女儿童、老龄、残联、红十字会等工作取得新成绩。</w:t>
      </w:r>
    </w:p>
    <w:p>
      <w:pPr>
        <w:keepNext w:val="0"/>
        <w:keepLines w:val="0"/>
        <w:pageBreakBefore w:val="0"/>
        <w:widowControl w:val="0"/>
        <w:kinsoku/>
        <w:wordWrap/>
        <w:overflowPunct/>
        <w:topLinePunct w:val="0"/>
        <w:autoSpaceDE/>
        <w:autoSpaceDN/>
        <w:bidi w:val="0"/>
        <w:adjustRightInd w:val="0"/>
        <w:snapToGrid w:val="0"/>
        <w:spacing w:line="410" w:lineRule="exact"/>
        <w:jc w:val="center"/>
        <w:textAlignment w:val="auto"/>
        <w:outlineLvl w:val="1"/>
        <w:rPr>
          <w:rFonts w:hint="eastAsia" w:ascii="黑体" w:hAnsi="黑体" w:eastAsia="黑体" w:cs="黑体"/>
          <w:b w:val="0"/>
          <w:bCs w:val="0"/>
          <w:color w:val="000000" w:themeColor="text1"/>
          <w:sz w:val="28"/>
          <w:szCs w:val="28"/>
          <w14:textFill>
            <w14:solidFill>
              <w14:schemeClr w14:val="tx1"/>
            </w14:solidFill>
          </w14:textFill>
        </w:rPr>
      </w:pPr>
      <w:bookmarkStart w:id="80" w:name="_Toc60048883"/>
    </w:p>
    <w:p>
      <w:pPr>
        <w:keepNext w:val="0"/>
        <w:keepLines w:val="0"/>
        <w:pageBreakBefore w:val="0"/>
        <w:widowControl w:val="0"/>
        <w:kinsoku/>
        <w:wordWrap/>
        <w:overflowPunct/>
        <w:topLinePunct w:val="0"/>
        <w:autoSpaceDE/>
        <w:autoSpaceDN/>
        <w:bidi w:val="0"/>
        <w:adjustRightInd w:val="0"/>
        <w:snapToGrid w:val="0"/>
        <w:spacing w:line="41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81" w:name="_Toc26223_WPSOffice_Level2"/>
      <w:r>
        <w:rPr>
          <w:rFonts w:hint="eastAsia" w:ascii="黑体" w:hAnsi="黑体" w:eastAsia="黑体" w:cs="黑体"/>
          <w:b w:val="0"/>
          <w:bCs w:val="0"/>
          <w:color w:val="000000" w:themeColor="text1"/>
          <w:sz w:val="30"/>
          <w:szCs w:val="30"/>
          <w14:textFill>
            <w14:solidFill>
              <w14:schemeClr w14:val="tx1"/>
            </w14:solidFill>
          </w14:textFill>
        </w:rPr>
        <w:t>第二章  “十四五”时期发展环境</w:t>
      </w:r>
      <w:bookmarkEnd w:id="80"/>
      <w:bookmarkEnd w:id="81"/>
    </w:p>
    <w:p>
      <w:pPr>
        <w:keepNext w:val="0"/>
        <w:keepLines w:val="0"/>
        <w:pageBreakBefore w:val="0"/>
        <w:widowControl w:val="0"/>
        <w:kinsoku/>
        <w:wordWrap/>
        <w:overflowPunct/>
        <w:topLinePunct w:val="0"/>
        <w:autoSpaceDE/>
        <w:autoSpaceDN/>
        <w:bidi w:val="0"/>
        <w:adjustRightInd w:val="0"/>
        <w:snapToGrid w:val="0"/>
        <w:spacing w:line="410" w:lineRule="exact"/>
        <w:jc w:val="center"/>
        <w:textAlignment w:val="auto"/>
        <w:outlineLvl w:val="2"/>
        <w:rPr>
          <w:rFonts w:hint="eastAsia" w:asciiTheme="minorEastAsia" w:hAnsiTheme="minorEastAsia" w:eastAsiaTheme="minorEastAsia" w:cstheme="minorEastAsia"/>
          <w:b/>
          <w:bCs/>
          <w:i w:val="0"/>
          <w:iCs w:val="0"/>
          <w:color w:val="000000" w:themeColor="text1"/>
          <w:sz w:val="28"/>
          <w:szCs w:val="28"/>
          <w14:textFill>
            <w14:solidFill>
              <w14:schemeClr w14:val="tx1"/>
            </w14:solidFill>
          </w14:textFill>
        </w:rPr>
      </w:pPr>
      <w:bookmarkStart w:id="82" w:name="_Toc49089435"/>
      <w:bookmarkStart w:id="83" w:name="_Toc58274532"/>
      <w:bookmarkStart w:id="84" w:name="_Toc60048884"/>
    </w:p>
    <w:p>
      <w:pPr>
        <w:keepNext w:val="0"/>
        <w:keepLines w:val="0"/>
        <w:pageBreakBefore w:val="0"/>
        <w:widowControl w:val="0"/>
        <w:kinsoku/>
        <w:wordWrap/>
        <w:overflowPunct/>
        <w:topLinePunct w:val="0"/>
        <w:autoSpaceDE/>
        <w:autoSpaceDN/>
        <w:bidi w:val="0"/>
        <w:adjustRightInd w:val="0"/>
        <w:snapToGrid w:val="0"/>
        <w:spacing w:line="410" w:lineRule="exact"/>
        <w:jc w:val="center"/>
        <w:textAlignment w:val="auto"/>
        <w:outlineLvl w:val="2"/>
        <w:rPr>
          <w:rFonts w:hint="eastAsia" w:ascii="方正书宋简体" w:hAnsi="方正书宋简体" w:eastAsia="方正书宋简体" w:cs="方正书宋简体"/>
          <w:b w:val="0"/>
          <w:bCs w:val="0"/>
          <w:i w:val="0"/>
          <w:iCs w:val="0"/>
          <w:color w:val="000000" w:themeColor="text1"/>
          <w:sz w:val="30"/>
          <w:szCs w:val="30"/>
          <w14:textFill>
            <w14:solidFill>
              <w14:schemeClr w14:val="tx1"/>
            </w14:solidFill>
          </w14:textFill>
        </w:rPr>
      </w:pPr>
      <w:bookmarkStart w:id="85" w:name="_Toc1312_WPSOffice_Level3"/>
      <w:r>
        <w:rPr>
          <w:rFonts w:hint="eastAsia" w:ascii="方正书宋简体" w:hAnsi="方正书宋简体" w:eastAsia="方正书宋简体" w:cs="方正书宋简体"/>
          <w:b w:val="0"/>
          <w:bCs w:val="0"/>
          <w:i w:val="0"/>
          <w:iCs w:val="0"/>
          <w:color w:val="000000" w:themeColor="text1"/>
          <w:sz w:val="30"/>
          <w:szCs w:val="30"/>
          <w14:textFill>
            <w14:solidFill>
              <w14:schemeClr w14:val="tx1"/>
            </w14:solidFill>
          </w14:textFill>
        </w:rPr>
        <w:t xml:space="preserve">第一节  </w:t>
      </w:r>
      <w:bookmarkEnd w:id="82"/>
      <w:bookmarkEnd w:id="83"/>
      <w:r>
        <w:rPr>
          <w:rFonts w:hint="eastAsia" w:ascii="方正书宋简体" w:hAnsi="方正书宋简体" w:eastAsia="方正书宋简体" w:cs="方正书宋简体"/>
          <w:b w:val="0"/>
          <w:bCs w:val="0"/>
          <w:i w:val="0"/>
          <w:iCs w:val="0"/>
          <w:color w:val="000000" w:themeColor="text1"/>
          <w:sz w:val="30"/>
          <w:szCs w:val="30"/>
          <w14:textFill>
            <w14:solidFill>
              <w14:schemeClr w14:val="tx1"/>
            </w14:solidFill>
          </w14:textFill>
        </w:rPr>
        <w:t>发展形势分析</w:t>
      </w:r>
      <w:bookmarkEnd w:id="84"/>
      <w:bookmarkEnd w:id="85"/>
    </w:p>
    <w:p>
      <w:pPr>
        <w:keepNext w:val="0"/>
        <w:keepLines w:val="0"/>
        <w:pageBreakBefore w:val="0"/>
        <w:widowControl w:val="0"/>
        <w:kinsoku/>
        <w:wordWrap/>
        <w:overflowPunct/>
        <w:topLinePunct w:val="0"/>
        <w:autoSpaceDE/>
        <w:autoSpaceDN/>
        <w:bidi w:val="0"/>
        <w:spacing w:line="41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十三五”以来，世界经济重心调整、世界政治格局变化趋势加快，新一轮科技革命悄然兴起，中美之间全面竞合，全球新一轮产业分工和贸易格局加快重塑。2020年，新冠肺炎疫情肆虐全球，全面冲击世界经济运行，进一步加剧了国内外经济社会形势的复杂性和严峻性。</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从国际看，当今世界正经历百年未有之大变局，新一轮科技革命和产业变革深入发展，国际力量对比深刻调整，和平与发展仍然是时代主题，人类命运共同体理念深入人心。同时，国际环境日趋复杂，不稳定性和不确定性明显增加，新冠肺炎疫情影响广泛深远，经济全球化遭遇逆流，世界进入动荡变革期，单边主义、保护主义、霸权主义对世界和平与发展构成威胁。从国内看，当前和今后一个时期，我国发展仍处于重要战略机遇期。我国社会主义现代化建设迈进新征程，更加注重高质量发展，更加注重区域协调发展，以国内大循环为主体、国内国际双循环相互促进的新发展格局正在加快构建。我国已转向高质量发展阶段，制度优势显著，治理效能提升，物质基础雄厚，人力资源丰厚，市场空间广阔，社会大局稳定，继续发展具有多方面优势和条件。同时，我国发展不平衡不充分问题仍然突出，正处在转变发展方式、优化经济结构、转换增长动力的攻关期，面临着结构性、体制性、周期性问题相互交织所带来的困难和挑战。从省内看，打造“三个高地”、担当“四新”使命、落实“五项重点任务”，“创新引领开放崛起”战略全面实施，“一带一部”战略深入推进，科技创新型省份建设全面推进，“一核两副三带四区”战略推进实施，长沙市持续加大对口支援力度。同时，区域竞争围绕资源、技术、市场、人力等更加激烈，重大传染性疾病、能源等威胁蔓延，这些既为率先振兴、率先崛起提供重大机遇，也为加快发展带来严峻挑战。从州内看，“十四五”期间，湘西州将抢抓</w:t>
      </w:r>
      <w:bookmarkStart w:id="86" w:name="_Hlk37152256"/>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“摘帽四不摘、脱贫不返贫”</w:t>
      </w:r>
      <w:bookmarkEnd w:id="86"/>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强化举措推进西部大开发形成新格局和大幅增加地方政府专项债券规模等国家政策，坚守州委打造国内外知名生态文化公园总愿景和“562”发展思路，明确我县建设州域北部重点经济区的总定位，提出着力打造湘西北重要窗口城市、跨区域协作示范区、湘鄂渝边区商贸物流中心和武陵山片区全域旅游新高地的发展定位，为我县发挥绿色生态文化和区位优势推进绿色发展、错位发展提供了新支撑。从县内看，历届县委、县政府一届接着一届干，在生态文化旅游、农业特色产业、城市建设、区域协调发展等领域打下了坚实基础、催生了发展新态势，特别是随着铁路、高速公路等交通瓶颈破解，聚集人流、物流、资金流、信息流、技术流更加快捷高效，加之当前全县上下期盼发展的愿望和推动</w:t>
      </w:r>
      <w:r>
        <w:rPr>
          <w:rFonts w:hint="eastAsia" w:ascii="方正书宋简体" w:hAnsi="方正书宋简体" w:eastAsia="方正书宋简体" w:cs="方正书宋简体"/>
          <w:b w:val="0"/>
          <w:bCs w:val="0"/>
          <w:color w:val="000000" w:themeColor="text1"/>
          <w:spacing w:val="-11"/>
          <w:sz w:val="24"/>
          <w:szCs w:val="24"/>
          <w14:textFill>
            <w14:solidFill>
              <w14:schemeClr w14:val="tx1"/>
            </w14:solidFill>
          </w14:textFill>
        </w:rPr>
        <w:t>发展的激情愈加强烈，为我县推进新一轮大发展蓄积了新势能。</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bookmarkStart w:id="87" w:name="_Toc60048885"/>
    </w:p>
    <w:p>
      <w:pPr>
        <w:keepNext w:val="0"/>
        <w:keepLines w:val="0"/>
        <w:pageBreakBefore w:val="0"/>
        <w:widowControl w:val="0"/>
        <w:kinsoku/>
        <w:wordWrap/>
        <w:overflowPunct/>
        <w:topLinePunct w:val="0"/>
        <w:autoSpaceDE/>
        <w:autoSpaceDN/>
        <w:bidi w:val="0"/>
        <w:spacing w:line="420" w:lineRule="exact"/>
        <w:jc w:val="center"/>
        <w:textAlignment w:val="auto"/>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88" w:name="_Toc2271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面临机遇</w:t>
      </w:r>
      <w:bookmarkEnd w:id="87"/>
      <w:bookmarkEnd w:id="88"/>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一是宏观政策重大机遇。国家实施新一轮西部大开发、中部地区崛起、长江经济带发展、乡村振兴等战略，支持革命老区、民族地区振兴发展、加快发展，健全区域战略统筹、区域合作互助、区际利益补偿、东西部协作对口帮扶等机制，加大对欠发达地区支持力度，集中支持一批乡村振兴重点帮扶县，为我县融入新发展格局、推动区域协调发展提供了新动力。我县将迎来国家多重政策叠加支持，将有助于我县放大优势，争取更多重大项目纳入国省州“笼子”，为我县推动高质量发展提供重大机遇。二是开放合作重大机遇。“一带一路”深入推进、粤港澳大湾区建设全面提速、承接产业转移示范区稳步推进、东西部扶贫协作深入开展。西部陆海新通道建设加快推进、创新驱动发展战略等深入实施，“两新一重”加快布局。我省“创新引领开放崛起”战略全面实施，继续加大向省内西部、向少数民族地区扩大开放，这些都为推进我县区域协调发展、加快发展提供重大机遇。三是区位交通改善重大机遇。随着黔张常快速铁路的开通运营，我县高速公路、高速铁路等综合交通格局更加成熟，制约我县发展的交通瓶颈获得突破，区位交通后发优势日益凸显，人流、物流、资金流、信息流、技术流将会更加快捷聚集我县，促使我县更好把资源优势、政策优势转化为发展优势，更好把发展理念、发展势能转化为发展成效。四是发展动力持续增强重大机遇。脱贫攻坚全面胜利，脱贫攻坚与乡村振兴的有效衔接持续推进，绿色发展引领乡村振兴即将破题开局。紧扣湘西州创建国家文化产业和旅游产业融合发展示范区历史机遇，立足我县生态资源优势，文化旅游新产品、新线路、新服务不断开发、提升，生态文化旅游业仍有较大增长空间。产业结构持续调优，新兴产业快速发展。特色农业扩面提质，拓市场、抗风险、防灾害能力不断增强。机构改革全面完成，深化国资国企、投融资体制、要素市场化配置、“放管服”等“四大改革行动”深入推进，营商环境不断优化，市场活力不断释放，社会大局和谐稳定，为推动我县高质量发展汇聚了更为强劲的动力。</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bookmarkStart w:id="89" w:name="_Toc60048886"/>
    </w:p>
    <w:p>
      <w:pPr>
        <w:keepNext w:val="0"/>
        <w:keepLines w:val="0"/>
        <w:pageBreakBefore w:val="0"/>
        <w:widowControl w:val="0"/>
        <w:kinsoku/>
        <w:wordWrap/>
        <w:overflowPunct/>
        <w:topLinePunct w:val="0"/>
        <w:autoSpaceDE/>
        <w:autoSpaceDN/>
        <w:bidi w:val="0"/>
        <w:spacing w:line="420" w:lineRule="exact"/>
        <w:jc w:val="center"/>
        <w:textAlignment w:val="auto"/>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90" w:name="_Toc26223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主要挑战</w:t>
      </w:r>
      <w:bookmarkEnd w:id="89"/>
      <w:bookmarkEnd w:id="90"/>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一是经济总量较小。</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2020年（预计数，下同），在湘西州7县1市中，龙山县GDP总量为97亿元，人均GDP（突破2万元）在湘西8县市中排名靠后，仅为全国平均水平（7.08万元）的28%，为全省平均水平（5.75万元）的35%，为全州平均水平（2.66万元）的74%，相对贫困落后的基本县情还没有从根本上改变。此外，龙山县与湖北的来凤县相比，虽然龙山县GDP总量较来凤县GDP总量（84.66亿元）多，但是人均GDP比来凤县人均GDP（3.39万元）少了1.43万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二是产业规模不大。</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文旅产业初步成型。旅游公共服务体系不足，县内暂无景区旅游交通专线、旅游客运企业，无四星级以上旅游饭店、星级旅行社、星级旅游购物场所，不具备接待大型旅游团队的能力；旅游产品供给品质不高，景区品牌知名度不高，“吃住行游购娱”等旅游要素业态不丰富，民族文化挖掘、节庆品牌打造力度不够，旅游商品品质不高、种类不多，不能满足游客多层次需求；旅游人才培养储备不够，旅游规划管理、执法服务、宣传营销人才十分欠缺，不能满足当前旅游发展的需要。工业产业过小过弱。工业基础薄弱，产业规模小，主导产业还未形成，自主创新能力不强，工业增加值占地区生产总值的比重仅为13.7%。现有园区面积仅1平方公里，标准厂房面积不足10万平方米，整体处于湖南省园区末端水平。农业产业后劲不足。传统农业仍然占主导地位，农产品精深加工基础薄弱，产业链条不长，品牌建设不足，龙头企业带动能力不强，产品附加值低。现代服务业发展滞后。商贸物流、金融服务等现代服务业发展仍然存在总量不大、结构不优、发展水平不高、竞争力不强等问题，尤其是生产性服务业发展滞后，新兴服务业发展不充分，严重影响县域经济整体竞争力的提升。</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三是城市功能不全。</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综合承载能力和治理能力仍然较弱，城区支干路网不完善，交通拥堵严重，污水处理等基础设施配套跟不上城市发展的需要，城市防洪排涝等应急能力建设不足，城市管理服务水平提升不够，老旧小区管理落后，房地产来势较好，但缺乏整体规划，停车场、广场等公共服务设施供给不足。</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四是城乡发展不平衡。</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城乡居民收入差距较大，2020年城镇、农村居民人均可支配收入分别为25017元、11336元，城乡居民收入比高达2.21:1。相对贫困依然存在，巩固脱贫成果任务较重。农村空心化比较严重，乡村振兴缺乏人力人才支撑，乡村文化落后，乡风文明还有待提升。基层医疗卫生和公共卫生服务能力不足，应对突发公共卫生事件救治能力薄弱。人口老龄化、社区养老问题依然突出，城乡社会保障制度尚未完全并轨，实现城乡基本公共服务均等化任务还十分艰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五是资源要素制约明显。</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投融资机制不健全，建设资金压力较大；用地指标严重不足，用地成本较高；区域性物流体系不完善，物流成本高；农村劳动力外流，本土企业用工难问题依然存在。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综合判断，“十四五”时期，我县仍然处于大有作为、加快发展的重要战略机遇期，机遇和挑战都有新的发展变化。我们要辩证认识和把握发展大势，增强机遇意识和风险意识，善于在危机中育先机、于变局中开新局，为全面建设社会主义现代化开好局、起好步。</w:t>
      </w:r>
      <w:bookmarkStart w:id="91" w:name="_Toc60048887"/>
      <w:bookmarkStart w:id="92" w:name="_Toc5083"/>
      <w:bookmarkStart w:id="93" w:name="_Toc49089434"/>
    </w:p>
    <w:p>
      <w:pPr>
        <w:pStyle w:val="2"/>
        <w:rPr>
          <w:rFonts w:hint="eastAsia"/>
        </w:rPr>
      </w:pPr>
    </w:p>
    <w:p>
      <w:pPr>
        <w:jc w:val="center"/>
        <w:rPr>
          <w:rFonts w:hint="eastAsia" w:ascii="黑体" w:hAnsi="黑体" w:eastAsia="黑体" w:cs="黑体"/>
          <w:sz w:val="30"/>
          <w:szCs w:val="30"/>
        </w:rPr>
      </w:pPr>
      <w:bookmarkStart w:id="94" w:name="_Toc26093_WPSOffice_Level2"/>
      <w:r>
        <w:rPr>
          <w:rFonts w:hint="eastAsia" w:ascii="黑体" w:hAnsi="黑体" w:eastAsia="黑体" w:cs="黑体"/>
          <w:sz w:val="30"/>
          <w:szCs w:val="30"/>
        </w:rPr>
        <w:t>第三章  二〇三五年远景目标</w:t>
      </w:r>
      <w:bookmarkEnd w:id="91"/>
      <w:bookmarkEnd w:id="94"/>
    </w:p>
    <w:p>
      <w:pPr>
        <w:keepNext w:val="0"/>
        <w:keepLines w:val="0"/>
        <w:pageBreakBefore w:val="0"/>
        <w:widowControl w:val="0"/>
        <w:kinsoku/>
        <w:wordWrap/>
        <w:overflowPunct/>
        <w:topLinePunct w:val="0"/>
        <w:autoSpaceDE/>
        <w:autoSpaceDN/>
        <w:bidi w:val="0"/>
        <w:adjustRightInd/>
        <w:snapToGrid/>
        <w:spacing w:line="300" w:lineRule="exact"/>
        <w:ind w:firstLine="560" w:firstLineChars="200"/>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到二〇三五年，基本实现美丽开放幸福新龙山的美好愿景，与全国、全省、全州一道基本实现现代化。经济总量迈上新的大台阶，形成全方位、宽领域、多层次、高水平的全面开放大格局，科技实力大幅跃升，基本实现新型工业化、信息化、城镇化、农业现代化，建成现代化经济体系，群众生活水平、基础设施通达水平、基本公共服务均等化水平显著提高。各族群众平等参与、平等发展权利得到充分保障，法治龙山、法治政府、法治社会基本建成，治理体系和治理能力现代化基本实现。国民素质和社会文明程度达到新高度，文化软实力、影响力显著增强，总体实现教育现代化。生态环境持续优化，整个县域处处彰显城乡布局之美、底色底蕴之美、人居环境之美、和谐共生之美，绿色龙山建设目标基本实现。城乡区域发展差距和居民生活水平差距显著缩小，中等收入群体显著扩大，平安龙山建设达到更高水平，人民生活更加美好，人的全面发展、全体人民共同富裕取得更为明显的实质性进展。贯彻州委“五园”建设目标，坚持不懈把整个县域作为一个全域生态、全域文化、全域康健、全域旅游的大公园来整体规划、建设和管理，到2035年全面建成集自然山水大画园、民族风情大观园、绿色产品大庄园、休闲旅游大乐园、和谐宜居大家园于一体的国内外知名生态文化公园龙山园区。</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95" w:name="_Toc60048888"/>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96" w:name="_Toc22718_WPSOffice_Level1"/>
      <w:r>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t>第二</w:t>
      </w:r>
      <w:bookmarkEnd w:id="92"/>
      <w:bookmarkEnd w:id="93"/>
      <w:r>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t>篇  “十四五”时期经济社会发展</w:t>
      </w:r>
      <w:bookmarkEnd w:id="96"/>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97" w:name="_Toc26418_WPSOffice_Level2"/>
      <w:bookmarkStart w:id="98" w:name="_Toc23367_WPSOffice_Level2"/>
      <w:r>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t>指导方针和主要目标</w:t>
      </w:r>
      <w:bookmarkEnd w:id="95"/>
      <w:bookmarkEnd w:id="97"/>
      <w:bookmarkEnd w:id="98"/>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bookmarkStart w:id="99" w:name="_Toc60048889"/>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100" w:name="_Toc14288_WPSOffice_Level2"/>
      <w:r>
        <w:rPr>
          <w:rFonts w:hint="eastAsia" w:ascii="黑体" w:hAnsi="黑体" w:eastAsia="黑体" w:cs="黑体"/>
          <w:b w:val="0"/>
          <w:bCs w:val="0"/>
          <w:color w:val="000000" w:themeColor="text1"/>
          <w:sz w:val="30"/>
          <w:szCs w:val="30"/>
          <w14:textFill>
            <w14:solidFill>
              <w14:schemeClr w14:val="tx1"/>
            </w14:solidFill>
          </w14:textFill>
        </w:rPr>
        <w:t>第四章  指导思想</w:t>
      </w:r>
      <w:bookmarkEnd w:id="99"/>
      <w:bookmarkEnd w:id="100"/>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认真落实习近平总书记对湖南工作系列重要讲话指示精神，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统筹发展和安全，加快建设现代化经济体系，服务构建新发展格局，推进治理体系和治理能力现代化，坚持创新引领开放崛起，积极抢抓新一轮国家西部大开发政策机遇，坚决贯彻落实湖南“三高四新”战略和州委“562”发展思路，紧紧围绕县委“554”工程</w:t>
      </w:r>
      <w:r>
        <w:rPr>
          <w:rStyle w:val="16"/>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0"/>
      </w:r>
      <w:r>
        <w:rPr>
          <w:rFonts w:hint="eastAsia" w:ascii="方正书宋简体" w:hAnsi="方正书宋简体" w:eastAsia="方正书宋简体" w:cs="方正书宋简体"/>
          <w:color w:val="000000" w:themeColor="text1"/>
          <w:sz w:val="24"/>
          <w:szCs w:val="24"/>
          <w14:textFill>
            <w14:solidFill>
              <w14:schemeClr w14:val="tx1"/>
            </w14:solidFill>
          </w14:textFill>
        </w:rPr>
        <w:t>，通过深入实施经济发展五大“1711”行动</w:t>
      </w:r>
      <w:r>
        <w:rPr>
          <w:rStyle w:val="16"/>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1"/>
      </w:r>
      <w:r>
        <w:rPr>
          <w:rFonts w:hint="eastAsia" w:ascii="方正书宋简体" w:hAnsi="方正书宋简体" w:eastAsia="方正书宋简体" w:cs="方正书宋简体"/>
          <w:color w:val="000000" w:themeColor="text1"/>
          <w:sz w:val="24"/>
          <w:szCs w:val="24"/>
          <w14:textFill>
            <w14:solidFill>
              <w14:schemeClr w14:val="tx1"/>
            </w14:solidFill>
          </w14:textFill>
        </w:rPr>
        <w:t>和社会发展“五个龙山”建设</w:t>
      </w:r>
      <w:r>
        <w:rPr>
          <w:rStyle w:val="16"/>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2"/>
      </w:r>
      <w:r>
        <w:rPr>
          <w:rFonts w:hint="eastAsia" w:ascii="方正书宋简体" w:hAnsi="方正书宋简体" w:eastAsia="方正书宋简体" w:cs="方正书宋简体"/>
          <w:color w:val="000000" w:themeColor="text1"/>
          <w:sz w:val="24"/>
          <w:szCs w:val="24"/>
          <w14:textFill>
            <w14:solidFill>
              <w14:schemeClr w14:val="tx1"/>
            </w14:solidFill>
          </w14:textFill>
        </w:rPr>
        <w:t>，奋力实现州域北部重点经济区、湘西北重要窗口城市、湘鄂渝边区商贸物流中心和武陵山片区全域旅游新高地“四大愿景”，为开启全面建设社会主义现代化开好局、起好步。</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bookmarkStart w:id="101" w:name="_Toc60048890"/>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102" w:name="_Toc3489_WPSOffice_Level2"/>
      <w:r>
        <w:rPr>
          <w:rFonts w:hint="eastAsia" w:ascii="黑体" w:hAnsi="黑体" w:eastAsia="黑体" w:cs="黑体"/>
          <w:b w:val="0"/>
          <w:bCs w:val="0"/>
          <w:color w:val="000000" w:themeColor="text1"/>
          <w:sz w:val="30"/>
          <w:szCs w:val="30"/>
          <w14:textFill>
            <w14:solidFill>
              <w14:schemeClr w14:val="tx1"/>
            </w14:solidFill>
          </w14:textFill>
        </w:rPr>
        <w:t>第五章  基本原则</w:t>
      </w:r>
      <w:bookmarkEnd w:id="101"/>
      <w:bookmarkEnd w:id="102"/>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坚持党的全面领导。</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坚持和完善党领导经济社会发展的体制机制，增强“四个意识”、坚定“四个自信”、做到“两个维护”，不断提高贯彻新发展理念、构建新发展格局能力和水平，为实现高质量发展提供根本保证。</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坚持以人民为中心。</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人民主体地位，坚持共同富裕方向，始终做到发展为了人民、发展依靠人民、发展成果由人民共享，维护人民根本利益，激发全体人民积极性、主动性、创造性，促进社会公平，增进民生福祉，不断增强人民群众获得感、幸福感、安全感。</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坚持新发展理念。</w:t>
      </w:r>
      <w:r>
        <w:rPr>
          <w:rFonts w:hint="eastAsia" w:ascii="方正书宋简体" w:hAnsi="方正书宋简体" w:eastAsia="方正书宋简体" w:cs="方正书宋简体"/>
          <w:color w:val="000000" w:themeColor="text1"/>
          <w:sz w:val="24"/>
          <w:szCs w:val="24"/>
          <w14:textFill>
            <w14:solidFill>
              <w14:schemeClr w14:val="tx1"/>
            </w14:solidFill>
          </w14:textFill>
        </w:rPr>
        <w:t>把创新、协调、绿色、开放、共享的新发展理念贯穿发展全过程和各领域，构建新发展格局，转变发展方式，实现更高质量、更有效率、更加公平、更可持续、更为安全的发展。</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坚持深化改革开放。</w:t>
      </w:r>
      <w:r>
        <w:rPr>
          <w:rFonts w:hint="eastAsia" w:ascii="方正书宋简体" w:hAnsi="方正书宋简体" w:eastAsia="方正书宋简体" w:cs="方正书宋简体"/>
          <w:color w:val="000000" w:themeColor="text1"/>
          <w:sz w:val="24"/>
          <w:szCs w:val="24"/>
          <w14:textFill>
            <w14:solidFill>
              <w14:schemeClr w14:val="tx1"/>
            </w14:solidFill>
          </w14:textFill>
        </w:rPr>
        <w:t>坚定不移推进改革开放，加强治理体系和治理能力现代化建设，破除制约高质量发展、高品质生活的体制机制障碍，推动更大范围更宽领域更深层次对外开放，持续增强发展动力和活力。</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坚持系统观念。</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前瞻性思考、全局性谋划、战略性布局、整体性推进，办好发展安全两件大事，更好发挥各方面积极性，着力固根基、扬优势、补短板、强弱项，注重防范化解重大风险挑战，实现发展质量、结构、规模、速度、效益、安全相统一。</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坚持目标引领。</w:t>
      </w:r>
      <w:r>
        <w:rPr>
          <w:rFonts w:hint="eastAsia" w:ascii="方正书宋简体" w:hAnsi="方正书宋简体" w:eastAsia="方正书宋简体" w:cs="方正书宋简体"/>
          <w:color w:val="000000" w:themeColor="text1"/>
          <w:sz w:val="24"/>
          <w:szCs w:val="24"/>
          <w14:textFill>
            <w14:solidFill>
              <w14:schemeClr w14:val="tx1"/>
            </w14:solidFill>
          </w14:textFill>
        </w:rPr>
        <w:t>牢记习近平总书记嘱托，紧扣省委实施的“三高四新”战略和州委“562”发展思路，紧紧围绕县委“554工程，科学设计、统筹推进、精准施策、务求实效。</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bookmarkStart w:id="103" w:name="_Toc60048891"/>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104" w:name="_Toc9823_WPSOffice_Level2"/>
      <w:r>
        <w:rPr>
          <w:rFonts w:hint="eastAsia" w:ascii="黑体" w:hAnsi="黑体" w:eastAsia="黑体" w:cs="黑体"/>
          <w:b w:val="0"/>
          <w:bCs w:val="0"/>
          <w:color w:val="000000" w:themeColor="text1"/>
          <w:sz w:val="30"/>
          <w:szCs w:val="30"/>
          <w14:textFill>
            <w14:solidFill>
              <w14:schemeClr w14:val="tx1"/>
            </w14:solidFill>
          </w14:textFill>
        </w:rPr>
        <w:t>第六章  发展定位</w:t>
      </w:r>
      <w:bookmarkEnd w:id="103"/>
      <w:bookmarkEnd w:id="104"/>
    </w:p>
    <w:p>
      <w:pPr>
        <w:pStyle w:val="2"/>
        <w:rPr>
          <w:rFonts w:hint="eastAsia"/>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——州域北部重点经济区。</w:t>
      </w:r>
      <w:r>
        <w:rPr>
          <w:rFonts w:hint="eastAsia" w:ascii="方正书宋简体" w:hAnsi="方正书宋简体" w:eastAsia="方正书宋简体" w:cs="方正书宋简体"/>
          <w:color w:val="000000" w:themeColor="text1"/>
          <w:sz w:val="24"/>
          <w:szCs w:val="24"/>
          <w14:textFill>
            <w14:solidFill>
              <w14:schemeClr w14:val="tx1"/>
            </w14:solidFill>
          </w14:textFill>
        </w:rPr>
        <w:t>紧扣州委“创新提质、特色赶超”战略，以新一轮龙凤经济协作示范区建设为平台，以“产业四区”建设为抓手，加快建设州域北部重点经济区。坚持新发展理念，大力发展生态文化旅游业，培育壮大园区经济，加速形成以生态文化旅游景区为龙头、以新型工业集中区为平台、以商贸物流园区为支撑、以农业特色园区为基础的产业发展格局，不断提升县域经济总量质量。到2025年，全县财政总收入突破15亿元，地区生产总值达150亿元，占全州比重15%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——湘西北重要窗口城市。</w:t>
      </w:r>
      <w:r>
        <w:rPr>
          <w:rFonts w:hint="eastAsia" w:ascii="方正书宋简体" w:hAnsi="方正书宋简体" w:eastAsia="方正书宋简体" w:cs="方正书宋简体"/>
          <w:color w:val="000000" w:themeColor="text1"/>
          <w:sz w:val="24"/>
          <w:szCs w:val="24"/>
          <w14:textFill>
            <w14:solidFill>
              <w14:schemeClr w14:val="tx1"/>
            </w14:solidFill>
          </w14:textFill>
        </w:rPr>
        <w:t>按照“民族特色、山区特点、时代特征和宜居、宜业、宜游、宜养”的要求和标准，大力实施新型城镇化发展“1711”行动，持续推动中心城区三大功能组团建设，通过老城区、华塘新城、高铁新城组团式联动发展，畅通交通网络，完善功能配套。到“十四五”期末，形成中心城区“三大组团”功能和新型城镇化发展新格局，实现城区规划区面积达到70平方公里，建成区面积达到25平方公里，县城区常住人口达到25万人，城镇化率达57%左右，将我县打造成为山水龙城、武陵福地和湘西北重要窗口城市。</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——湘鄂渝边区商贸物流中心。</w:t>
      </w:r>
      <w:r>
        <w:rPr>
          <w:rFonts w:hint="eastAsia" w:ascii="方正书宋简体" w:hAnsi="方正书宋简体" w:eastAsia="方正书宋简体" w:cs="方正书宋简体"/>
          <w:color w:val="000000" w:themeColor="text1"/>
          <w:sz w:val="24"/>
          <w:szCs w:val="24"/>
          <w14:textFill>
            <w14:solidFill>
              <w14:schemeClr w14:val="tx1"/>
            </w14:solidFill>
          </w14:textFill>
        </w:rPr>
        <w:t>立足湘鄂渝边区商贸物流中心的定位，大力实施商贸物流“1711”行动，建设和完善城东物流园、高铁新城物流园、里耶物流中心和武陵山片区快递物流分拣中心，引进国内龙头物流企业3家以上，培育星级物流企业3家以上。进一步加大冷链物流和通道物流基础设施建设，健全县、乡、村三级物流网点建设和物流配送体系，建成20个乡级物流站，70个村级站点，实现商贸物流成本明显下降，批发零售企业物流费用率降低到7%左右，物流量达到5万单/天以上，现代物流产业总产值达到30亿元，基本形成覆盖全县和联通周边地市高效、畅通的物流体系及农副产品销售网络，建成湘鄂渝边区商贸物流中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——武陵山片区全域旅游新高地。</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实施全域旅游“1711”行动，以里耶古城—八面山和惹巴拉作为龙山旅游引爆点，突出龙山县多学科融合的研学旅游资源特色，将土家文化与科普研学作为龙山旅游开发的核心，打造不同的度假、休闲、研学产品，进行高起点、高标准和高水平的项目开发，努力把旅游业培育为龙山县经济社会发展的支柱产业，将龙山打造成为中国土家文化旅游目的地与中国秦文化研学旅游目的地、湘鄂渝黔旅游集散中心，最终建成武陵山片区全域旅游新高地。“十四五”期末，旅游接待人数突破1000万人次，旅游总收入超过100亿元，旅游总收入年均增长15%以上。</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105" w:name="_Toc60048892"/>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106" w:name="_Toc31235_WPSOffice_Level2"/>
      <w:r>
        <w:rPr>
          <w:rFonts w:hint="eastAsia" w:ascii="黑体" w:hAnsi="黑体" w:eastAsia="黑体" w:cs="黑体"/>
          <w:b w:val="0"/>
          <w:bCs w:val="0"/>
          <w:color w:val="000000" w:themeColor="text1"/>
          <w:sz w:val="30"/>
          <w:szCs w:val="30"/>
          <w14:textFill>
            <w14:solidFill>
              <w14:schemeClr w14:val="tx1"/>
            </w14:solidFill>
          </w14:textFill>
        </w:rPr>
        <w:t>第七章  主要目标</w:t>
      </w:r>
      <w:bookmarkEnd w:id="105"/>
      <w:bookmarkEnd w:id="106"/>
    </w:p>
    <w:p>
      <w:pPr>
        <w:keepNext w:val="0"/>
        <w:keepLines w:val="0"/>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经济实力得到新加强。</w:t>
      </w:r>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地区生产总值达150亿元，年均增长9.1%左右，经济总量占全州比重超过15%；全县财政总收入达到15亿元，年均增长10%左右；产业结构趋于合理，一二三产比值调整为15:30:55，社会消费零售总额达到60亿元，年均增长</w:t>
      </w:r>
      <w:r>
        <w:rPr>
          <w:rFonts w:hint="eastAsia" w:ascii="方正书宋简体" w:hAnsi="方正书宋简体" w:eastAsia="方正书宋简体" w:cs="方正书宋简体"/>
          <w:color w:val="000000" w:themeColor="text1"/>
          <w:sz w:val="24"/>
          <w:szCs w:val="24"/>
          <w:lang w:val="en-US" w:eastAsia="zh-CN"/>
          <w14:textFill>
            <w14:solidFill>
              <w14:schemeClr w14:val="tx1"/>
            </w14:solidFill>
          </w14:textFill>
        </w:rPr>
        <w:t>9</w:t>
      </w:r>
      <w:r>
        <w:rPr>
          <w:rFonts w:hint="eastAsia" w:ascii="方正书宋简体" w:hAnsi="方正书宋简体" w:eastAsia="方正书宋简体" w:cs="方正书宋简体"/>
          <w:color w:val="000000" w:themeColor="text1"/>
          <w:sz w:val="24"/>
          <w:szCs w:val="24"/>
          <w14:textFill>
            <w14:solidFill>
              <w14:schemeClr w14:val="tx1"/>
            </w14:solidFill>
          </w14:textFill>
        </w:rPr>
        <w:t>%；高新技术产业增加值占GDP比重达到15%；人均地区生产总值达26300元，与全省平均水平的差距明显缩小；全员劳动生产率达5.2万元/人；固定资产投资年均增长7%；常住人口城镇化率达57%。建成渝长厦通道经济发展带节点城市。</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产业发展实现新突破。</w:t>
      </w:r>
      <w:r>
        <w:rPr>
          <w:rFonts w:hint="eastAsia" w:ascii="方正书宋简体" w:hAnsi="方正书宋简体" w:eastAsia="方正书宋简体" w:cs="方正书宋简体"/>
          <w:color w:val="000000" w:themeColor="text1"/>
          <w:sz w:val="24"/>
          <w:szCs w:val="24"/>
          <w14:textFill>
            <w14:solidFill>
              <w14:schemeClr w14:val="tx1"/>
            </w14:solidFill>
          </w14:textFill>
        </w:rPr>
        <w:t>基础设施支撑水平得到提升，产业布局更加合理，“产业四区”更具活力和竞争力，产业发展迈向中高端水平，产业经济规模明显扩大，建成武陵山片区全域旅游新高地、湘鄂渝边区商贸物流中心和湘西州工业强县。</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城市建设取得新成效。</w:t>
      </w:r>
      <w:r>
        <w:rPr>
          <w:rFonts w:hint="eastAsia" w:ascii="方正书宋简体" w:hAnsi="方正书宋简体" w:eastAsia="方正书宋简体" w:cs="方正书宋简体"/>
          <w:color w:val="000000" w:themeColor="text1"/>
          <w:sz w:val="24"/>
          <w:szCs w:val="24"/>
          <w14:textFill>
            <w14:solidFill>
              <w14:schemeClr w14:val="tx1"/>
            </w14:solidFill>
          </w14:textFill>
        </w:rPr>
        <w:t>新型城镇化水平不断提高，县城建成区面积稳步扩大，城市各区功能明显优化，公共服务配套加快完善，精细化管理水平大幅提升，产城融合发展取得更大成效，建成湘西北重要窗口城市。</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乡村振兴开创新局面。</w:t>
      </w:r>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全县特色农业年总产值达到100亿元，农村人口年人均增收5000元以上，脱贫攻坚巩固率达100%；全县70%以上的行政村（社区）建成美丽乡村，80%以上的黑臭水沟得到有效治理，农村改厕、改灶率实现100%；基本实现村村有文化广场，基层综合性文化服务中心实现全覆盖；殡葬制度改革稳步推进，覆盖城乡居民的殡葬公共服务体系基本建立，村规民约和村民自治制度进一步健全；“法治龙山”建设取得显著成效，综治评价稳定进入全省先进行列；农村居民人均可支配收入达到18000元左右，年均增长10%以上,打造湖南省特色农业强县，建成湖南省乡村振兴示范县。</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区域协调发展塑造新格局。</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新发展理念，大力推进以人为核心的新型城镇化，大力实施新型城镇化发展“1711”行动。以建成湘西北重要窗口城市为目标，推动落实空间优化、基础设施建设、公共服务保障、住房保障、产城融合、风貌塑造、治理创新等城市建设“七大任务”，以茨岩塘镇、农车镇、苗儿滩镇、里耶镇、桂塘镇、召市镇、洗洛镇等重点镇建设为示范，辐射周边乡镇协同发展，到2025年末，实现城区面积增加10平方公里，城镇化率提高10个百分点。进一步明确老城区、华塘新城、高铁新城三大组团功能定位，突出华塘新城、高铁新城建设，加大老旧小区改造力度，提升保障性住房水平，努力建设好让人民满意的高质量城市。</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生态文明建设取得新进步。</w:t>
      </w:r>
      <w:r>
        <w:rPr>
          <w:rFonts w:hint="eastAsia" w:ascii="方正书宋简体" w:hAnsi="方正书宋简体" w:eastAsia="方正书宋简体" w:cs="方正书宋简体"/>
          <w:color w:val="000000" w:themeColor="text1"/>
          <w:sz w:val="24"/>
          <w:szCs w:val="24"/>
          <w14:textFill>
            <w14:solidFill>
              <w14:schemeClr w14:val="tx1"/>
            </w14:solidFill>
          </w14:textFill>
        </w:rPr>
        <w:t>国土空间开发保护格局得到优化，低碳绿色生产方式和生活方式基本形成，“十四五”期末，森林覆盖率达到71%以上，地表水达到或优于Ⅲ类水体比例达到100%，万元GDP用水量达、单位GDP能耗下降率均达到省定标准，全年优良空气质量天数达350天以上，城镇污水、垃圾处理率达到95%。建成国家生态文明建设示范县。</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改革创新迈出新步伐。</w:t>
      </w:r>
      <w:r>
        <w:rPr>
          <w:rFonts w:hint="eastAsia" w:ascii="方正书宋简体" w:hAnsi="方正书宋简体" w:eastAsia="方正书宋简体" w:cs="方正书宋简体"/>
          <w:color w:val="000000" w:themeColor="text1"/>
          <w:sz w:val="24"/>
          <w:szCs w:val="24"/>
          <w14:textFill>
            <w14:solidFill>
              <w14:schemeClr w14:val="tx1"/>
            </w14:solidFill>
          </w14:textFill>
        </w:rPr>
        <w:t>社会主义市场经济体制更加完善，高标准市场体系基本建成，市场主体更加充满活力，产权制度改革和要素市场化配置改革取得重大进展，公平竞争制度更加健全。更高水平开放型经济新体制基本形成，“十四五”期间，全县累计签约招商项目</w:t>
      </w:r>
      <w:r>
        <w:rPr>
          <w:rFonts w:hint="eastAsia" w:ascii="方正书宋简体" w:hAnsi="方正书宋简体" w:eastAsia="方正书宋简体" w:cs="方正书宋简体"/>
          <w:color w:val="000000" w:themeColor="text1"/>
          <w:sz w:val="24"/>
          <w:szCs w:val="24"/>
          <w:lang w:val="en-US" w:eastAsia="zh-CN"/>
          <w14:textFill>
            <w14:solidFill>
              <w14:schemeClr w14:val="tx1"/>
            </w14:solidFill>
          </w14:textFill>
        </w:rPr>
        <w:t>5</w:t>
      </w:r>
      <w:r>
        <w:rPr>
          <w:rFonts w:hint="eastAsia" w:ascii="方正书宋简体" w:hAnsi="方正书宋简体" w:eastAsia="方正书宋简体" w:cs="方正书宋简体"/>
          <w:color w:val="000000" w:themeColor="text1"/>
          <w:sz w:val="24"/>
          <w:szCs w:val="24"/>
          <w14:textFill>
            <w14:solidFill>
              <w14:schemeClr w14:val="tx1"/>
            </w14:solidFill>
          </w14:textFill>
        </w:rPr>
        <w:t>0个，到位资金50亿元，引进非金融类“三类500强”企业5家，累计实现外贸进出口总额5亿元。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文明程度得到新提高。</w:t>
      </w:r>
      <w:r>
        <w:rPr>
          <w:rFonts w:hint="eastAsia" w:ascii="方正书宋简体" w:hAnsi="方正书宋简体" w:eastAsia="方正书宋简体" w:cs="方正书宋简体"/>
          <w:color w:val="000000" w:themeColor="text1"/>
          <w:sz w:val="24"/>
          <w:szCs w:val="24"/>
          <w14:textFill>
            <w14:solidFill>
              <w14:schemeClr w14:val="tx1"/>
            </w14:solidFill>
          </w14:textFill>
        </w:rPr>
        <w:t>社会主义核心价值观更加深入人心，公共文化服务体系基本建成，公共文化服务体系达标建设进入全省前列。到2025年，实现涉农法律制度更加完善，乡村公共法律服务体系更加完善，人均期望寿命达到77.8岁左右，文化产业增加值占GDP的比重达22%，城镇居民教育文化娱乐支出占比达65%，村综合性文化服务中心覆盖率达100%，州级及以上文明村和乡镇占比达30%。</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民生福祉达到新水平。</w:t>
      </w:r>
      <w:r>
        <w:rPr>
          <w:rFonts w:hint="eastAsia" w:ascii="方正书宋简体" w:hAnsi="方正书宋简体" w:eastAsia="方正书宋简体" w:cs="方正书宋简体"/>
          <w:color w:val="000000" w:themeColor="text1"/>
          <w:sz w:val="24"/>
          <w:szCs w:val="24"/>
          <w14:textFill>
            <w14:solidFill>
              <w14:schemeClr w14:val="tx1"/>
            </w14:solidFill>
          </w14:textFill>
        </w:rPr>
        <w:t>城乡居民人均可支配收入达2.7万元，高中阶段教育毛入学率达91.8%；城镇新增就业人数达1.8万人，城镇保障性安居工程达29145户，每千常住人口县办医院床位数达4.24张，每千常住人口社会办医院床位数达2.13张，亿元GDP生产安全事故死亡人数低于省定标准。</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治理效能得到新提升。</w:t>
      </w:r>
      <w:r>
        <w:rPr>
          <w:rFonts w:hint="eastAsia" w:ascii="方正书宋简体" w:hAnsi="方正书宋简体" w:eastAsia="方正书宋简体" w:cs="方正书宋简体"/>
          <w:color w:val="000000" w:themeColor="text1"/>
          <w:sz w:val="24"/>
          <w:szCs w:val="24"/>
          <w14:textFill>
            <w14:solidFill>
              <w14:schemeClr w14:val="tx1"/>
            </w14:solidFill>
          </w14:textFill>
        </w:rPr>
        <w:t>社会主义民主法治更加健全，社会公平正义进一步彰显，政府作用更好发挥，行政效率和公信力显著提升，基层治理水平明显提高，防范化解重大风险体制机制不断健全，突发公共事件应急能力显著增强，自然灾害防御水平明显提升，发展安全保障更加有力；每万人拥有社会组织数量4.5个，村党组织书记兼任村委会主任的村占比达100%。</w:t>
      </w:r>
    </w:p>
    <w:p>
      <w:pPr>
        <w:spacing w:line="360" w:lineRule="auto"/>
        <w:jc w:val="center"/>
        <w:rPr>
          <w:rFonts w:hint="eastAsia" w:ascii="楷体" w:hAnsi="楷体" w:eastAsia="楷体" w:cs="楷体"/>
          <w:b/>
          <w:bCs/>
          <w:color w:val="000000" w:themeColor="text1"/>
          <w:sz w:val="24"/>
          <w:szCs w:val="24"/>
          <w:lang w:val="zh-CN"/>
          <w14:textFill>
            <w14:solidFill>
              <w14:schemeClr w14:val="tx1"/>
            </w14:solidFill>
          </w14:textFill>
        </w:rPr>
      </w:pPr>
      <w:bookmarkStart w:id="107" w:name="_Toc26093_WPSOffice_Level3"/>
      <w:bookmarkStart w:id="108" w:name="_Toc20501_WPSOffice_Level3"/>
      <w:bookmarkStart w:id="109" w:name="_Toc26737_WPSOffice_Level3"/>
      <w:r>
        <w:rPr>
          <w:rFonts w:hint="eastAsia" w:ascii="楷体" w:hAnsi="楷体" w:eastAsia="楷体" w:cs="楷体"/>
          <w:b/>
          <w:bCs/>
          <w:color w:val="000000" w:themeColor="text1"/>
          <w:sz w:val="24"/>
          <w:szCs w:val="24"/>
          <w:lang w:val="zh-CN"/>
          <w14:textFill>
            <w14:solidFill>
              <w14:schemeClr w14:val="tx1"/>
            </w14:solidFill>
          </w14:textFill>
        </w:rPr>
        <w:t>专栏1  龙山县“十四五”发展目标体系指标</w:t>
      </w:r>
      <w:bookmarkEnd w:id="107"/>
      <w:bookmarkEnd w:id="108"/>
      <w:bookmarkEnd w:id="109"/>
    </w:p>
    <w:tbl>
      <w:tblPr>
        <w:tblStyle w:val="18"/>
        <w:tblpPr w:leftFromText="180" w:rightFromText="180" w:vertAnchor="text" w:horzAnchor="page" w:tblpXSpec="center" w:tblpY="101"/>
        <w:tblOverlap w:val="never"/>
        <w:tblW w:w="6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434"/>
        <w:gridCol w:w="2015"/>
        <w:gridCol w:w="787"/>
        <w:gridCol w:w="1069"/>
        <w:gridCol w:w="1426"/>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jc w:val="center"/>
        </w:trPr>
        <w:tc>
          <w:tcPr>
            <w:tcW w:w="39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类别</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序号</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指标名称</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2020年</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2025年</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年均增速</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［累计］</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经济发展</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地区生产总值（亿元）</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97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150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9.1%</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全员劳动生产率（万元/人）</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5.2</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7%</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制造业增加值占GDP比重（%）</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13%</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累计17个百分点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产业投资占固定资产投资比重（%）</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27.4%</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50%以上</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累计22.6个百分点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最终消费对GDP贡献率（%）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55%</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60%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累计5个百分点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6</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进出口总额占GDP比重（%）</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1.5%</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累计0.5个百分点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7</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地方税收占GDP比重（%）</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4.3%</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累计0.7个百分点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1"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8</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常住人口城镇化率（%）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57%</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累计10个百分点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创新驱动</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9</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研发经费投入占GDP比例（%）</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0.6%</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1.5%</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累计0.9个百分点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10</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每万人口有效发明专利拥有量（件）</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0.6</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累计0.4个百分点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11</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数字经济增加值占GDP比例（%）</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4%</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累计1个百分点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民生福祉</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12</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城乡居民人均可支配收入（元）</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16325</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26300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10%</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13</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城镇调查失业率（%）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6.2%</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5.3%以内</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累计0.9个百分点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14</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劳动年龄人口平均受教育年限（年）</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10.5</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11.1</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累计0.6个百分点</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15</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每千人口拥有执业（助理）医师数（人）</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3.5</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累计1.5人</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16</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基本养老保险参保率（%）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法定人群全覆盖</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法定人群全覆盖</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17</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每千人口拥有三岁以下婴幼儿托位数（个）</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6</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累计6个</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18</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人均预期寿命（岁）</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77</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78</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累计1岁</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绿色转型</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19</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单位GDP能源消耗降幅（%）</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1.2%</w:t>
            </w:r>
          </w:p>
        </w:tc>
        <w:tc>
          <w:tcPr>
            <w:tcW w:w="2495"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完成省定任务</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单位GDP二氧化碳排放降幅（%）</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5%</w:t>
            </w:r>
          </w:p>
        </w:tc>
        <w:tc>
          <w:tcPr>
            <w:tcW w:w="2495"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完成省定任务</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21</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空气质量优良天数比例（%）</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95.9%</w:t>
            </w:r>
          </w:p>
        </w:tc>
        <w:tc>
          <w:tcPr>
            <w:tcW w:w="2495"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完成省定任务</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22</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地表水达到或优于Ⅲ类水体比例（%）</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100%</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100%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持平</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23</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森林覆盖率（%）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70.15</w:t>
            </w:r>
            <w:r>
              <w:rPr>
                <w:rFonts w:hint="eastAsia" w:asciiTheme="minorEastAsia" w:hAnsiTheme="minorEastAsia" w:eastAsiaTheme="minorEastAsia" w:cstheme="minorEastAsia"/>
                <w:color w:val="000000" w:themeColor="text1"/>
                <w:sz w:val="18"/>
                <w:szCs w:val="18"/>
                <w14:textFill>
                  <w14:solidFill>
                    <w14:schemeClr w14:val="tx1"/>
                  </w14:solidFill>
                </w14:textFill>
              </w:rPr>
              <w:t>%</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71</w:t>
            </w:r>
            <w:r>
              <w:rPr>
                <w:rFonts w:hint="eastAsia" w:asciiTheme="minorEastAsia" w:hAnsiTheme="minorEastAsia" w:eastAsiaTheme="minorEastAsia" w:cstheme="minorEastAsia"/>
                <w:color w:val="000000" w:themeColor="text1"/>
                <w:sz w:val="18"/>
                <w:szCs w:val="18"/>
                <w14:textFill>
                  <w14:solidFill>
                    <w14:schemeClr w14:val="tx1"/>
                  </w14:solidFill>
                </w14:textFill>
              </w:rPr>
              <w:t>%</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稳定在71%以上</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安全保障</w:t>
            </w: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24</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粮食综合生产能力（万吨）</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19.6</w:t>
            </w:r>
          </w:p>
        </w:tc>
        <w:tc>
          <w:tcPr>
            <w:tcW w:w="1069"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20</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稳定在20万吨以上</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snapToGrid/>
              <w:spacing w:line="220" w:lineRule="exact"/>
              <w:ind w:firstLine="640"/>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tc>
        <w:tc>
          <w:tcPr>
            <w:tcW w:w="434"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25</w:t>
            </w:r>
          </w:p>
        </w:tc>
        <w:tc>
          <w:tcPr>
            <w:tcW w:w="2015" w:type="dxa"/>
            <w:vAlign w:val="center"/>
          </w:tcPr>
          <w:p>
            <w:pPr>
              <w:keepNext w:val="0"/>
              <w:keepLines w:val="0"/>
              <w:pageBreakBefore w:val="0"/>
              <w:widowControl w:val="0"/>
              <w:kinsoku/>
              <w:wordWrap/>
              <w:overflowPunct/>
              <w:topLinePunct w:val="0"/>
              <w:autoSpaceDE/>
              <w:autoSpaceDN/>
              <w:bidi w:val="0"/>
              <w:adjustRightInd/>
              <w:snapToGrid/>
              <w:spacing w:line="2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亿元GDP生产安全事故死亡率（%）</w:t>
            </w:r>
          </w:p>
        </w:tc>
        <w:tc>
          <w:tcPr>
            <w:tcW w:w="787"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0.0354%</w:t>
            </w:r>
          </w:p>
        </w:tc>
        <w:tc>
          <w:tcPr>
            <w:tcW w:w="2495" w:type="dxa"/>
            <w:gridSpan w:val="2"/>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低于省定标准</w:t>
            </w:r>
          </w:p>
        </w:tc>
        <w:tc>
          <w:tcPr>
            <w:tcW w:w="810" w:type="dxa"/>
            <w:vAlign w:val="center"/>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约束性</w:t>
            </w:r>
          </w:p>
        </w:tc>
      </w:tr>
    </w:tbl>
    <w:p>
      <w:pPr>
        <w:keepNext w:val="0"/>
        <w:keepLines w:val="0"/>
        <w:pageBreakBefore w:val="0"/>
        <w:widowControl/>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color w:val="000000" w:themeColor="text1"/>
          <w:spacing w:val="-11"/>
          <w:w w:val="100"/>
          <w:kern w:val="44"/>
          <w:sz w:val="30"/>
          <w:szCs w:val="30"/>
          <w14:textFill>
            <w14:solidFill>
              <w14:schemeClr w14:val="tx1"/>
            </w14:solidFill>
          </w14:textFill>
        </w:rPr>
      </w:pPr>
      <w:bookmarkStart w:id="110" w:name="_Toc60048893"/>
    </w:p>
    <w:p>
      <w:pPr>
        <w:keepNext w:val="0"/>
        <w:keepLines w:val="0"/>
        <w:pageBreakBefore w:val="0"/>
        <w:widowControl/>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color w:val="000000" w:themeColor="text1"/>
          <w:spacing w:val="-11"/>
          <w:w w:val="100"/>
          <w:kern w:val="44"/>
          <w:sz w:val="30"/>
          <w:szCs w:val="30"/>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pPr>
      <w:bookmarkStart w:id="111" w:name="_Toc26223_WPSOffice_Level1"/>
      <w:r>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t>第三篇  深入推进五大“1711”行动，</w:t>
      </w:r>
      <w:bookmarkEnd w:id="111"/>
    </w:p>
    <w:p>
      <w:pPr>
        <w:keepNext w:val="0"/>
        <w:keepLines w:val="0"/>
        <w:pageBreakBefore w:val="0"/>
        <w:widowControl/>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pPr>
      <w:bookmarkStart w:id="112" w:name="_Toc8234_WPSOffice_Level2"/>
      <w:r>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t>奋力建设</w:t>
      </w:r>
      <w:bookmarkStart w:id="113" w:name="_Toc27536_WPSOffice_Level2"/>
      <w:r>
        <w:rPr>
          <w:rFonts w:hint="eastAsia" w:ascii="方正小标宋简体" w:hAnsi="方正小标宋简体" w:eastAsia="方正小标宋简体" w:cs="方正小标宋简体"/>
          <w:b w:val="0"/>
          <w:bCs w:val="0"/>
          <w:color w:val="000000" w:themeColor="text1"/>
          <w:spacing w:val="0"/>
          <w:w w:val="100"/>
          <w:kern w:val="44"/>
          <w:sz w:val="30"/>
          <w:szCs w:val="30"/>
          <w14:textFill>
            <w14:solidFill>
              <w14:schemeClr w14:val="tx1"/>
            </w14:solidFill>
          </w14:textFill>
        </w:rPr>
        <w:t>州域北部重点经济区</w:t>
      </w:r>
      <w:bookmarkEnd w:id="110"/>
      <w:bookmarkEnd w:id="112"/>
      <w:bookmarkEnd w:id="113"/>
    </w:p>
    <w:p>
      <w:pPr>
        <w:pStyle w:val="2"/>
        <w:pageBreakBefore w:val="0"/>
        <w:widowControl w:val="0"/>
        <w:kinsoku/>
        <w:wordWrap/>
        <w:overflowPunct/>
        <w:topLinePunct w:val="0"/>
        <w:autoSpaceDE/>
        <w:autoSpaceDN/>
        <w:bidi w:val="0"/>
        <w:spacing w:line="420" w:lineRule="exact"/>
        <w:textAlignment w:val="auto"/>
        <w:rPr>
          <w:rFonts w:hint="eastAsia"/>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14" w:name="_Toc6765_WPSOffice_Level2"/>
      <w:bookmarkStart w:id="115" w:name="_Toc60048894"/>
      <w:r>
        <w:rPr>
          <w:rFonts w:hint="eastAsia" w:ascii="黑体" w:hAnsi="黑体" w:eastAsia="黑体" w:cs="黑体"/>
          <w:b w:val="0"/>
          <w:bCs w:val="0"/>
          <w:color w:val="000000" w:themeColor="text1"/>
          <w:w w:val="100"/>
          <w:sz w:val="30"/>
          <w:szCs w:val="30"/>
          <w14:textFill>
            <w14:solidFill>
              <w14:schemeClr w14:val="tx1"/>
            </w14:solidFill>
          </w14:textFill>
        </w:rPr>
        <w:t>第八章  做大做强生态文化旅游业，推动</w:t>
      </w:r>
      <w:bookmarkEnd w:id="114"/>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16" w:name="_Toc13744_WPSOffice_Level2"/>
      <w:r>
        <w:rPr>
          <w:rFonts w:hint="eastAsia" w:ascii="黑体" w:hAnsi="黑体" w:eastAsia="黑体" w:cs="黑体"/>
          <w:b w:val="0"/>
          <w:bCs w:val="0"/>
          <w:color w:val="000000" w:themeColor="text1"/>
          <w:w w:val="100"/>
          <w:sz w:val="30"/>
          <w:szCs w:val="30"/>
          <w14:textFill>
            <w14:solidFill>
              <w14:schemeClr w14:val="tx1"/>
            </w14:solidFill>
          </w14:textFill>
        </w:rPr>
        <w:t>全域旅游达到新高度</w:t>
      </w:r>
      <w:bookmarkEnd w:id="115"/>
      <w:bookmarkEnd w:id="116"/>
      <w:bookmarkStart w:id="117" w:name="_Toc60048895"/>
    </w:p>
    <w:bookmarkEnd w:id="117"/>
    <w:p>
      <w:pPr>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118" w:name="_Toc20052"/>
      <w:bookmarkStart w:id="119" w:name="_Toc5844"/>
      <w:bookmarkStart w:id="120" w:name="_Toc10345"/>
      <w:bookmarkStart w:id="121" w:name="_Toc6721"/>
      <w:bookmarkStart w:id="122" w:name="_Toc30172"/>
      <w:bookmarkStart w:id="123" w:name="_Toc8312"/>
      <w:bookmarkStart w:id="124" w:name="_Toc6459"/>
      <w:bookmarkStart w:id="125" w:name="_Toc60140476"/>
      <w:bookmarkStart w:id="126" w:name="_Toc60048896"/>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大力实施全域旅游“1711”行动</w:t>
      </w:r>
      <w:r>
        <w:rPr>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3"/>
      </w:r>
      <w:r>
        <w:rPr>
          <w:rFonts w:hint="eastAsia" w:ascii="方正书宋简体" w:hAnsi="方正书宋简体" w:eastAsia="方正书宋简体" w:cs="方正书宋简体"/>
          <w:color w:val="000000" w:themeColor="text1"/>
          <w:sz w:val="24"/>
          <w:szCs w:val="24"/>
          <w14:textFill>
            <w14:solidFill>
              <w14:schemeClr w14:val="tx1"/>
            </w14:solidFill>
          </w14:textFill>
        </w:rPr>
        <w:t>，以建成武陵山片区全域旅游新高地为目标，以里耶古城、惹巴拉、乌龙山大峡谷、八面山、洛塔石林、茨岩塘、太平山等7个景区创新提质发展为支撑，着力打造“大美龙山”文旅品牌形象。</w:t>
      </w:r>
      <w:bookmarkEnd w:id="118"/>
      <w:bookmarkEnd w:id="119"/>
      <w:r>
        <w:rPr>
          <w:rFonts w:hint="eastAsia" w:ascii="方正书宋简体" w:hAnsi="方正书宋简体" w:eastAsia="方正书宋简体" w:cs="方正书宋简体"/>
          <w:color w:val="000000" w:themeColor="text1"/>
          <w:sz w:val="24"/>
          <w:szCs w:val="24"/>
          <w14:textFill>
            <w14:solidFill>
              <w14:schemeClr w14:val="tx1"/>
            </w14:solidFill>
          </w14:textFill>
        </w:rPr>
        <w:t>“十四五”期末，实现旅游总接待人数突破1000万人次（年均增长22%以上），旅游总收入突破100亿元（年均增长15%以上），入境旅游接待40万人次（年均增长约20%），吸纳社会就业12万人左右。</w:t>
      </w:r>
      <w:bookmarkEnd w:id="120"/>
      <w:bookmarkEnd w:id="121"/>
      <w:bookmarkEnd w:id="122"/>
      <w:bookmarkEnd w:id="123"/>
      <w:bookmarkEnd w:id="124"/>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27" w:name="_Toc5425_WPSOffice_Level2"/>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 xml:space="preserve">第一节  </w:t>
      </w:r>
      <w:bookmarkEnd w:id="125"/>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明确旅游发展新目标</w:t>
      </w:r>
      <w:bookmarkEnd w:id="127"/>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旅游发展定位。</w:t>
      </w:r>
      <w:r>
        <w:rPr>
          <w:rFonts w:hint="eastAsia" w:ascii="方正书宋简体" w:hAnsi="方正书宋简体" w:eastAsia="方正书宋简体" w:cs="方正书宋简体"/>
          <w:color w:val="000000" w:themeColor="text1"/>
          <w:sz w:val="24"/>
          <w:szCs w:val="24"/>
          <w14:textFill>
            <w14:solidFill>
              <w14:schemeClr w14:val="tx1"/>
            </w14:solidFill>
          </w14:textFill>
        </w:rPr>
        <w:t>以里耶古城—八面山和惹巴拉古寨作为龙山旅游引爆点，突出龙山县多学科融合的研学旅游资源特色，将土家文化与科普研学作为龙山旅游开发的核心，打造不同的度假、休闲、研学产品，进行高起点、高标准和高水平的项目开发，最终将龙山打造为中国土家文化旅游目的地与中国秦文化研学旅游目的地。</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旅游发展功能定位。</w:t>
      </w:r>
      <w:r>
        <w:rPr>
          <w:rFonts w:hint="eastAsia" w:ascii="方正书宋简体" w:hAnsi="方正书宋简体" w:eastAsia="方正书宋简体" w:cs="方正书宋简体"/>
          <w:color w:val="000000" w:themeColor="text1"/>
          <w:sz w:val="24"/>
          <w:szCs w:val="24"/>
          <w14:textFill>
            <w14:solidFill>
              <w14:schemeClr w14:val="tx1"/>
            </w14:solidFill>
          </w14:textFill>
        </w:rPr>
        <w:t>湘鄂渝黔旅游集散中心。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旅游产业定位。</w:t>
      </w:r>
      <w:r>
        <w:rPr>
          <w:rFonts w:hint="eastAsia" w:ascii="方正书宋简体" w:hAnsi="方正书宋简体" w:eastAsia="方正书宋简体" w:cs="方正书宋简体"/>
          <w:color w:val="000000" w:themeColor="text1"/>
          <w:sz w:val="24"/>
          <w:szCs w:val="24"/>
          <w14:textFill>
            <w14:solidFill>
              <w14:schemeClr w14:val="tx1"/>
            </w14:solidFill>
          </w14:textFill>
        </w:rPr>
        <w:t>龙山县国民经济战略性支柱产业和特色主导产业。</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努力把龙山县打造成武陵山片区全域旅游新高地、土家文化探源地和农旅融合发展示范区，把里耶古城打造成为全国知名的秦文化研学展示基地和文旅重镇。建成国家级旅游度假区1处，长征国家文化公园1个。新增1个国家AAAAA级旅游景区、3个国家AAAA级旅游景区和1个国家AAA级旅游景区。创建国家级研学旅行基地2-3处，省级研学旅游基地4-5处。</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28" w:name="_Toc60140477"/>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29" w:name="_Toc13443_WPSOffice_Level2"/>
      <w:r>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t xml:space="preserve">第二节  </w:t>
      </w:r>
      <w:bookmarkEnd w:id="128"/>
      <w:r>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t>构建旅游产品新格局</w:t>
      </w:r>
      <w:bookmarkEnd w:id="129"/>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依托龙山特色旅游资源，空间发展策略定为“双核驱动、中部崛起”，即主城区构建休闲集散旅游核，里耶古城构建秦文化体验核，形成县域内南北两极古代文明和现代文明交相辉映的双核系统。通过两个核心的发展逐渐带动乌龙山、茨岩塘等中部地区旅游发展，从而构建龙山旅游目的地整体发展格局。</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做好观光基础市场。</w:t>
      </w:r>
      <w:r>
        <w:rPr>
          <w:rFonts w:hint="eastAsia" w:ascii="方正书宋简体" w:hAnsi="方正书宋简体" w:eastAsia="方正书宋简体" w:cs="方正书宋简体"/>
          <w:color w:val="000000" w:themeColor="text1"/>
          <w:sz w:val="24"/>
          <w:szCs w:val="24"/>
          <w14:textFill>
            <w14:solidFill>
              <w14:schemeClr w14:val="tx1"/>
            </w14:solidFill>
          </w14:textFill>
        </w:rPr>
        <w:t>大力建设大湘西“土家探源”文化生态旅游精品线，打造里耶为核心的旅游黄金圈。湘西串线区域联动，景区产品差异发展。做精里耶古城、惹巴拉1-1.5天游线，打造“张龙凤”“张龙恩”精品旅游线路，与知名旅行社建立互推互助合作关系，通过景区旅游产品差异化，为传统旅游游线注入创新驱动力。依托长沙、重庆、张家界、凤凰四大客源市场，做好线上线下文旅宣传和推介。</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做强周边休闲市场。</w:t>
      </w:r>
      <w:r>
        <w:rPr>
          <w:rFonts w:hint="eastAsia" w:ascii="方正书宋简体" w:hAnsi="方正书宋简体" w:eastAsia="方正书宋简体" w:cs="方正书宋简体"/>
          <w:color w:val="000000" w:themeColor="text1"/>
          <w:sz w:val="24"/>
          <w:szCs w:val="24"/>
          <w14:textFill>
            <w14:solidFill>
              <w14:schemeClr w14:val="tx1"/>
            </w14:solidFill>
          </w14:textFill>
        </w:rPr>
        <w:t>产业融合助力乡村旅游。构建“快旅慢游”旅游交通网络，打造湘西最美旅游公路。将北部龙山县主城区、太平山景区、茨岩塘红色旅游组团，中部乌龙山大峡谷、洛塔石林、惹巴拉组团，南部里耶古城、八面山等县域内各主要节点串联，形成龙山旅游大环线。结合县内茶业、百合、柑橘、油茶等七大农业特色产业，促进农旅融合、茶旅融合等“旅游+”产业带动区域发展，挖掘非物质文化遗产资源，促进文旅融合，探索“景区带村”等模式，以民宿产业为先导带动乡村旅游和乡村产业新发展，助推乡村振兴跨越式发展。</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做优研学旅行市场</w:t>
      </w:r>
      <w:r>
        <w:rPr>
          <w:rFonts w:hint="eastAsia" w:ascii="楷体" w:hAnsi="楷体" w:eastAsia="楷体" w:cs="楷体"/>
          <w:b/>
          <w:bCs/>
          <w:color w:val="000000" w:themeColor="text1"/>
          <w:sz w:val="24"/>
          <w:szCs w:val="24"/>
          <w:lang w:eastAsia="zh-CN"/>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优质资源打造研学旅游。深度挖掘龙山研学资源，构建大教育全产业链生态体系，打造全国研学旅游目的地。以“教育+旅行”形式开展的研学旅行交叉行业热门市场，延展出教育旅游、户外活动、营地教育、社会实践等细分领域。</w:t>
      </w:r>
    </w:p>
    <w:p>
      <w:pPr>
        <w:pStyle w:val="2"/>
        <w:pageBreakBefore w:val="0"/>
        <w:widowControl w:val="0"/>
        <w:kinsoku/>
        <w:wordWrap/>
        <w:overflowPunct/>
        <w:topLinePunct w:val="0"/>
        <w:autoSpaceDE/>
        <w:autoSpaceDN/>
        <w:bidi w:val="0"/>
        <w:spacing w:line="420" w:lineRule="exact"/>
        <w:textAlignment w:val="auto"/>
        <w:rPr>
          <w:rFonts w:hint="eastAsia"/>
          <w:sz w:val="28"/>
          <w:szCs w:val="28"/>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30" w:name="_Toc26618_WPSOffice_Level2"/>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 xml:space="preserve">第三节  </w:t>
      </w:r>
      <w:bookmarkEnd w:id="126"/>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丰富“大美龙山”新内涵</w:t>
      </w:r>
      <w:bookmarkEnd w:id="130"/>
    </w:p>
    <w:p>
      <w:pPr>
        <w:pageBreakBefore w:val="0"/>
        <w:widowControl w:val="0"/>
        <w:kinsoku/>
        <w:wordWrap/>
        <w:overflowPunct/>
        <w:topLinePunct w:val="0"/>
        <w:autoSpaceDE/>
        <w:autoSpaceDN/>
        <w:bidi w:val="0"/>
        <w:spacing w:line="420" w:lineRule="exact"/>
        <w:ind w:firstLine="562" w:firstLineChars="200"/>
        <w:textAlignment w:val="auto"/>
        <w:rPr>
          <w:rFonts w:hint="eastAsia" w:ascii="方正书宋简体" w:hAnsi="方正书宋简体" w:eastAsia="方正书宋简体" w:cs="方正书宋简体"/>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做强秦文化旅游品牌。</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实施秦文化研究中心、水上秦郡、里耶旅游文化小镇、私享长春等项目建设，把里耶古镇建设成为全国闻名的秦文化研学体验展示基地和文旅重镇。以里耶古城景区为龙头，串联惹巴拉、太平山、茨岩塘、八面山、乌龙山大峡谷、洛塔等支点景区，打造大里耶旅游黄金圈。</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做大土家文化旅游品牌。</w:t>
      </w:r>
      <w:r>
        <w:rPr>
          <w:rFonts w:hint="eastAsia" w:ascii="方正书宋简体" w:hAnsi="方正书宋简体" w:eastAsia="方正书宋简体" w:cs="方正书宋简体"/>
          <w:color w:val="000000" w:themeColor="text1"/>
          <w:sz w:val="24"/>
          <w:szCs w:val="24"/>
          <w14:textFill>
            <w14:solidFill>
              <w14:schemeClr w14:val="tx1"/>
            </w14:solidFill>
          </w14:textFill>
        </w:rPr>
        <w:t>依托土家文化探源地和农旅融合发展示范区建设，推动土家文化产业跨越式发展，建设100个乡村旅游重点示范村，启动惹巴拉古寨提质改造、影视基地配套建设工程，融入大湘西“土家探源”生态文化乡村旅游精品线。重点推进靛房镇、洗车河镇、里耶镇土家文化核心区保护传承与开发利用。</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做实红色文化旅游品牌。</w:t>
      </w:r>
      <w:r>
        <w:rPr>
          <w:rFonts w:hint="eastAsia" w:ascii="方正书宋简体" w:hAnsi="方正书宋简体" w:eastAsia="方正书宋简体" w:cs="方正书宋简体"/>
          <w:color w:val="000000" w:themeColor="text1"/>
          <w:sz w:val="24"/>
          <w:szCs w:val="24"/>
          <w14:textFill>
            <w14:solidFill>
              <w14:schemeClr w14:val="tx1"/>
            </w14:solidFill>
          </w14:textFill>
        </w:rPr>
        <w:t>充分挖掘、整合茨岩塘镇、兴隆街道、水田坝镇、里耶镇红色旅游资源，做实“中国工农红军长征最后出发地”红色旅游品牌。立足红二、六军团从南昌起义-井冈山-长征-湘西-延安-南泥湾-抗日战争-解放战争的革命踪迹和红色记忆，加快纪念馆、“中国工农红军兵器博物馆”“红二六军团长征纪念园”、红三军指挥部旧址、解放军里耶剿匪指挥部旧址、八面山燕子洞剿匪纪念馆等长征国家文化公园项目规划建设，将茨岩塘打造成国家级红色旅游精品景区。</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31" w:name="_Toc30845_WPSOffice_Level2"/>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提质景区创建新品牌</w:t>
      </w:r>
      <w:bookmarkEnd w:id="131"/>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对接“神秘湘西”品牌，加快县域全域旅游整体品牌和各景区品牌塑造，在土家族文化、自然山水文化、秦文化、红色文化等领域推出具有较大影响力的旅游品牌形象。加强景区设施建设，加快里耶古城、惹巴拉、乌龙山大峡谷、八面山、洛塔石林、茨岩塘、太平山景区建设进度，抓紧游客服务中心、“智慧旅游”服务平台、星级酒店、停车场、旅游厕所和等级旅游公路、快旅慢游体系建设，完善综合配套服务，增强景区景点服务功能和游客聚集力、承载力，加大创品夺牌力度；丰富景区业态布局，引导景区增加旅游购物、娱乐等参与性、体验性、互动性项目等设施，鼓励景区开发具有本地特色的旅游商品；加强行业服务管理，制定完善管理制度，加强对从业人员的教育、培训和管理，推进优质规范服务，全面提升景区服务水平；开展旅游环境综合整治，加强景区治安和安全防范工作，注重环境卫生的日常维护，营造文明旅游氛围，全面优化旅游发展环境。</w:t>
      </w:r>
    </w:p>
    <w:p>
      <w:pPr>
        <w:pStyle w:val="2"/>
        <w:pageBreakBefore w:val="0"/>
        <w:widowControl w:val="0"/>
        <w:kinsoku/>
        <w:wordWrap/>
        <w:overflowPunct/>
        <w:topLinePunct w:val="0"/>
        <w:autoSpaceDE/>
        <w:autoSpaceDN/>
        <w:bidi w:val="0"/>
        <w:spacing w:line="420" w:lineRule="exact"/>
        <w:textAlignment w:val="auto"/>
        <w:rPr>
          <w:rFonts w:hint="eastAsia"/>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32" w:name="_Toc60048897"/>
      <w:bookmarkStart w:id="133" w:name="_Toc26803_WPSOffice_Level2"/>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 xml:space="preserve">第五节  </w:t>
      </w:r>
      <w:bookmarkEnd w:id="132"/>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推进农旅融合发展</w:t>
      </w:r>
      <w:bookmarkEnd w:id="133"/>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依托里耶脐橙、龙山百合、道地药材等特色农业基础和果蔬采摘、休闲垂钓、休闲农庄、家庭农场、四季花海等休闲农业产品，大力发展旅游观光和特色休闲农业。支持石牌镇、洗洛镇发展百合观光旅游项目；支持苗儿滩镇、里耶镇发展脐橙采摘体验项目；支持大安乡、靛房镇、洛塔乡发展中药材康养产业项目；支持茅坪乡水沙坪村、茶园村，洗洛镇红石村发展田园综合体项目。全县主要景区配套建设规模化的生态休闲农业示范园，在石羔街道、兴隆街道、民安街道、华塘街道布局以花卉、农家乐等为主要产品的休闲农庄、休闲农业。到2025年末，建成国家级休闲农业与乡村旅游示范区1个，省级示范休闲农庄3个，省级示范农业主题公园1个，年产值达30亿元以上。</w:t>
      </w:r>
    </w:p>
    <w:tbl>
      <w:tblPr>
        <w:tblStyle w:val="18"/>
        <w:tblpPr w:leftFromText="180" w:rightFromText="180" w:vertAnchor="text" w:horzAnchor="page" w:tblpX="1205" w:tblpY="368"/>
        <w:tblOverlap w:val="never"/>
        <w:tblW w:w="6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6160" w:type="dxa"/>
            <w:shd w:val="clear" w:color="auto" w:fill="auto"/>
            <w:vAlign w:val="center"/>
          </w:tcPr>
          <w:p>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rPr>
            </w:pPr>
            <w:r>
              <w:rPr>
                <w:rFonts w:hint="eastAsia" w:ascii="楷体" w:hAnsi="楷体" w:eastAsia="楷体" w:cs="楷体"/>
                <w:b/>
                <w:bCs/>
                <w:sz w:val="24"/>
                <w:szCs w:val="24"/>
              </w:rPr>
              <w:t>专栏2  文旅服务设施重点工程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6160" w:type="dxa"/>
            <w:shd w:val="clear" w:color="auto" w:fill="auto"/>
          </w:tcPr>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1.龙山县里耶生态旅游景区开发项目: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里耶古镇5A景区创建：新建1.7万平方米游客服务中心、附属用房、换乘车站、悬吊式观景平台、生态停车场，旅游厕所、游道、特色民居改造及基础设施建设。2.里耶古城、秦简博物馆、古城遗址提质改造。3.里耶古城水上秦郡建设：边城春秋、秦风雅舍、秦人市井、酉水畔月、时光长廊、二春香等建设。4.里耶新区文化产业园：总建筑面积17.5万平方米，建设民族风情文化街区、文化休闲展览区、商务服务区及相关配套工程。5.里耶私享长春项目：项目规划范围北起长春村以南，南至长潭河新河道，西沿长潭河，东靠岩冲界山西麓，总占地面积600亩，由五大板块（即五大功能分区）构成：①入口形象区（主要包括游客服务中心、游船中心、土家吊脚楼商业街、南门石桥、许愿岛、绿地、水面、道路等）；②滨水娱乐区（主要包括演艺中心、土家酒楼、听乐台、乐悠阁、玉水小苑、春水堂、万名塔等）；③湿地生态度假区（主要包括游客服务中心、吊脚楼客栈群、望江阁、商业街、桥头广场、绿地等）；④特色休闲区（主要包括原乡土家、悠然小栈、长春客栈、土家人家、临滨休闲街、小桥别院、吊脚人家、思源居、思源客栈、民族艺苑、百食汇、冲天楼、土家美食街、滨水广场等）；⑤田园度假区（主要包括田园小寨、百花园、长潭养生园、绿化、道路等），以及配套基础设施。6.里耶旅游文化小镇（二期）：建设民国时期湘西民居，打造精品住宿、特色客栈、集文化、休闲、娱乐、餐饮于一体的特色街区。7.里耶秦文化研究中心及龙山县精品文物库房：精品文物库房1747平方米，管理用房900平方米及配套设备。8.里耶酉水风光旅游开发。</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2.龙山县苗儿滩镇特色文旅小镇项目：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1.5A景区创建，建设景区游客服务中心、停车场、景区旅游公路、观光车道、人行游步道、旅游厕所、景区节点景观、土家民俗博物馆、土家织锦博物馆、主题公园、景区智能系统及公共服务设施，捞车村、黎明村、树比村、六合村土家民居改造及环境综合整治工程。3.古村落改造、土家民俗展示馆装修改造、影视城城门城墙装饰装修、龙亭装饰装修、新建高端民宿、游客服务中心装饰装修、景区旅游业态建设、平板桥建设、电力改造、污水管网建设、监控系统以及亮化工程。</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3.龙山县八面山生态休闲度假区综合开发项目：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建设八面山景区游客服务中心（包含景区大门、游客接待中心、缆车服务站）、玻璃栈道、星空帐篷酒店、悬崖酒店、滑翔伞基地、大小岩门草甸游乐区、燕子洞、自生桥、餐饮住宿等服务设施。2.云顶休闲运动度假区、天池生态养生度假区；西眉峡景区、背子岩景区及配套设施建设、生态环境建设等。</w:t>
            </w:r>
          </w:p>
          <w:p>
            <w:pPr>
              <w:pStyle w:val="3"/>
              <w:keepNext w:val="0"/>
              <w:keepLines w:val="0"/>
              <w:pageBreakBefore w:val="0"/>
              <w:widowControl w:val="0"/>
              <w:kinsoku/>
              <w:wordWrap/>
              <w:overflowPunct/>
              <w:topLinePunct w:val="0"/>
              <w:autoSpaceDE/>
              <w:autoSpaceDN/>
              <w:bidi w:val="0"/>
              <w:adjustRightInd/>
              <w:snapToGrid/>
              <w:spacing w:line="300" w:lineRule="exact"/>
              <w:ind w:left="0"/>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4.龙山县乌龙山大峡谷森林康养项目：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建设游客中心，乌龙山大峡谷旅游公路，生态停车场，旅游厕所，峡谷溶洞探险（天坑鼓极限蹦极、天坑鼓至鲢鱼洞空中飞索），森林康养木屋，峡谷游道，丛林负氧离子广场（户外瑜伽广场）等。</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5.龙山县洛塔石林景区项目：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4A景区创建，建设景区游客服务中心及停车场，观光车道、户外徒步线路、旅游厕所、景区节点景观平台、帐篷营地、自驾车营地、低空飞行综合基地（滑翔伞、热气球、螺旋桨飞机）等旅游设施，酒店、购物、餐饮、医疗、救援等配套系统；新建洛塔精神陈列馆及相关配套设施；洛塔乡五台村至楠竹村到阿亏村旅游公路提质改造30公里。</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6.湘西州龙山县茨岩塘红二、六军团长征国家文化公园项目：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湘鄂川黔革命根据地陈列展示馆、县域内红色旧址遗址保护（含消防安防）、中国工农红军兵器博物馆、旅游公路、游步道、游客服务中心、停车场、垃圾污水处理、红色民宿、红色主题文化设施、研学基地、标示标牌、纪念标志碑、红色旅游智慧平台系统等设施。其中：新建陈列馆工程，建筑面积4900㎡；新建战场遗址保护利用工程（5处战场遗址：望乡台、招头寨、象鼻岭、石家垭、芭蕉坨。保护利用面积150亩）；红二、六军团（红二方面军）长征路线“时空隧道”（20000平方米）；大型红色故事文化墙200米；研学基地：红军宿舍、红军食堂（体验场所2栋），露营、VR、AR战场体验场；中国工农红军兵器博物馆：主体建筑、附属设施5000平方米）；建设游客服务中心、红色文化广场、剧场50000平方米，生态停车场20000平方米；红军亭4座、纪念牌楼4座；修复红军路游步道（含景观驿站）9000米；各级红色旧址修缮保护、展示利用18处。新建（改扩建）红色民宿50栋。</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7.龙山县太平山景区项目：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太平山景区果利河、苦竹河，猛洞河沿河风光带打造（含污水处理、景观改造和娱乐设施），总长度30公里；太平山康养基地、伏羲文创基地及游客中心、精品民宿、禅修客栈、太平书院，禅茶基地，民族文化风情街、研学基地、体育公园（含攀岩、飞拉达、溜索等项目）等建设。</w:t>
            </w:r>
          </w:p>
          <w:p>
            <w:pPr>
              <w:keepNext w:val="0"/>
              <w:keepLines w:val="0"/>
              <w:pageBreakBefore w:val="0"/>
              <w:widowControl w:val="0"/>
              <w:kinsoku/>
              <w:wordWrap/>
              <w:overflowPunct/>
              <w:topLinePunct w:val="0"/>
              <w:autoSpaceDE/>
              <w:autoSpaceDN/>
              <w:bidi w:val="0"/>
              <w:adjustRightInd/>
              <w:snapToGri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8.龙山县大安露营基地及高山滑雪、滑草项目：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规划占地面积约1200亩，建设自驾游露营区、高山木屋区、高山休闲度假区、户外拓展体验区、低空飞行基地；新建室内滑雪场5000平米，室外滑雪场20000平米，室外滑草2000平米，提质改造从茨岩塘到大安乡的旅游公路，新建游客服务中心、旅游生态停车场、旅游厕所等配套设施。</w:t>
            </w:r>
          </w:p>
          <w:p>
            <w:pPr>
              <w:pStyle w:val="3"/>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9.龙山县全域旅游服务管理系统体系项目：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内容包括：新建武陵山旅游集散中心-龙山县游客集散中心，建设智慧旅游系统库（导览系统、票务系统有等）、旅游厕所50座、旅游标识标牌、大型停车场、旅游演艺场所4个、旅游驿站10个、旅游户外大型宣传广告等。</w:t>
            </w:r>
          </w:p>
        </w:tc>
      </w:tr>
    </w:tbl>
    <w:p>
      <w:pPr>
        <w:pStyle w:val="2"/>
      </w:pPr>
    </w:p>
    <w:p>
      <w:pPr>
        <w:pStyle w:val="2"/>
        <w:rPr>
          <w:color w:val="000000" w:themeColor="text1"/>
          <w14:textFill>
            <w14:solidFill>
              <w14:schemeClr w14:val="tx1"/>
            </w14:solidFill>
          </w14:textFill>
        </w:rPr>
      </w:pPr>
      <w:r>
        <w:rPr>
          <w:color w:val="000000" w:themeColor="text1"/>
          <w14:textFill>
            <w14:solidFill>
              <w14:schemeClr w14:val="tx1"/>
            </w14:solidFill>
          </w14:textFill>
        </w:rPr>
        <w:br w:type="page"/>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34" w:name="_Toc2948_WPSOffice_Level2"/>
      <w:bookmarkStart w:id="135" w:name="_Toc60048898"/>
      <w:r>
        <w:rPr>
          <w:rFonts w:hint="eastAsia" w:ascii="黑体" w:hAnsi="黑体" w:eastAsia="黑体" w:cs="黑体"/>
          <w:b w:val="0"/>
          <w:bCs w:val="0"/>
          <w:color w:val="000000" w:themeColor="text1"/>
          <w:w w:val="100"/>
          <w:sz w:val="30"/>
          <w:szCs w:val="30"/>
          <w14:textFill>
            <w14:solidFill>
              <w14:schemeClr w14:val="tx1"/>
            </w14:solidFill>
          </w14:textFill>
        </w:rPr>
        <w:t>第九章  优先发展农业农村，全面推进</w:t>
      </w:r>
      <w:bookmarkEnd w:id="134"/>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36" w:name="_Toc20928_WPSOffice_Level2"/>
      <w:bookmarkStart w:id="137" w:name="_Toc32418_WPSOffice_Level2"/>
      <w:r>
        <w:rPr>
          <w:rFonts w:hint="eastAsia" w:ascii="黑体" w:hAnsi="黑体" w:eastAsia="黑体" w:cs="黑体"/>
          <w:b w:val="0"/>
          <w:bCs w:val="0"/>
          <w:color w:val="000000" w:themeColor="text1"/>
          <w:w w:val="100"/>
          <w:sz w:val="30"/>
          <w:szCs w:val="30"/>
          <w14:textFill>
            <w14:solidFill>
              <w14:schemeClr w14:val="tx1"/>
            </w14:solidFill>
          </w14:textFill>
        </w:rPr>
        <w:t>乡村振兴开创新局面</w:t>
      </w:r>
      <w:bookmarkEnd w:id="135"/>
      <w:bookmarkEnd w:id="136"/>
      <w:bookmarkEnd w:id="137"/>
    </w:p>
    <w:p>
      <w:pPr>
        <w:pageBreakBefore w:val="0"/>
        <w:widowControl w:val="0"/>
        <w:kinsoku/>
        <w:wordWrap/>
        <w:overflowPunct/>
        <w:topLinePunct w:val="0"/>
        <w:autoSpaceDE/>
        <w:autoSpaceDN/>
        <w:bidi w:val="0"/>
        <w:spacing w:line="420" w:lineRule="exact"/>
        <w:ind w:firstLine="560" w:firstLineChars="200"/>
        <w:jc w:val="both"/>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深入推进农业供给侧结构性改革，巩固拓展脱贫攻坚成果，有效衔接脱贫攻坚与乡村振兴；坚守耕地和基本农田保护红线，坚决防止耕地非粮化倾向，确保粮食安全，大力实施现代农业“1711”行动</w:t>
      </w:r>
      <w:r>
        <w:rPr>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4"/>
      </w:r>
      <w:r>
        <w:rPr>
          <w:rFonts w:hint="eastAsia" w:ascii="方正书宋简体" w:hAnsi="方正书宋简体" w:eastAsia="方正书宋简体" w:cs="方正书宋简体"/>
          <w:color w:val="000000" w:themeColor="text1"/>
          <w:sz w:val="24"/>
          <w:szCs w:val="24"/>
          <w14:textFill>
            <w14:solidFill>
              <w14:schemeClr w14:val="tx1"/>
            </w14:solidFill>
          </w14:textFill>
        </w:rPr>
        <w:t>，以建成湖南省特色农业强县为目标，提升壮大百合、柑橘（果蔬）、茶叶、油茶、烤烟、中药材、养殖七大特色产业，到2025年，特色农业产业面积突破100万亩，为远期实现年产值突破100亿元打好基础,打造湖南省特色农业强县，建成湖南省乡村振兴示范县。</w:t>
      </w:r>
    </w:p>
    <w:p>
      <w:pPr>
        <w:keepNext/>
        <w:keepLines/>
        <w:pageBreakBefore w:val="0"/>
        <w:widowControl w:val="0"/>
        <w:kinsoku/>
        <w:wordWrap/>
        <w:overflowPunct/>
        <w:topLinePunct w:val="0"/>
        <w:autoSpaceDE/>
        <w:autoSpaceDN/>
        <w:bidi w:val="0"/>
        <w:adjustRightInd w:val="0"/>
        <w:snapToGrid w:val="0"/>
        <w:spacing w:line="420" w:lineRule="exact"/>
        <w:ind w:firstLine="562" w:firstLineChars="200"/>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38" w:name="_Toc60048899"/>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39" w:name="_Toc2641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提高农业质量效益和竞争力</w:t>
      </w:r>
      <w:bookmarkEnd w:id="138"/>
      <w:bookmarkEnd w:id="139"/>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紧扣产业增效、农民增收发展目标，坚持因地制宜、分类指导，全面推进传统农业向现代农业转型升级，加快形成“一镇一特、一村一品”的农业特色发展新格局。到2025年，全县农业特色产业实现总产值100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强力保障粮食生产安全。</w:t>
      </w:r>
      <w:r>
        <w:rPr>
          <w:rFonts w:hint="eastAsia" w:ascii="方正书宋简体" w:hAnsi="方正书宋简体" w:eastAsia="方正书宋简体" w:cs="方正书宋简体"/>
          <w:color w:val="000000" w:themeColor="text1"/>
          <w:sz w:val="24"/>
          <w:szCs w:val="24"/>
          <w14:textFill>
            <w14:solidFill>
              <w14:schemeClr w14:val="tx1"/>
            </w14:solidFill>
          </w14:textFill>
        </w:rPr>
        <w:t>深入实施“藏粮于地、藏粮于技”战略，坚决守住耕地和基本农田保护红线，坚持最严格的耕地保护制度，全面压实耕地保护责任，推进高标准农田建设，坚决遏制各类违法乱占耕地行为，坚决防止耕地非粮化倾向。“十四五”期间，确保常年粮食播种面积稳定在53万亩，实现年产量20万吨。加强粮食生产功能区建设，完善支持政策。积极推广病虫害绿色防控、测土配方施肥等生态安全生产技术，大力推广水稻全程机械化粮食增产模式。加强耕地质量检测，稳步推进耕地修复治理。</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创建国家现代农业产业园</w:t>
      </w:r>
      <w:bookmarkStart w:id="140" w:name="_Toc49089469"/>
      <w:r>
        <w:rPr>
          <w:rFonts w:hint="eastAsia" w:ascii="楷体" w:hAnsi="楷体" w:eastAsia="楷体" w:cs="楷体"/>
          <w:b/>
          <w:bCs/>
          <w:color w:val="000000" w:themeColor="text1"/>
          <w:sz w:val="24"/>
          <w:szCs w:val="24"/>
          <w14:textFill>
            <w14:solidFill>
              <w14:schemeClr w14:val="tx1"/>
            </w14:solidFill>
          </w14:textFill>
        </w:rPr>
        <w:t>。</w:t>
      </w:r>
      <w:bookmarkEnd w:id="140"/>
      <w:r>
        <w:rPr>
          <w:rFonts w:hint="eastAsia" w:ascii="方正书宋简体" w:hAnsi="方正书宋简体" w:eastAsia="方正书宋简体" w:cs="方正书宋简体"/>
          <w:color w:val="000000" w:themeColor="text1"/>
          <w:sz w:val="24"/>
          <w:szCs w:val="24"/>
          <w14:textFill>
            <w14:solidFill>
              <w14:schemeClr w14:val="tx1"/>
            </w14:solidFill>
          </w14:textFill>
        </w:rPr>
        <w:t>围绕保障重要农产品有效供给和促进农民持续增收，综合考虑农业资源禀赋、特色产业发展、一二三产业融合等因素，统筹推进以百合为主导产业的国家现代农业产业园创建工作，建设1.2万亩百合标准化生产示范园，配套建设百合精深加工厂、百合交易物流园、旅游观光体验区、生产路、农产品展销平台等。按照“产业集聚、技术集成、土地集约、生态优化”发展方向，高起点规划，高标准建设的要求，把产业园打造成生产能力强、装备（设施）条件好、科技含量高、综合（社会、经济、生态、带动）效益好，集先进性、示范性、高效性、创新性和现代产业发展、生态观光等为一体的现代农业产业园区，带动农民持续稳定增收，成为现代农业发展先行区、促进产业兴旺引领区和农业转型升级示范区，为乡村振兴注入新动能。强化农业科技和装备支撑，健全农机服务体系，提高农业良种化水平，抓好生产加工技术研发，探索发展智慧农业。到2025年，建成国家现代农业产业园，省级及以上农业科技创新平台达到10家，培育农业产业化龙头企业20家，建成一二三产业融合发展示范区10个，农业科技贡献率达65%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大力发展特色优势产业。</w:t>
      </w:r>
      <w:r>
        <w:rPr>
          <w:rFonts w:hint="eastAsia" w:ascii="方正书宋简体" w:hAnsi="方正书宋简体" w:eastAsia="方正书宋简体" w:cs="方正书宋简体"/>
          <w:color w:val="000000" w:themeColor="text1"/>
          <w:sz w:val="24"/>
          <w:szCs w:val="24"/>
          <w14:textFill>
            <w14:solidFill>
              <w14:schemeClr w14:val="tx1"/>
            </w14:solidFill>
          </w14:textFill>
        </w:rPr>
        <w:t>“十四五”期间，着力打造七大特色产业片区：</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南部柑橘（果蔬）产业片区：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布局在里耶、苗儿滩、内溪、咱果等乡镇。创建3个万亩柑橘标准生产示范园、10个千亩精品园。重点建设以比耳村、树木村为核心的万亩脐橙农旅融合示范园，以五官村、双坪村为核心的万亩柑橘新植样板片；以隆头社区为核心的万亩脐橙高标准栽培示范园。到2025年，柑橘种植面积达20万亩，年产量30万吨，年产值10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中部油茶产业片区：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油茶产业重点布局在中部宜林地，以召市镇、桂塘镇、洛塔乡为中心，打造万亩油茶产业核心区，带动农车镇、靛房镇、茅坪乡、红岩溪镇、茨岩塘镇、水田坝镇等千亩油茶示范点建设，打造湘西州油茶核心产区。到2025年，油茶面积达30万亩上，年产鲜果30万吨，年产值20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东部茶叶产业片区：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布局在农车、靛房、红岩溪、洗车河、苗儿滩、茅坪等6个乡镇，加快形成自南向北优质茶叶产业带，将龙山县打造成具有国内外影响力的绿色生态有机茶产地。到2025年，茶叶种植面积达15万亩，年产干茶3500吨，年产值20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城郊百合产业片区：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重点布局在洗洛、石牌、兴隆、民安、石羔等乡镇街道，建设百合良种繁育基地，推广标准化种植，执行标准化加工，实现产业转型升级，到2025年，百合种植面积稳定在10万亩，年产量10万吨，年产值10亿元；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高寒地区中药材片区：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布局在大安、茨岩塘、水田坝、洛塔、茅坪等乡镇，支持发展黄柏、厚朴、杜仲等木本药材，适度发展白术、玄参、黄精、吴茱萸、迷迭香等适销药材，将中药材产业培育成为湘西州重点产业和龙山县支柱产业之一。到2025年，中药材（不含百合）种植面积达10万亩，产值超过10亿元（不含百合）；</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中北部烤烟产业片区：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重点布局在大安、茨岩塘、召市、水田坝、桂塘、茅坪等乡镇，建成省内具有竞争力，全国具有影响力的烤烟生产基地。到2025年，烤烟种植面积稳定在8万亩，年产烟叶18万担，年产值3亿元；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养殖产业片区：</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禁养区、限养区、适养区”原则，按照资源化利用、区域连片、因地制宜、适度规模、突出特色、分类指导、产销协调的要求，着力建设生猪养殖区（苗儿滩、桂塘、农车、红岩、茅坪等乡镇）、草食牧业发展区（靛房、内溪、水田、红岩、召市、大安、咱果等乡镇）、蛋鸡养殖核心区（石羔、桂塘、靛房等乡镇街道）、中蜂种子资源保护场（洛塔、大安、农车、里耶等乡镇）、稻田养鱼区（苗儿滩、农车、召市、桂塘等乡镇）。到2025年，出栏生猪35万头、黄牛2万头、山羊15万只，家禽120万羽，中蜂5万箱，实现年产值22亿元。</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强化农产品质量安全监管。</w:t>
      </w:r>
      <w:r>
        <w:rPr>
          <w:rFonts w:hint="eastAsia" w:ascii="方正书宋简体" w:hAnsi="方正书宋简体" w:eastAsia="方正书宋简体" w:cs="方正书宋简体"/>
          <w:color w:val="000000" w:themeColor="text1"/>
          <w:sz w:val="24"/>
          <w:szCs w:val="24"/>
          <w14:textFill>
            <w14:solidFill>
              <w14:schemeClr w14:val="tx1"/>
            </w14:solidFill>
          </w14:textFill>
        </w:rPr>
        <w:t>建立健全农产品质量安全风险评估、监测预警和应急处置机制。完善农产品认证体系和农产品质量安全监管追溯系统，着力提高基层监管能力，推进农业全程全面标准化和质量控制，加强动物防疫和农作物病虫害防控。建立农资和农产品生产企业信用信息系统，对失信市场主体开展联合惩戒，扩大追溯对象，落实追溯主体，明确追溯依据，严格法律责任。充分运用大数据、区块链等现代信息技术提升智慧监管能力，推动农产品质量安全数据共享。到2025年，每年检测农产品2000批次以上，合格率达97%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培育农产品品牌。</w:t>
      </w:r>
      <w:r>
        <w:rPr>
          <w:rFonts w:hint="eastAsia" w:ascii="方正书宋简体" w:hAnsi="方正书宋简体" w:eastAsia="方正书宋简体" w:cs="方正书宋简体"/>
          <w:color w:val="000000" w:themeColor="text1"/>
          <w:sz w:val="24"/>
          <w:szCs w:val="24"/>
          <w14:textFill>
            <w14:solidFill>
              <w14:schemeClr w14:val="tx1"/>
            </w14:solidFill>
          </w14:textFill>
        </w:rPr>
        <w:t>构建百合、柑橘、茶叶、油茶等产业生产标准化体系，突出绿色、生态、有机、富硒特色，打造一批农业产业品牌。加强龙山百合、龙山中药材、里耶脐橙、乌龙山白酒等农产品商标及地理标志商标的保护和利用，构建农产品品牌保护体系，打击各种冒用、滥用公用品牌行为，建立区域公用品牌的授权使用机制以及品牌危机预警、风险规避和紧急事件应对机制。到2025年，绿色食品认证20个以上，农产品地理标志10个以上，有机食品认证5个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严格农业综合执法。</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完成农业领域执法改革，严格农业综合执法。整合执法队伍，完善执法体系，规范执法行为，实施农业综合行政执法能力提升行动。严厉打击各种生产经营假冒伪劣农资行为，切实保障农业生产安全。坚决依法查处国家已明令禁止生产、销售、使用的高毒、高残留农药，确保农产品质量安全。加大执法宣传力度，营造农资打假氛围。认真做好群众举报、投诉、来信、来访及农资产品质量纠纷的处理工作，维护社会稳定。</w:t>
      </w:r>
    </w:p>
    <w:p>
      <w:pPr>
        <w:pStyle w:val="2"/>
        <w:rPr>
          <w:color w:val="000000" w:themeColor="text1"/>
          <w14:textFill>
            <w14:solidFill>
              <w14:schemeClr w14:val="tx1"/>
            </w14:solidFill>
          </w14:textFill>
        </w:rPr>
      </w:pPr>
    </w:p>
    <w:tbl>
      <w:tblPr>
        <w:tblStyle w:val="18"/>
        <w:tblW w:w="6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rPr>
        <w:tc>
          <w:tcPr>
            <w:tcW w:w="64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outlineLvl w:val="9"/>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专栏3  农代化建设工程业现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6420" w:type="dxa"/>
            <w:shd w:val="clear" w:color="auto" w:fill="FFFFFF"/>
          </w:tcPr>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1.龙山县10万亩生态茶叶产业园项目：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生态茶叶基地10万亩，土地整理5万亩，配套建设产业路120公里，山塘100口，集雨池2560口，水渠165km，高效节水灌溉5万亩等;新建茶叶加工、仓储、冷链物流设施等；建设红岩溪——农车片区黄金茶精品基地1万亩、洗车河——靛房片区白茶精品基地1万亩，茶旅结合观光体验区及观光道路、电力、亮化、环卫、标识标牌系统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2.龙山县特色农产品精深加工产业园项目：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突出中药材、柑橘等农产品精深加工，培育省级龙头企业5-10家、国家级龙头企业3-5家；配套建设农产品展销平台等，项目占地500亩。</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3.龙山县现代农业社会化综合服务提升项目：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完善农技推广、动植物疫病防控等公益性服务体系；2、支持社会具备资质的经营性服务组织从事农业公益性服务；3、扶持专业机构进行病虫害统防统治、农机作业，农资供应产业营销等社会化服务组织，建立“订单式”“套餐式”社会化服务模式。</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4.龙山县优质粮油产业示范基地项目：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优质稻高产高效示范基地12万亩，脱毒马铃薯绿色高效示范基地8万亩，高含油量、高油酸油菜绿色高效示范基地8万亩，良种推广、测土配方施肥、土壤改良（重金属镉治理）、病虫害绿色防控、农业机械化提升、农业品牌建设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5.龙山县生猪规模化养殖场项目：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建设年出栏生猪30万头以上的规模化养殖场1个，年出栏生猪1万头以上的规模化养殖场10个，配套建设生物防控体系、养殖废弃物资源循环利用、养殖环境控制、自动化饲喂等。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6.龙山县高标准农田项目：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建设高标准农田18万亩，包括条田、梯田修筑，土壤改良，新建、维修排渠、灌渠、山塘、渠系建筑物，新建、整修机耕道、生产路，进行局部坡面防护、沟道治理，输配电、高效节水工程等。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7.龙山县农业特色小镇创建项目：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围绕百合、柑橘产业，建设标准化基地、厂房，仓储保鲜、分拣包装、冷链物流、产后初加工等产业配套设施；农村厕所、垃圾分类、村庄整治等人居生活环境和区域公共服务设施等生活配套设施建设。在洗洛镇、石牌、里耶镇创建三个产城融合、农旅融合农业特色小镇。</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8.龙山县柑橘品质提升改造项目：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柑橘品质提升改造5万亩，其中柑橘新植2万亩、品种改良3万亩，配套建设柑橘园单轨运输设备、微喷灌设备、先进种植技术及病虫害绿色防治技术推广等。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9.龙山县油茶产业基地项目：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新造油茶6667公顷，低产林改造10000公顷。</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10.龙山县珍稀乡土树种产业建设项目：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实施珍稀乡土树种产业建设21000公顷（新造珍稀乡土树种1000公顷，森林质量精准提升20000公顷）。</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11.龙山县林下经济产业建设项目：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5个省级林下经济示范基地，培育杜仲、厚朴等省级木本药材特色产业园区1个、省级林下经济特色产业园1个、国家级林业专业合作社林下经济示范社1个、省级林业专业合作社林下经济示范社2个。实施林下经济产业建设6667公顷，发展中蜂养殖4万箱（林下种植白术、黄精、吴茱萸、重楼、淫羊霍、黄莲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12.龙山县蔬菜现代农业特色产业园项目：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茅坪乡、石羔街道、兴隆街道、桂塘镇、石牌镇、茨岩塘镇温室大棚100栋40000平方米，保温棉被大跨度拱棚52栋98万平方米，春秋拱棚280栋16万平方米，场地平整45万平方米，配套园区道路、管网工程等。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13.龙山县烟叶基础设施项目：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配套建设高标准农田8.59万亩，包括水池21座1390立方米、管网24条31.8公里、沟渠252条199.26公里、机耕道176条283.73公里；新建密集式烤房560栋、改造挂烟梁1019栋、购置烟夹1100套，新建育苗工场28座、购置烟草农机234台套，修复更换烤房设备2158项，维修更换大棚棚膜水槽39座。</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14.龙山县城乡建设用地增减挂钩项目：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依据国土空间总体规划，对县内空心村中空心房及空闲宅基地等2400亩废弃现状建设用地进行拆旧、土地整理复垦，增加耕地有效面积，提高耕地质量，置换耕地和建设用地指标，实现城乡用地布局更合理。</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15.龙山县耕地开发项目：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荒草地、未利用地、其他林地、果园共10000亩。</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16.龙山果菜茶园单轨运输机及微喷灌设备推广项目：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5万亩果茶菜园机械化建设，主要包括单轨运输设备、微喷灌设备推广运用等。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17.龙山县百合精深加工项目：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升级改造现有百合加工企业20家、扶持建设或引进新的现代化百合精深加工龙头企业1-2家。</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18.龙山县黄精精深加工项目：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新建黄精提取物生产线、黄精多糖新</w:t>
            </w:r>
            <w:r>
              <w:rPr>
                <w:rFonts w:hint="eastAsia" w:asciiTheme="minorEastAsia" w:hAnsiTheme="minorEastAsia" w:eastAsiaTheme="minorEastAsia" w:cstheme="minorEastAsia"/>
                <w:b w:val="0"/>
                <w:bCs w:val="0"/>
                <w:color w:val="000000" w:themeColor="text1"/>
                <w:sz w:val="18"/>
                <w:szCs w:val="18"/>
                <w14:textFill>
                  <w14:solidFill>
                    <w14:schemeClr w14:val="tx1"/>
                  </w14:solidFill>
                </w14:textFill>
              </w:rPr>
              <w:t>药生产线、黄精干粉生产线、黄精茶生产线、黄精米酒生产线、黄精化妆品生产线、黄精盆栽生产线，配套种植基地</w:t>
            </w:r>
            <w:r>
              <w:rPr>
                <w:rFonts w:hint="eastAsia" w:asciiTheme="minorEastAsia" w:hAnsiTheme="minorEastAsia" w:eastAsiaTheme="minorEastAsia" w:cstheme="minorEastAsia"/>
                <w:color w:val="000000" w:themeColor="text1"/>
                <w:sz w:val="18"/>
                <w:szCs w:val="18"/>
                <w14:textFill>
                  <w14:solidFill>
                    <w14:schemeClr w14:val="tx1"/>
                  </w14:solidFill>
                </w14:textFill>
              </w:rPr>
              <w:t>、仓储、物流、检测等设施，开发黄精选育、繁育与人工种植技术，黄精提取物，黄精药渣处理技术。</w:t>
            </w:r>
          </w:p>
          <w:p>
            <w:pPr>
              <w:pStyle w:val="2"/>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color w:val="000000" w:themeColor="text1"/>
                <w:sz w:val="18"/>
                <w:szCs w:val="18"/>
                <w14:textFill>
                  <w14:solidFill>
                    <w14:schemeClr w14:val="tx1"/>
                  </w14:solidFill>
                </w14:textFill>
              </w:rPr>
              <w:t>19.龙山县优质烤烟产业项目: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确保每年8万亩优质烤烟种植面积及种苗培育、种植管理和病虫防治。</w:t>
            </w:r>
          </w:p>
        </w:tc>
      </w:tr>
    </w:tbl>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推动农村三次产业融合发展。</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农业产业规模化，标准化，现代化发展，不断延长产业链条，增加农业产业附加值。支持昶光农业推进湘西黄牛精深加工、刘大姐土家特色食品豆制品综合生产加工，形成肉食品、豆制品完整的农副产品深加工产业集群。加快建设一批符合标准化生产的优质稻、柑橘、油茶、百合、中药材等绿色农产品示范基地，与集中区农产品加工企业形成关联配套，鼓励企业与农户建立稳定的合作关系，实现农产品加工与原料基地的有机结合。立足烤烟、百合、辣椒、油茶、中药材资源独具的优势，积极引导农产品加工企业向园区集聚，扶优扶强一批农业产业化龙头企业。加快推进洗洛镇百合精深加工和交易中心、石牌镇百合标准化种植和冷藏基地、魔芋精粉项目以及肉制品加工项目建设，打造品牌影响大、产业特色强的食用粮油、休闲食品、功能饮料、保健食品、生物能源等农副产品深加工产业，并逐步延伸农副产品产业链条，由初级加工向精深加工转变，由传统加工业向采用适当技术转变，培育完整的农副产品深加工产业集群。积极引导、鼓励刘大姐霉豆腐等本土企业。将农产品与旅游商品有机结合，在县城区、重点旅游乡镇、旅游景区及乡村旅游点建立旅游购物街区、销售点等购物场所。大力发展苗市腊肉、里耶脐橙、洗车河霉豆腐、龙山百合等本土特产，打造一批知名的特色旅游商品品牌，推动一二三产业融合发展。</w:t>
      </w:r>
    </w:p>
    <w:tbl>
      <w:tblPr>
        <w:tblStyle w:val="18"/>
        <w:tblpPr w:leftFromText="180" w:rightFromText="180" w:vertAnchor="text" w:horzAnchor="page" w:tblpX="1161" w:tblpY="128"/>
        <w:tblOverlap w:val="never"/>
        <w:tblW w:w="6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6260" w:type="dxa"/>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pPr>
            <w:r>
              <w:rPr>
                <w:rFonts w:hint="eastAsia" w:ascii="楷体" w:hAnsi="楷体" w:eastAsia="楷体" w:cs="楷体"/>
                <w:b/>
                <w:bCs/>
                <w:sz w:val="24"/>
                <w:szCs w:val="24"/>
              </w:rPr>
              <w:t>专栏4  农村一二三产业融合发展建设工程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1" w:hRule="atLeast"/>
          <w:jc w:val="center"/>
        </w:trPr>
        <w:tc>
          <w:tcPr>
            <w:tcW w:w="626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仿宋_GB2312" w:eastAsia="仿宋_GB2312"/>
                <w:b/>
                <w:bCs/>
                <w:color w:val="000000" w:themeColor="text1"/>
                <w:szCs w:val="21"/>
                <w14:textFill>
                  <w14:solidFill>
                    <w14:schemeClr w14:val="tx1"/>
                  </w14:solidFill>
                </w14:textFill>
              </w:rPr>
              <w:t>1.</w:t>
            </w:r>
            <w:r>
              <w:rPr>
                <w:rFonts w:hint="eastAsia" w:asciiTheme="majorEastAsia" w:hAnsiTheme="majorEastAsia" w:eastAsiaTheme="majorEastAsia" w:cstheme="majorEastAsia"/>
                <w:b/>
                <w:bCs/>
                <w:color w:val="000000" w:themeColor="text1"/>
                <w:szCs w:val="21"/>
                <w14:textFill>
                  <w14:solidFill>
                    <w14:schemeClr w14:val="tx1"/>
                  </w14:solidFill>
                </w14:textFill>
              </w:rPr>
              <w:t>龙山县国家现代农业产业园项目：</w:t>
            </w:r>
            <w:r>
              <w:rPr>
                <w:rFonts w:hint="eastAsia" w:asciiTheme="majorEastAsia" w:hAnsiTheme="majorEastAsia" w:eastAsiaTheme="majorEastAsia" w:cstheme="majorEastAsia"/>
                <w:color w:val="000000" w:themeColor="text1"/>
                <w:szCs w:val="21"/>
                <w14:textFill>
                  <w14:solidFill>
                    <w14:schemeClr w14:val="tx1"/>
                  </w14:solidFill>
                </w14:textFill>
              </w:rPr>
              <w:t>建设1.2万亩百合标准园，新建百合精深加工厂5个、百合交易物流园1个、培育省级龙头企业3-5家、国家级龙头企业1-2家；配套建设旅游观光区、生产路、农产品展销平台等。</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color w:val="000000" w:themeColor="text1"/>
                <w:szCs w:val="21"/>
                <w14:textFill>
                  <w14:solidFill>
                    <w14:schemeClr w14:val="tx1"/>
                  </w14:solidFill>
                </w14:textFill>
              </w:rPr>
              <w:t>2.龙山县“高山蔬菜”省级优质农副产品供应示范基地项目：</w:t>
            </w:r>
            <w:r>
              <w:rPr>
                <w:rFonts w:hint="eastAsia" w:asciiTheme="majorEastAsia" w:hAnsiTheme="majorEastAsia" w:eastAsiaTheme="majorEastAsia" w:cstheme="majorEastAsia"/>
                <w:color w:val="000000" w:themeColor="text1"/>
                <w:szCs w:val="21"/>
                <w14:textFill>
                  <w14:solidFill>
                    <w14:schemeClr w14:val="tx1"/>
                  </w14:solidFill>
                </w14:textFill>
              </w:rPr>
              <w:t>建设占地25000亩高山蔬菜省级优质农副产品供应示范基地。培育龙山县八面山“高山蔬菜”品牌；建设农业标准体系和农产品质量安全追溯体系；新品种引进、选育与推广；产地初加工，仓储与冷链物流，产地批发市场及销售网点建设；电商平台及服务体系建设；培育农业产业龙头企业和休闲农庄等。</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color w:val="000000" w:themeColor="text1"/>
                <w:szCs w:val="21"/>
                <w14:textFill>
                  <w14:solidFill>
                    <w14:schemeClr w14:val="tx1"/>
                  </w14:solidFill>
                </w14:textFill>
              </w:rPr>
              <w:t>3.龙山县旅游特色商品免邮超市项目：</w:t>
            </w:r>
            <w:r>
              <w:rPr>
                <w:rFonts w:hint="eastAsia" w:asciiTheme="majorEastAsia" w:hAnsiTheme="majorEastAsia" w:eastAsiaTheme="majorEastAsia" w:cstheme="majorEastAsia"/>
                <w:bCs/>
                <w:color w:val="000000" w:themeColor="text1"/>
                <w:szCs w:val="21"/>
                <w14:textFill>
                  <w14:solidFill>
                    <w14:schemeClr w14:val="tx1"/>
                  </w14:solidFill>
                </w14:textFill>
              </w:rPr>
              <w:t>新建免邮超市7家（县城、里耶古城、八面山、乌龙山、太平山、惹巴拉、茨岩塘各一家)，包括包括产品收购区、包装区、设计区、销售区、展示区等功能室建设。</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4.龙山县库区移民村产业发展项目：</w:t>
            </w:r>
            <w:r>
              <w:rPr>
                <w:rFonts w:hint="eastAsia" w:asciiTheme="majorEastAsia" w:hAnsiTheme="majorEastAsia" w:eastAsiaTheme="majorEastAsia" w:cstheme="majorEastAsia"/>
                <w:color w:val="000000" w:themeColor="text1"/>
                <w:szCs w:val="21"/>
                <w14:textFill>
                  <w14:solidFill>
                    <w14:schemeClr w14:val="tx1"/>
                  </w14:solidFill>
                </w14:textFill>
              </w:rPr>
              <w:t>建设内容包含扶持全县移民库区里耶镇、苗儿滩镇、洗车河镇、洛塔乡、洗洛镇、桂塘镇、召市镇、石牌镇、民安街道9个乡镇（街道）45个重点移民村种植业、养殖业、二三产业等产业开发，总投资4800万元</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5.龙山县乡村振兴建设项目：</w:t>
            </w:r>
            <w:r>
              <w:rPr>
                <w:rFonts w:hint="eastAsia" w:asciiTheme="majorEastAsia" w:hAnsiTheme="majorEastAsia" w:eastAsiaTheme="majorEastAsia" w:cstheme="majorEastAsia"/>
                <w:color w:val="000000" w:themeColor="text1"/>
                <w:szCs w:val="21"/>
                <w14:textFill>
                  <w14:solidFill>
                    <w14:schemeClr w14:val="tx1"/>
                  </w14:solidFill>
                </w14:textFill>
              </w:rPr>
              <w:t>1、农村产业发展：按照“一县一特”、“一乡一品”的目标，种植业每个产业至少有3个以上千亩示范基地，每个乡镇(街道)至少有1个千亩示范基地，每个村至少有1个百亩示范基地。2、改善农村人居环境，提升村容村貌，农村厕所革命，农村生活垃圾治理，农村生活污水治理，尾矿库周边环境治理等；3、农村便民、文化、农业、党建等平台标准化建设和配套设施完善；4、完善农村小微设施建设；5、建成150个美丽乡村、3个乡镇整域达到美丽乡村建设，全县90%的村庄基本达到新农村建设要求。6、实施教育文化振兴工程：培育新型农民，继续实施教育帮扶等；7、实施人才振兴工程：建立高科技人才引进机制，全面实施农业农村人才振兴工程。</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6.龙山县易地扶贫搬迁后续产业基础设施项目：</w:t>
            </w:r>
            <w:r>
              <w:rPr>
                <w:rFonts w:hint="eastAsia" w:asciiTheme="majorEastAsia" w:hAnsiTheme="majorEastAsia" w:eastAsiaTheme="majorEastAsia" w:cstheme="majorEastAsia"/>
                <w:color w:val="000000" w:themeColor="text1"/>
                <w:szCs w:val="21"/>
                <w14:textFill>
                  <w14:solidFill>
                    <w14:schemeClr w14:val="tx1"/>
                  </w14:solidFill>
                </w14:textFill>
              </w:rPr>
              <w:t>1.规划建设产业基地10万亩及17栋标准厂房、1栋仓储及1栋园区服务用房等建筑物。2.景区带动后扶产业项目：大小岩门景点、环山游步道、燕子洞景点、自生桥景点、河堤观光车、旅游接驳车、景区亮化工程、景区票务系统、停车场、综合管网、环境治理等。</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7.龙山县农村产业融合发展示范园项目：</w:t>
            </w:r>
            <w:r>
              <w:rPr>
                <w:rFonts w:hint="eastAsia" w:asciiTheme="majorEastAsia" w:hAnsiTheme="majorEastAsia" w:eastAsiaTheme="majorEastAsia" w:cstheme="majorEastAsia"/>
                <w:color w:val="000000" w:themeColor="text1"/>
                <w:szCs w:val="21"/>
                <w14:textFill>
                  <w14:solidFill>
                    <w14:schemeClr w14:val="tx1"/>
                  </w14:solidFill>
                </w14:textFill>
              </w:rPr>
              <w:t>围绕七大特色产业，创建标准化种植基地10万亩，建设农产品集散物流园区1个、新建储藏加工中心2万平方米、培育省级以上龙头企业3-5家、配套建设农旅结合观光区等。</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8.龙山县苗儿滩镇隆头社区脐橙产业示范园综合体开发项目：</w:t>
            </w:r>
            <w:r>
              <w:rPr>
                <w:rFonts w:hint="eastAsia" w:asciiTheme="majorEastAsia" w:hAnsiTheme="majorEastAsia" w:eastAsiaTheme="majorEastAsia" w:cstheme="majorEastAsia"/>
                <w:color w:val="000000" w:themeColor="text1"/>
                <w:szCs w:val="21"/>
                <w14:textFill>
                  <w14:solidFill>
                    <w14:schemeClr w14:val="tx1"/>
                  </w14:solidFill>
                </w14:textFill>
              </w:rPr>
              <w:t>以隆头脐橙产业开发示范园为载体，结合乡镇旅游观光区建设，扶持龙头企业，建设园区风光带，水上游乐，悬崖客栈，餐饮住宿等园区综合开发。</w:t>
            </w:r>
          </w:p>
          <w:p>
            <w:pPr>
              <w:pStyle w:val="2"/>
              <w:keepNext w:val="0"/>
              <w:keepLines w:val="0"/>
              <w:pageBreakBefore w:val="0"/>
              <w:widowControl w:val="0"/>
              <w:kinsoku/>
              <w:wordWrap/>
              <w:overflowPunct/>
              <w:topLinePunct w:val="0"/>
              <w:autoSpaceDE/>
              <w:autoSpaceDN/>
              <w:bidi w:val="0"/>
              <w:adjustRightInd/>
              <w:snapToGrid w:val="0"/>
              <w:spacing w:line="320" w:lineRule="exact"/>
              <w:textAlignment w:val="auto"/>
              <w:rPr>
                <w:rFonts w:hint="eastAsia"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9.龙山县洗洛镇湾塘库区移民村田园综合体开发项目：</w:t>
            </w:r>
            <w:r>
              <w:rPr>
                <w:rFonts w:hint="eastAsia" w:asciiTheme="majorEastAsia" w:hAnsiTheme="majorEastAsia" w:eastAsiaTheme="majorEastAsia" w:cstheme="majorEastAsia"/>
                <w:color w:val="000000" w:themeColor="text1"/>
                <w:szCs w:val="21"/>
                <w14:textFill>
                  <w14:solidFill>
                    <w14:schemeClr w14:val="tx1"/>
                  </w14:solidFill>
                </w14:textFill>
              </w:rPr>
              <w:t>以洗洛镇大塘口村、湾塘社区等移民村为载体，结合乡镇旅游观光区建设，扶持龙头企业，建设采摘园，游乐园，游泳池，餐饮住宿等田园综合开发，促使一二三产业融合发展。</w:t>
            </w:r>
          </w:p>
        </w:tc>
      </w:tr>
    </w:tbl>
    <w:p>
      <w:pPr>
        <w:pStyle w:val="2"/>
        <w:rPr>
          <w:rFonts w:hint="eastAsia" w:ascii="方正书宋简体" w:hAnsi="方正书宋简体" w:eastAsia="方正书宋简体" w:cs="方正书宋简体"/>
          <w:color w:val="000000" w:themeColor="text1"/>
          <w:sz w:val="32"/>
          <w:szCs w:val="2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41" w:name="_Toc60048900"/>
      <w:bookmarkStart w:id="142" w:name="_Toc1428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实施乡村建设行动</w:t>
      </w:r>
      <w:bookmarkEnd w:id="141"/>
      <w:bookmarkEnd w:id="142"/>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把乡村建设摆在社会主义现代化建设的重要位置，出台农业农村优先发展政策，持续加大投入力度，加快补齐农村基础设施短板，扎实推进农村人居环境整治，推动文娱事业繁荣发展，建设生态宜居的美丽乡村。到2025年末，创建省级美丽乡村10个以上，州级最美乡村50个以上。</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不断推进农村人居环境综合整治。</w:t>
      </w:r>
      <w:r>
        <w:rPr>
          <w:rFonts w:hint="eastAsia" w:ascii="方正书宋简体" w:hAnsi="方正书宋简体" w:eastAsia="方正书宋简体" w:cs="方正书宋简体"/>
          <w:color w:val="000000" w:themeColor="text1"/>
          <w:sz w:val="24"/>
          <w:szCs w:val="24"/>
          <w14:textFill>
            <w14:solidFill>
              <w14:schemeClr w14:val="tx1"/>
            </w14:solidFill>
          </w14:textFill>
        </w:rPr>
        <w:t>持续改善农村人居环境，不断提升村容村貌，全域推进美丽乡村建设提质扩面。持续推动农村厕所革命，卫生厕所普及率达100%，旱厕清零，农村公共厕所进一步完善。创新农村生活垃圾治理机制，生活垃圾无害化处理率达100%，生活垃圾分类覆盖率达到80%，进一步完善长效保洁机制。推动农村生活污水治理，黑臭水体得到有效治理。加强尾矿库周边环境治理。</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统筹村庄规划编制和空心村整治。</w:t>
      </w:r>
      <w:r>
        <w:rPr>
          <w:rFonts w:hint="eastAsia" w:ascii="方正书宋简体" w:hAnsi="方正书宋简体" w:eastAsia="方正书宋简体" w:cs="方正书宋简体"/>
          <w:color w:val="000000" w:themeColor="text1"/>
          <w:sz w:val="24"/>
          <w:szCs w:val="24"/>
          <w14:textFill>
            <w14:solidFill>
              <w14:schemeClr w14:val="tx1"/>
            </w14:solidFill>
          </w14:textFill>
        </w:rPr>
        <w:t>在县、乡镇级国土空间规划中，统筹城镇和乡村发展，合理优化村庄布局，根据不同类型村庄发展需要，有序推进村庄规划编制。集聚提升类等建设需求量大的村庄加快编制，城郊融合类的村庄纳入城镇控制性详细规划统筹编制，搬迁撤并类的村庄原则上不单独编制。避免脱离实际追求村庄规划全覆盖。通过实施城乡建设用地增减项目推动空心村整治工程，空心户拆除、闲置宅基地退出基本到位。</w:t>
      </w:r>
    </w:p>
    <w:p>
      <w:pPr>
        <w:pStyle w:val="2"/>
        <w:rPr>
          <w:rFonts w:hint="eastAsia" w:ascii="方正书宋简体" w:hAnsi="方正书宋简体" w:eastAsia="方正书宋简体" w:cs="方正书宋简体"/>
          <w:sz w:val="24"/>
          <w:szCs w:val="24"/>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43" w:name="_Toc60048901"/>
      <w:bookmarkStart w:id="144" w:name="_Toc3489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深化农村改革</w:t>
      </w:r>
      <w:bookmarkEnd w:id="143"/>
      <w:bookmarkEnd w:id="144"/>
    </w:p>
    <w:p>
      <w:pPr>
        <w:keepNext w:val="0"/>
        <w:keepLines w:val="0"/>
        <w:pageBreakBefore w:val="0"/>
        <w:widowControl w:val="0"/>
        <w:kinsoku/>
        <w:wordWrap/>
        <w:overflowPunct/>
        <w:topLinePunct w:val="0"/>
        <w:autoSpaceDE/>
        <w:autoSpaceDN/>
        <w:bidi w:val="0"/>
        <w:adjustRightInd/>
        <w:snapToGrid/>
        <w:spacing w:line="16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实施乡村振兴战略，加快推进农业农村现代化，要把改革作为重要法宝，把制度建设贯穿其中，以完善产权制度和要素市场化配置为重点，破除体制机制弊端，突破利益固化藩篱，充分激发农业农村发展新活力，为乡村振兴提供制度保障。</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深化农村土地制度改革。</w:t>
      </w:r>
      <w:r>
        <w:rPr>
          <w:rFonts w:hint="eastAsia" w:ascii="方正书宋简体" w:hAnsi="方正书宋简体" w:eastAsia="方正书宋简体" w:cs="方正书宋简体"/>
          <w:color w:val="000000" w:themeColor="text1"/>
          <w:sz w:val="24"/>
          <w:szCs w:val="24"/>
          <w14:textFill>
            <w14:solidFill>
              <w14:schemeClr w14:val="tx1"/>
            </w14:solidFill>
          </w14:textFill>
        </w:rPr>
        <w:t>保持土地承包关系稳定并长久不变，理顺土地所有权、承包权、经营权关系，全面完成农村土地承包经营权确权登记颁证工作，真正让农户的承包权稳下去、经营权活起来。加强农村宅基地改革管理，探索宅基地所有权、资格权、使用权“三权分置”，引导闲置宅基地和闲置农房合理配置利用。稳妥推进农村集体经营性建设用地入市、农村土地征收制度改革，切实保护农民的土地财产权益。</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深化农村集体产权制度改革。</w:t>
      </w:r>
      <w:r>
        <w:rPr>
          <w:rFonts w:hint="eastAsia" w:ascii="方正书宋简体" w:hAnsi="方正书宋简体" w:eastAsia="方正书宋简体" w:cs="方正书宋简体"/>
          <w:color w:val="000000" w:themeColor="text1"/>
          <w:sz w:val="24"/>
          <w:szCs w:val="24"/>
          <w14:textFill>
            <w14:solidFill>
              <w14:schemeClr w14:val="tx1"/>
            </w14:solidFill>
          </w14:textFill>
        </w:rPr>
        <w:t>构建归属清晰、权能完整、流转顺畅、保护严格的中国特色社会主义集体产权制度。深入推进农村集体产权制度改革，全面开展农村集体资产清产核资工作，抓好股份合作制改革，不断扩大改革覆盖面。盘活农村集体资产，提高农村各类资源要素的配置和利用效率，确保集体资产保值增值，确保农民受益，不断发展壮大农村集体经济。</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加快创新农业经营体系。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培育新型农业经营主体，大力培育发展专业大户、家庭农场、农民合作社、社会化服务组织和农业产业化联合体，培育、引进一批农业产业化龙头企业，推进集体经营、合作经营、企业经营等多种形式的适度规模经营。积极扶持小农户，通过发展社会化服务、完善与新型农业经营主体的利益联结机制等途径，帮助小农户加入现代农业产业链，实现小农户与现代农业发展的有机衔接。大力培育新型职业农民，造就高素质的新型农业生产经营队伍，“十四五”期间，累计培育高素质农民5万人以上。鼓励发展股份合作，引导农户自愿以土地经营权等入股龙头企业和农民合作社，建立健全农户与龙头企业、农民合作社利益联结机制。到2025年，州级以上农业产业化龙头企业达到40家，农民专业合作社2000个、家庭农牧场1000户。</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完善农业支持保护制度。</w:t>
      </w:r>
      <w:r>
        <w:rPr>
          <w:rFonts w:hint="eastAsia" w:ascii="方正书宋简体" w:hAnsi="方正书宋简体" w:eastAsia="方正书宋简体" w:cs="方正书宋简体"/>
          <w:color w:val="000000" w:themeColor="text1"/>
          <w:sz w:val="24"/>
          <w:szCs w:val="24"/>
          <w14:textFill>
            <w14:solidFill>
              <w14:schemeClr w14:val="tx1"/>
            </w14:solidFill>
          </w14:textFill>
        </w:rPr>
        <w:t>补齐农业农村短板，坚定不移加大对农业的支持保护力度。提升农业质量效益和竞争力，扩大“绿箱”政策的实施范围和规模，健全“三农”投入保障制度，加快建立新型农业支持保护政策体系。深化农产品收储制度和价格形成机制改革，落实和完善对农民直接补贴制度，健全粮食主产区利益补偿机制，加快建立多层次农业保险体系。</w:t>
      </w:r>
    </w:p>
    <w:p>
      <w:pPr>
        <w:pageBreakBefore w:val="0"/>
        <w:widowControl w:val="0"/>
        <w:kinsoku/>
        <w:wordWrap/>
        <w:overflowPunct/>
        <w:topLinePunct w:val="0"/>
        <w:autoSpaceDE/>
        <w:autoSpaceDN/>
        <w:bidi w:val="0"/>
        <w:spacing w:line="40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健全城乡融合发展体制机制。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完善城乡要素合理流动体制机制，抓住“人、地、钱”关键环节，打破乡村要素净外流的局面，打通要素进城与下乡通道，引导更多的资金、管理、技术、人才等要素向乡村流动。推进城乡公共资源均衡配置和基本公共服务均等化，全面改善农村生产生活条件，推动新型城镇化与乡村振兴“双轮驱动”，促进城镇和乡村协调并进、相得益彰。</w:t>
      </w:r>
    </w:p>
    <w:p>
      <w:pPr>
        <w:pageBreakBefore w:val="0"/>
        <w:widowControl w:val="0"/>
        <w:kinsoku/>
        <w:wordWrap/>
        <w:overflowPunct/>
        <w:topLinePunct w:val="0"/>
        <w:autoSpaceDE/>
        <w:autoSpaceDN/>
        <w:bidi w:val="0"/>
        <w:spacing w:line="40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加强和创新乡村治理机制。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农村基层党组织建设，健全和创新村民自治有效实现形式，完善农村法治服务体系，加强乡村道德建设，传承发展提升农村优秀传统文化，不断提高乡村社会文明程度。要加快建立健全自治、法治、德治相结合的乡村治理体系，发挥自治“消化矛盾”、法治“定分止争”、德治“春风化雨”的作用，走乡村善治之路。</w:t>
      </w:r>
    </w:p>
    <w:p>
      <w:pPr>
        <w:pStyle w:val="2"/>
        <w:pageBreakBefore w:val="0"/>
        <w:widowControl w:val="0"/>
        <w:kinsoku/>
        <w:wordWrap/>
        <w:overflowPunct/>
        <w:topLinePunct w:val="0"/>
        <w:autoSpaceDE/>
        <w:autoSpaceDN/>
        <w:bidi w:val="0"/>
        <w:spacing w:line="400" w:lineRule="exact"/>
        <w:textAlignment w:val="auto"/>
        <w:rPr>
          <w:rFonts w:hint="eastAsia"/>
        </w:rPr>
      </w:pPr>
    </w:p>
    <w:p>
      <w:pPr>
        <w:keepNext/>
        <w:keepLines/>
        <w:pageBreakBefore w:val="0"/>
        <w:widowControl w:val="0"/>
        <w:kinsoku/>
        <w:wordWrap/>
        <w:overflowPunct/>
        <w:topLinePunct w:val="0"/>
        <w:autoSpaceDE/>
        <w:autoSpaceDN/>
        <w:bidi w:val="0"/>
        <w:adjustRightInd w:val="0"/>
        <w:snapToGrid w:val="0"/>
        <w:spacing w:line="40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45" w:name="_Toc60048902"/>
      <w:bookmarkStart w:id="146" w:name="_Toc9823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推进脱贫攻坚与乡村振兴有效衔接</w:t>
      </w:r>
      <w:bookmarkEnd w:id="145"/>
      <w:bookmarkEnd w:id="146"/>
    </w:p>
    <w:p>
      <w:pPr>
        <w:keepNext w:val="0"/>
        <w:keepLines w:val="0"/>
        <w:pageBreakBefore w:val="0"/>
        <w:widowControl w:val="0"/>
        <w:kinsoku/>
        <w:wordWrap/>
        <w:overflowPunct/>
        <w:topLinePunct w:val="0"/>
        <w:autoSpaceDE/>
        <w:autoSpaceDN/>
        <w:bidi w:val="0"/>
        <w:adjustRightInd/>
        <w:snapToGrid/>
        <w:spacing w:line="400" w:lineRule="exact"/>
        <w:ind w:firstLine="360" w:firstLineChars="200"/>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p>
    <w:p>
      <w:pPr>
        <w:pageBreakBefore w:val="0"/>
        <w:widowControl w:val="0"/>
        <w:kinsoku/>
        <w:wordWrap/>
        <w:overflowPunct/>
        <w:topLinePunct w:val="0"/>
        <w:autoSpaceDE/>
        <w:autoSpaceDN/>
        <w:bidi w:val="0"/>
        <w:spacing w:line="40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科学设置接续和衔接的过渡期，把有效衔接与平稳转型有机结合起来，推动形成制度化、常态化的长效机制，在全面建成小康社会的基础上，积极谋划实施好乡村振兴“十项工程”，推动24个乡村振兴与巩固脱贫成果有机衔接的乡村振兴示范村建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147" w:name="_Toc58274626"/>
      <w:r>
        <w:rPr>
          <w:rFonts w:hint="eastAsia" w:ascii="楷体" w:hAnsi="楷体" w:eastAsia="楷体" w:cs="楷体"/>
          <w:b/>
          <w:bCs/>
          <w:color w:val="000000" w:themeColor="text1"/>
          <w:sz w:val="24"/>
          <w:szCs w:val="24"/>
          <w14:textFill>
            <w14:solidFill>
              <w14:schemeClr w14:val="tx1"/>
            </w14:solidFill>
          </w14:textFill>
        </w:rPr>
        <w:t>做好产业发展衔接</w:t>
      </w:r>
      <w:bookmarkEnd w:id="147"/>
      <w:r>
        <w:rPr>
          <w:rFonts w:hint="eastAsia" w:ascii="楷体" w:hAnsi="楷体" w:eastAsia="楷体" w:cs="楷体"/>
          <w:b/>
          <w:bCs/>
          <w:color w:val="000000" w:themeColor="text1"/>
          <w:sz w:val="24"/>
          <w:szCs w:val="24"/>
          <w14:textFill>
            <w14:solidFill>
              <w14:schemeClr w14:val="tx1"/>
            </w14:solidFill>
          </w14:textFill>
        </w:rPr>
        <w:t>。</w:t>
      </w:r>
      <w:bookmarkStart w:id="148" w:name="_Toc58274627"/>
      <w:r>
        <w:rPr>
          <w:rFonts w:hint="eastAsia" w:ascii="方正书宋简体" w:hAnsi="方正书宋简体" w:eastAsia="方正书宋简体" w:cs="方正书宋简体"/>
          <w:color w:val="000000" w:themeColor="text1"/>
          <w:sz w:val="24"/>
          <w:szCs w:val="24"/>
          <w14:textFill>
            <w14:solidFill>
              <w14:schemeClr w14:val="tx1"/>
            </w14:solidFill>
          </w14:textFill>
        </w:rPr>
        <w:t>做好目标衔接。在巩固方面，“两不愁三保障”成果质量得以提升，稳定长效脱贫得以实现。在拓展方面，在脱贫成果巩固的基础上，对象以脱贫人口、边缘人口和没有劳动能力的特殊低收入人口为主，根据返贫致贫监测体系进行动态调整，并逐步向低收入人口拓展，区域以227个已出列村为主，兼顾其他170个非贫困村，推动对象和区域逐步向乡村振兴目标过渡，实现低收入人口和发展相对滞后的乡村可持续性发展。</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做好机制政策衔接</w:t>
      </w:r>
      <w:bookmarkEnd w:id="148"/>
      <w:r>
        <w:rPr>
          <w:rFonts w:hint="eastAsia" w:ascii="楷体" w:hAnsi="楷体" w:eastAsia="楷体" w:cs="楷体"/>
          <w:b/>
          <w:bCs/>
          <w:color w:val="000000" w:themeColor="text1"/>
          <w:sz w:val="24"/>
          <w:szCs w:val="24"/>
          <w14:textFill>
            <w14:solidFill>
              <w14:schemeClr w14:val="tx1"/>
            </w14:solidFill>
          </w14:textFill>
        </w:rPr>
        <w:t>。</w:t>
      </w:r>
      <w:bookmarkStart w:id="149" w:name="_Toc58274628"/>
      <w:r>
        <w:rPr>
          <w:rFonts w:hint="eastAsia" w:ascii="方正书宋简体" w:hAnsi="方正书宋简体" w:eastAsia="方正书宋简体" w:cs="方正书宋简体"/>
          <w:color w:val="000000" w:themeColor="text1"/>
          <w:sz w:val="24"/>
          <w:szCs w:val="24"/>
          <w14:textFill>
            <w14:solidFill>
              <w14:schemeClr w14:val="tx1"/>
            </w14:solidFill>
          </w14:textFill>
        </w:rPr>
        <w:t>做好政策衔接。牢固树立和贯彻落实创新、协调、绿色、开放、共享的发展理念，不断创新体制机制，充分发挥政府、市场和社会协同作用，落实“四个不摘”要求，保持帮扶政策和财政投入力度总体稳定，瞄准重点对象和区域,将巩固拓展脱贫攻坚成果同乡村振兴有效衔接，着力健全防止返贫监测和帮扶机制，着力做好易地扶贫搬迁后续帮扶，着力加强扶贫项目资金资产管理监督，着力推动特色产业可持续发展，着力推进劳务协作稳定低收入群体就业，着力完善兜底保障，大力提升内生发展能力。</w:t>
      </w:r>
      <w:r>
        <w:rPr>
          <w:rFonts w:hint="eastAsia" w:ascii="方正书宋简体" w:hAnsi="方正书宋简体" w:eastAsia="方正书宋简体" w:cs="方正书宋简体"/>
          <w:color w:val="000000" w:themeColor="text1"/>
          <w:sz w:val="24"/>
          <w:szCs w:val="24"/>
          <w:lang w:val="en-US" w:eastAsia="zh-CN"/>
          <w14:textFill>
            <w14:solidFill>
              <w14:schemeClr w14:val="tx1"/>
            </w14:solidFill>
          </w14:textFill>
        </w:rPr>
        <w:t>准确把握易地扶贫搬迁工作全面转向后续扶持、转向与乡村振兴衔接的新变化，突出基础设施和公共服务设施改善提升、产业就业帮扶、社区融入等</w:t>
      </w:r>
      <w:r>
        <w:rPr>
          <w:rFonts w:hint="eastAsia" w:ascii="方正书宋简体" w:hAnsi="方正书宋简体" w:eastAsia="方正书宋简体" w:cs="方正书宋简体"/>
          <w:color w:val="000000" w:themeColor="text1"/>
          <w:sz w:val="24"/>
          <w:szCs w:val="24"/>
          <w14:textFill>
            <w14:solidFill>
              <w14:schemeClr w14:val="tx1"/>
            </w14:solidFill>
          </w14:textFill>
        </w:rPr>
        <w:t>机制政策衔接</w:t>
      </w:r>
      <w:r>
        <w:rPr>
          <w:rFonts w:hint="eastAsia" w:ascii="方正书宋简体" w:hAnsi="方正书宋简体" w:eastAsia="方正书宋简体" w:cs="方正书宋简体"/>
          <w:color w:val="000000" w:themeColor="text1"/>
          <w:sz w:val="24"/>
          <w:szCs w:val="24"/>
          <w:lang w:val="en-US" w:eastAsia="zh-CN"/>
          <w14:textFill>
            <w14:solidFill>
              <w14:schemeClr w14:val="tx1"/>
            </w14:solidFill>
          </w14:textFill>
        </w:rPr>
        <w:t>，为巩固实现“稳得住、有就业、逐步能致富”目标作出新的贡献。</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做好治理服务衔接</w:t>
      </w:r>
      <w:bookmarkEnd w:id="149"/>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做好工作衔接。延续五级书记抓扶贫工作机制，健全完善党委统一领导、政府负责、党委农村工作部门统筹协调的有机衔接工作领导体制，继续构建专项帮扶、行业帮扶、社会帮扶等多方力量有机结合、互为支撑的大帮扶格局。强化村“两委”阵地作用，加强以村党组织为核心的村级组织配套建设，继续落实好向村（社区）选派第一书记、扶贫工作队等举措，把党的基层组织优势变成巩固脱贫成果与乡村振兴衔接优势。坚持以目标对象和区域为重点、政策落实到村到户的工作机制，做到责任明确、任务明确、完成时限明确、工作措施明确，将有机衔接工作真正落到实处。坚持把全面从严治党要求贯穿全过程，完善暗访督查考核机制，加强问责问效管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pPr>
      <w:r>
        <w:rPr>
          <w:rFonts w:hint="eastAsia" w:ascii="楷体" w:hAnsi="楷体" w:eastAsia="楷体" w:cs="楷体"/>
          <w:b/>
          <w:bCs/>
          <w:color w:val="000000" w:themeColor="text1"/>
          <w:sz w:val="24"/>
          <w:szCs w:val="24"/>
          <w14:textFill>
            <w14:solidFill>
              <w14:schemeClr w14:val="tx1"/>
            </w14:solidFill>
          </w14:textFill>
        </w:rPr>
        <w:t>梯次推进乡村振兴</w:t>
      </w:r>
      <w:bookmarkStart w:id="150" w:name="_Toc49089550"/>
      <w:bookmarkStart w:id="151" w:name="_Toc58274618"/>
      <w:r>
        <w:rPr>
          <w:rFonts w:hint="eastAsia" w:ascii="楷体" w:hAnsi="楷体" w:eastAsia="楷体" w:cs="楷体"/>
          <w:b/>
          <w:bCs/>
          <w:color w:val="000000" w:themeColor="text1"/>
          <w:sz w:val="24"/>
          <w:szCs w:val="24"/>
          <w14:textFill>
            <w14:solidFill>
              <w14:schemeClr w14:val="tx1"/>
            </w14:solidFill>
          </w14:textFill>
        </w:rPr>
        <w:t>。</w:t>
      </w:r>
      <w:bookmarkEnd w:id="150"/>
      <w:bookmarkEnd w:id="151"/>
      <w:r>
        <w:rPr>
          <w:rFonts w:hint="eastAsia" w:ascii="方正书宋简体" w:hAnsi="方正书宋简体" w:eastAsia="方正书宋简体" w:cs="方正书宋简体"/>
          <w:color w:val="000000" w:themeColor="text1"/>
          <w:sz w:val="24"/>
          <w:szCs w:val="24"/>
          <w14:textFill>
            <w14:solidFill>
              <w14:schemeClr w14:val="tx1"/>
            </w14:solidFill>
          </w14:textFill>
        </w:rPr>
        <w:t>根据龙山县不同乡镇、村庄的发展现状、区位条件、资源禀赋等，顺应乡村发展规律和演变趋势，立足发展基础，聚焦阶段任务，把握节奏，准确定位，梯次推进乡村发展。引领区示范带动：民安街道、华塘街道、里耶镇等资源禀赋丰裕、生态环境友好、产业支撑较强、城镇化率较高、区位优势明显、集体经济基础好等农业农村现代化基础较好的乡镇，坚持高点定位，进一步增强产业优势、环境优势、竞争优势，加快推进城乡融合发展。打造成优势产业齐聚、三产深度融合、基础设施完善、生态环境良好的，宜居、宜旅、宜康、宜业的乡村振兴样板区，成为全州乃至全省推进乡村振兴战略的标杆。全面提升乡村基础设施、公共服务、乡风文明和乡村治理水平，农民生活幸福安康。到2025年，引领区在全县率先实现农业农村现代化。重点区加速推进：石羔街道、兴隆街道、石牌镇、洗洛镇、召市镇、桂塘镇、苗儿滩镇等农产品主产区以及资源禀赋丰富的乡村，是乡村振兴的主战场。以现有美丽乡村为基础，突出特色产业、特色生态、特色文化、塑造田园风光、田园建筑、建设美丽乡村、宜居乡村、活力乡村。在一村一品的基础上创新发展、升级提高。村庄农业资源禀赋、生产基础良好，需发展特色优势产业，提高现代农业发展水平。加强基础设施建设，推动农村产业融合发展。注重绿色生产，不断提高农村公共服务配套水平，稳步推进农业农村现代化。到2035年，基本实现农业农村现代化。攻坚区精准发力：水田坝镇、红岩溪镇、农车镇、靛房镇、洗车河镇、茨岩塘镇、大安乡、咱果乡、内溪乡、洛塔乡、茅坪乡等相对发展条件较差、发展资源贫乏、山地丘陵地区的乡镇，聚集各方力量，巩固脱贫攻坚成果，增强自我发展能力，为实现乡村振兴打好基础。根据地区实际情况，科学把握节奏力度，分步实施，精准发力，统筹推进乡村振兴。加强基础设施和公共服务设施建设，巩固农村集体经济，发展特色优势产业，促进农民增收，扎实推进农业农村现代化。到2050年，如期实现农业农村现代化。</w:t>
      </w:r>
    </w:p>
    <w:p>
      <w:pPr>
        <w:pStyle w:val="2"/>
        <w:rPr>
          <w:color w:val="000000" w:themeColor="text1"/>
          <w14:textFill>
            <w14:solidFill>
              <w14:schemeClr w14:val="tx1"/>
            </w14:solidFill>
          </w14:textFill>
        </w:rPr>
      </w:pPr>
    </w:p>
    <w:tbl>
      <w:tblPr>
        <w:tblStyle w:val="18"/>
        <w:tblW w:w="6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6374" w:type="dxa"/>
            <w:tcBorders>
              <w:bottom w:val="single" w:color="auto" w:sz="4" w:space="0"/>
            </w:tcBorders>
            <w:vAlign w:val="center"/>
          </w:tcPr>
          <w:p>
            <w:pPr>
              <w:snapToGrid w:val="0"/>
              <w:jc w:val="center"/>
              <w:rPr>
                <w:rFonts w:ascii="仿宋_GB2312" w:eastAsia="仿宋_GB2312"/>
                <w:b/>
                <w:color w:val="000000" w:themeColor="text1"/>
                <w:szCs w:val="21"/>
                <w14:textFill>
                  <w14:solidFill>
                    <w14:schemeClr w14:val="tx1"/>
                  </w14:solidFill>
                </w14:textFill>
              </w:rPr>
            </w:pPr>
            <w:bookmarkStart w:id="152" w:name="_Hlk45816860"/>
            <w:r>
              <w:rPr>
                <w:rFonts w:hint="eastAsia" w:ascii="楷体" w:hAnsi="楷体" w:eastAsia="楷体" w:cs="楷体"/>
                <w:b/>
                <w:bCs w:val="0"/>
                <w:color w:val="000000" w:themeColor="text1"/>
                <w:sz w:val="24"/>
                <w:szCs w:val="24"/>
                <w14:textFill>
                  <w14:solidFill>
                    <w14:schemeClr w14:val="tx1"/>
                  </w14:solidFill>
                </w14:textFill>
              </w:rPr>
              <w:t>专栏5  农村基础设施建设工程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5" w:hRule="atLeast"/>
          <w:jc w:val="center"/>
        </w:trPr>
        <w:tc>
          <w:tcPr>
            <w:tcW w:w="6374" w:type="dxa"/>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1.</w:t>
            </w:r>
            <w:r>
              <w:rPr>
                <w:rFonts w:hint="eastAsia" w:asciiTheme="majorEastAsia" w:hAnsiTheme="majorEastAsia" w:eastAsiaTheme="majorEastAsia" w:cstheme="majorEastAsia"/>
                <w:b/>
                <w:bCs/>
                <w:color w:val="000000" w:themeColor="text1"/>
                <w:sz w:val="18"/>
                <w:szCs w:val="18"/>
                <w14:textFill>
                  <w14:solidFill>
                    <w14:schemeClr w14:val="tx1"/>
                  </w14:solidFill>
                </w14:textFill>
              </w:rPr>
              <w:t>龙山县农村人居环境整治项目</w:t>
            </w:r>
            <w:r>
              <w:rPr>
                <w:rFonts w:hint="eastAsia" w:asciiTheme="majorEastAsia" w:hAnsiTheme="majorEastAsia" w:eastAsiaTheme="majorEastAsia" w:cstheme="majorEastAsia"/>
                <w:b/>
                <w:color w:val="000000" w:themeColor="text1"/>
                <w:sz w:val="18"/>
                <w:szCs w:val="18"/>
                <w14:textFill>
                  <w14:solidFill>
                    <w14:schemeClr w14:val="tx1"/>
                  </w14:solidFill>
                </w14:textFill>
              </w:rPr>
              <w:t>：</w:t>
            </w:r>
            <w:r>
              <w:rPr>
                <w:rFonts w:hint="eastAsia" w:asciiTheme="majorEastAsia" w:hAnsiTheme="majorEastAsia" w:eastAsiaTheme="majorEastAsia" w:cstheme="majorEastAsia"/>
                <w:bCs/>
                <w:color w:val="000000" w:themeColor="text1"/>
                <w:sz w:val="18"/>
                <w:szCs w:val="18"/>
                <w14:textFill>
                  <w14:solidFill>
                    <w14:schemeClr w14:val="tx1"/>
                  </w14:solidFill>
                </w14:textFill>
              </w:rPr>
              <w:t>农村生活垃圾、生活污水综合治理，厕所革命和村容村貌提升等。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2.龙山县重要县乡道项目：</w:t>
            </w:r>
            <w:r>
              <w:rPr>
                <w:rFonts w:hint="eastAsia" w:asciiTheme="majorEastAsia" w:hAnsiTheme="majorEastAsia" w:eastAsiaTheme="majorEastAsia" w:cstheme="majorEastAsia"/>
                <w:color w:val="000000" w:themeColor="text1"/>
                <w:sz w:val="18"/>
                <w:szCs w:val="18"/>
                <w14:textFill>
                  <w14:solidFill>
                    <w14:schemeClr w14:val="tx1"/>
                  </w14:solidFill>
                </w14:textFill>
              </w:rPr>
              <w:t>改造兴场至乌鸦、里耶至八面、他砂至坡脚、偏岩至猛西、内溪至长潭、召市至辽叶、贾坝至咱果、三元至龙山火车站、贾市至麦子、江家坪至比溪等十条线路，共计220公里。</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3.龙山县建制村道路改造项目：</w:t>
            </w:r>
            <w:r>
              <w:rPr>
                <w:rFonts w:hint="eastAsia" w:asciiTheme="majorEastAsia" w:hAnsiTheme="majorEastAsia" w:eastAsiaTheme="majorEastAsia" w:cstheme="majorEastAsia"/>
                <w:bCs/>
                <w:color w:val="000000" w:themeColor="text1"/>
                <w:sz w:val="18"/>
                <w:szCs w:val="18"/>
                <w14:textFill>
                  <w14:solidFill>
                    <w14:schemeClr w14:val="tx1"/>
                  </w14:solidFill>
                </w14:textFill>
              </w:rPr>
              <w:t>原建制村道路整修及提质改造1500公里。</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4.龙山县建制村网络路项目：</w:t>
            </w:r>
            <w:r>
              <w:rPr>
                <w:rFonts w:hint="eastAsia" w:asciiTheme="majorEastAsia" w:hAnsiTheme="majorEastAsia" w:eastAsiaTheme="majorEastAsia" w:cstheme="majorEastAsia"/>
                <w:color w:val="000000" w:themeColor="text1"/>
                <w:sz w:val="18"/>
                <w:szCs w:val="18"/>
                <w14:textFill>
                  <w14:solidFill>
                    <w14:schemeClr w14:val="tx1"/>
                  </w14:solidFill>
                </w14:textFill>
              </w:rPr>
              <w:t>旅游路、产业路建设2000公里。</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5.龙山县乡镇客运站项目：</w:t>
            </w:r>
            <w:r>
              <w:rPr>
                <w:rFonts w:hint="eastAsia" w:asciiTheme="majorEastAsia" w:hAnsiTheme="majorEastAsia" w:eastAsiaTheme="majorEastAsia" w:cstheme="majorEastAsia"/>
                <w:color w:val="000000" w:themeColor="text1"/>
                <w:sz w:val="18"/>
                <w:szCs w:val="18"/>
                <w14:textFill>
                  <w14:solidFill>
                    <w14:schemeClr w14:val="tx1"/>
                  </w14:solidFill>
                </w14:textFill>
              </w:rPr>
              <w:t>红岩溪镇、召市镇及桂塘镇乡镇客运站及招呼站。</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6.龙山县农村饮水安全项目：</w:t>
            </w:r>
            <w:r>
              <w:rPr>
                <w:rFonts w:hint="eastAsia" w:asciiTheme="majorEastAsia" w:hAnsiTheme="majorEastAsia" w:eastAsiaTheme="majorEastAsia" w:cstheme="majorEastAsia"/>
                <w:color w:val="000000" w:themeColor="text1"/>
                <w:sz w:val="18"/>
                <w:szCs w:val="18"/>
                <w14:textFill>
                  <w14:solidFill>
                    <w14:schemeClr w14:val="tx1"/>
                  </w14:solidFill>
                </w14:textFill>
              </w:rPr>
              <w:t>完善提升农村供水工程，全面普及水质净化消毒设施。总投资15000万元。</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b/>
                <w:color w:val="000000" w:themeColor="text1"/>
                <w:sz w:val="18"/>
                <w:szCs w:val="18"/>
                <w14:textFill>
                  <w14:solidFill>
                    <w14:schemeClr w14:val="tx1"/>
                  </w14:solidFill>
                </w14:textFill>
              </w:rPr>
              <w:t>7.龙山县17段农村河道治理工程项目：</w:t>
            </w:r>
            <w:r>
              <w:rPr>
                <w:rFonts w:hint="eastAsia" w:asciiTheme="majorEastAsia" w:hAnsiTheme="majorEastAsia" w:eastAsiaTheme="majorEastAsia" w:cstheme="majorEastAsia"/>
                <w:color w:val="000000" w:themeColor="text1"/>
                <w:sz w:val="18"/>
                <w:szCs w:val="18"/>
                <w14:textFill>
                  <w14:solidFill>
                    <w14:schemeClr w14:val="tx1"/>
                  </w14:solidFill>
                </w14:textFill>
              </w:rPr>
              <w:t>龙山县流域面积在200-50km²的17段农村河道综合整治，治理河长350公里总投资6亿元。</w:t>
            </w:r>
          </w:p>
        </w:tc>
      </w:tr>
      <w:bookmarkEnd w:id="152"/>
    </w:tbl>
    <w:p>
      <w:pPr>
        <w:widowControl/>
        <w:jc w:val="left"/>
        <w:rPr>
          <w:rFonts w:ascii="黑体" w:hAnsi="黑体" w:eastAsia="黑体" w:cs="Times New Roman"/>
          <w:b/>
          <w:bCs/>
          <w:color w:val="000000" w:themeColor="text1"/>
          <w:kern w:val="44"/>
          <w:sz w:val="32"/>
          <w:szCs w:val="32"/>
          <w14:textFill>
            <w14:solidFill>
              <w14:schemeClr w14:val="tx1"/>
            </w14:solidFill>
          </w14:textFill>
        </w:rPr>
      </w:pPr>
      <w:r>
        <w:rPr>
          <w:rFonts w:hint="eastAsia" w:asciiTheme="majorEastAsia" w:hAnsiTheme="majorEastAsia" w:eastAsiaTheme="majorEastAsia" w:cstheme="majorEastAsia"/>
          <w:b/>
          <w:bCs/>
          <w:color w:val="000000" w:themeColor="text1"/>
          <w:kern w:val="44"/>
          <w:sz w:val="32"/>
          <w:szCs w:val="32"/>
          <w14:textFill>
            <w14:solidFill>
              <w14:schemeClr w14:val="tx1"/>
            </w14:solidFill>
          </w14:textFill>
        </w:rPr>
        <w:br w:type="page"/>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53" w:name="_Toc12483_WPSOffice_Level2"/>
      <w:bookmarkStart w:id="154" w:name="_Toc60048903"/>
      <w:r>
        <w:rPr>
          <w:rFonts w:hint="eastAsia" w:ascii="黑体" w:hAnsi="黑体" w:eastAsia="黑体" w:cs="黑体"/>
          <w:b w:val="0"/>
          <w:bCs w:val="0"/>
          <w:color w:val="000000" w:themeColor="text1"/>
          <w:w w:val="100"/>
          <w:sz w:val="30"/>
          <w:szCs w:val="30"/>
          <w14:textFill>
            <w14:solidFill>
              <w14:schemeClr w14:val="tx1"/>
            </w14:solidFill>
          </w14:textFill>
        </w:rPr>
        <w:t>第十章  推动工业转型升级，助推经济发展</w:t>
      </w:r>
      <w:bookmarkEnd w:id="153"/>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55" w:name="_Toc17059_WPSOffice_Level2"/>
      <w:bookmarkStart w:id="156" w:name="_Toc23905_WPSOffice_Level2"/>
      <w:r>
        <w:rPr>
          <w:rFonts w:hint="eastAsia" w:ascii="黑体" w:hAnsi="黑体" w:eastAsia="黑体" w:cs="黑体"/>
          <w:b w:val="0"/>
          <w:bCs w:val="0"/>
          <w:color w:val="000000" w:themeColor="text1"/>
          <w:w w:val="100"/>
          <w:sz w:val="30"/>
          <w:szCs w:val="30"/>
          <w14:textFill>
            <w14:solidFill>
              <w14:schemeClr w14:val="tx1"/>
            </w14:solidFill>
          </w14:textFill>
        </w:rPr>
        <w:t>取得新成效</w:t>
      </w:r>
      <w:bookmarkEnd w:id="154"/>
      <w:bookmarkEnd w:id="155"/>
      <w:bookmarkEnd w:id="156"/>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方正书宋简体" w:hAnsi="方正书宋简体" w:eastAsia="方正书宋简体" w:cs="方正书宋简体"/>
          <w:bCs/>
          <w:color w:val="000000" w:themeColor="text1"/>
          <w:sz w:val="24"/>
          <w:szCs w:val="24"/>
          <w14:textFill>
            <w14:solidFill>
              <w14:schemeClr w14:val="tx1"/>
            </w14:solidFill>
          </w14:textFill>
        </w:rPr>
        <w:t>抢抓承接产业转移示范区建设战略机遇，大力实施新型工业“1711”行动</w:t>
      </w:r>
      <w:r>
        <w:rPr>
          <w:rStyle w:val="16"/>
          <w:rFonts w:hint="eastAsia" w:ascii="方正书宋简体" w:hAnsi="方正书宋简体" w:eastAsia="方正书宋简体" w:cs="方正书宋简体"/>
          <w:bCs/>
          <w:color w:val="000000" w:themeColor="text1"/>
          <w:sz w:val="24"/>
          <w:szCs w:val="24"/>
          <w14:textFill>
            <w14:solidFill>
              <w14:schemeClr w14:val="tx1"/>
            </w14:solidFill>
          </w14:textFill>
        </w:rPr>
        <w:endnoteReference w:id="5"/>
      </w:r>
      <w:r>
        <w:rPr>
          <w:rFonts w:hint="eastAsia" w:ascii="方正书宋简体" w:hAnsi="方正书宋简体" w:eastAsia="方正书宋简体" w:cs="方正书宋简体"/>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以建成湘西州工业强县为目标，</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打造</w:t>
      </w:r>
      <w:r>
        <w:rPr>
          <w:rFonts w:hint="eastAsia" w:ascii="方正书宋简体" w:hAnsi="方正书宋简体" w:eastAsia="方正书宋简体" w:cs="方正书宋简体"/>
          <w:color w:val="000000" w:themeColor="text1"/>
          <w:sz w:val="24"/>
          <w:szCs w:val="24"/>
          <w14:textFill>
            <w14:solidFill>
              <w14:schemeClr w14:val="tx1"/>
            </w14:solidFill>
          </w14:textFill>
        </w:rPr>
        <w:t>特色制造、生物医药、电子信息、绿色能源、新型建材、生态绿色食品、民族轻纺七条产业链。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到2025年，</w:t>
      </w:r>
      <w:r>
        <w:rPr>
          <w:rFonts w:hint="eastAsia" w:ascii="方正书宋简体" w:hAnsi="方正书宋简体" w:eastAsia="方正书宋简体" w:cs="方正书宋简体"/>
          <w:color w:val="000000" w:themeColor="text1"/>
          <w:sz w:val="24"/>
          <w:szCs w:val="24"/>
          <w14:textFill>
            <w14:solidFill>
              <w14:schemeClr w14:val="tx1"/>
            </w14:solidFill>
          </w14:textFill>
        </w:rPr>
        <w:t>培育规模以上工业企业和高新技术企业突破100家，力争</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工业总产值突破100亿元，工业总产值远景目标突破1000亿元</w:t>
      </w:r>
      <w:bookmarkStart w:id="157" w:name="_Toc60048904"/>
      <w:r>
        <w:rPr>
          <w:rFonts w:hint="eastAsia" w:ascii="方正书宋简体" w:hAnsi="方正书宋简体" w:eastAsia="方正书宋简体" w:cs="方正书宋简体"/>
          <w:bCs/>
          <w:color w:val="000000" w:themeColor="text1"/>
          <w:sz w:val="24"/>
          <w:szCs w:val="24"/>
          <w14:textFill>
            <w14:solidFill>
              <w14:schemeClr w14:val="tx1"/>
            </w14:solidFill>
          </w14:textFill>
        </w:rPr>
        <w:t>，建成</w:t>
      </w:r>
      <w:r>
        <w:rPr>
          <w:rFonts w:hint="eastAsia" w:ascii="方正书宋简体" w:hAnsi="方正书宋简体" w:eastAsia="方正书宋简体" w:cs="方正书宋简体"/>
          <w:color w:val="000000" w:themeColor="text1"/>
          <w:sz w:val="24"/>
          <w:szCs w:val="24"/>
          <w14:textFill>
            <w14:solidFill>
              <w14:schemeClr w14:val="tx1"/>
            </w14:solidFill>
          </w14:textFill>
        </w:rPr>
        <w:t>湘西州工业强县。</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58" w:name="_Toc3123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推动工业高质量发展</w:t>
      </w:r>
      <w:bookmarkEnd w:id="157"/>
      <w:bookmarkEnd w:id="158"/>
    </w:p>
    <w:p>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outlineLvl w:val="9"/>
        <w:rPr>
          <w:rFonts w:hint="eastAsia" w:ascii="方正书宋简体" w:hAnsi="方正书宋简体" w:eastAsia="方正书宋简体" w:cs="方正书宋简体"/>
          <w:bCs/>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方正书宋简体" w:hAnsi="方正书宋简体" w:eastAsia="方正书宋简体" w:cs="方正书宋简体"/>
          <w:bCs/>
          <w:color w:val="000000" w:themeColor="text1"/>
          <w:sz w:val="24"/>
          <w:szCs w:val="24"/>
          <w14:textFill>
            <w14:solidFill>
              <w14:schemeClr w14:val="tx1"/>
            </w14:solidFill>
          </w14:textFill>
        </w:rPr>
        <w:t>立足承接东部（长沙）产业转移，加快建设宝塔工业园、高铁工业园（长沙产业园）、里耶工业园，着力构建“一区三园”</w:t>
      </w:r>
      <w:r>
        <w:rPr>
          <w:rFonts w:hint="eastAsia" w:ascii="方正书宋简体" w:hAnsi="方正书宋简体" w:eastAsia="方正书宋简体" w:cs="方正书宋简体"/>
          <w:bCs/>
          <w:color w:val="000000" w:themeColor="text1"/>
          <w:sz w:val="24"/>
          <w:szCs w:val="24"/>
          <w14:textFill>
            <w14:solidFill>
              <w14:schemeClr w14:val="tx1"/>
            </w14:solidFill>
          </w14:textFill>
        </w:rPr>
        <w:endnoteReference w:id="6"/>
      </w:r>
      <w:r>
        <w:rPr>
          <w:rFonts w:hint="eastAsia" w:ascii="方正书宋简体" w:hAnsi="方正书宋简体" w:eastAsia="方正书宋简体" w:cs="方正书宋简体"/>
          <w:bCs/>
          <w:color w:val="000000" w:themeColor="text1"/>
          <w:sz w:val="24"/>
          <w:szCs w:val="24"/>
          <w14:textFill>
            <w14:solidFill>
              <w14:schemeClr w14:val="tx1"/>
            </w14:solidFill>
          </w14:textFill>
        </w:rPr>
        <w:t>工业经济发展格局。加快工业集中区调区扩区，推动形成生态制造业高地，产城融合规划面积10平方公里，建成园区面积达到5平方公里，园区标准化厂房新增60万平方米，远期目标100万平方米，优势产业集聚度达到80%以上，产业链工业产值占全县工业产值比重达到90%以上，园区规模工业增加值占全县规模工业增加值比重超过80%，工业税收达5亿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加快发展特色制造产业链。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积极扶持特色制造企业，大力支持吉程农机制造农业机械，红日锅炉制造节能灶具和工业锅炉，顺天生物制造生物智能等应用装备。加强与长沙市园区和龙头装备制造企业对接，以特色制造产业为突破，以特色制造为重点，以高铁工业园（长沙产业园）为基地，加强与长沙市园区和龙头装备制造企业对接。支持红日锅炉、顺天生物等生物质能应用装备制造企业转型升级发展，加快特色制造业研发中心和性能检测等平台建设。引进培育规模以上特色制造企业5家以上，2025年实现产值15亿元，打造湖南西部特色制造产业基地。</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支持生物医药产业链。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重点扶持湖南省神农本草药业、湖南双沐药业、湖南恒龙中药材、湖南龙山现代中药和龙山鑫发中药材等本土药材企业转型升级发展。加快引进生物制药企业2-3家，力争实现地产国药准字号产品10个以上。加快推进中药材检验检测中心、中药材交易中心、工程技术研究中心和研发交易等项目建设。积极挖掘里耶秦简中医药文化和土家古方古药，打造土家民族医药，唱响“土家药乡”品牌。引进培育规模以上生物医药企业10家以上，2025年实现产值15亿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支持电子信息产业链。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瞄准粤港澳大湾区和成渝经济圈等地电子信息产业转移，引进电子信息龙头企业，带动一批生产电子元器件、数字家庭产品、新型电子消费产品等企业。引进培育规模以上电子信息企业10家以上，2025年实现产值10亿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支持绿色能源产业链。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重点扶持湖南恒澎新能源科技企业，以“二次组合CID盖帽”、“电池组PACK”为核心，大力发展锂电池绿色能源产业。重点培育和引进相关锂电池上下游产品的研发，积极推进水电、风力发电等项目建设，大力发展风电、水电等绿色能源产业。大力发展锂电制造项目，支持恒澎新能源等优势企业延伸产业链条。引进培育规模以上绿色能源企业10家以上，2025年实现产值30亿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方正书宋简体" w:hAnsi="方正书宋简体" w:eastAsia="方正书宋简体" w:cs="方正书宋简体"/>
          <w:bCs/>
          <w:color w:val="000000" w:themeColor="text1"/>
          <w:sz w:val="24"/>
          <w:szCs w:val="24"/>
          <w14:textFill>
            <w14:solidFill>
              <w14:schemeClr w14:val="tx1"/>
            </w14:solidFill>
          </w14:textFill>
        </w:rPr>
        <w:t>支持新型建材产业链。加快新型建材产业转型升级，围绕以水泥、预拌砂浆、涂料、环保建材砖、装配式预制构件为重点，推动我县建筑工业化、绿色化的快速发展。支持成美建材、东升玻璃、宇航工贸等建材企业转型升级，引进培育战略性龙头企业。优化城乡商混搅拌站合理布局，根据城区建设及乡镇实际需求情况，构建以水泥生产企业为枢纽，以交通干线为纽带，以大型预拌混凝土及预拌砂浆企业为结点，以城区和重点乡镇为消费点的散装水泥供应网络，配套龙山县的建筑工业化和住宅产业化，形成以城镇为中心的供应集中区，全面推广预拌混凝土和预拌砂浆新产品、新装备和新技术。到2025年，引进培育规模以上新型建材企业10家以上，实现产值10亿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支持生态绿色食品产业链。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加快以洗洛镇为核心区建设湘西龙山农业科技园，以百合交易中心、储存为重点，大力推进生态绿色食品产业建设。重点扶持美生宝生物科技做好农产品精深加工，乌龙山酒业做精白酒产业，恢复并叫响“乌龙山”地方白酒品牌。持续加大葛根、辣椒等本土优质农产品的开发、加工、包装、营销，推进食品溯源、食品企业贯标。引进培育规模以上生态绿色食品加工企业20家以上，2025年实现产值10亿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发展壮大民族轻纺产业链。</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围绕土家织锦加快创意设计、工业化生产，推进土家织锦产业实用化和高端化发展。以土家巧手、惹巴妹手工织品为龙头企业，将民族特色产业提质创新。以土家巧手、惹巴妹手工织品、叶氏织锦、菊秀织锦、秋梅织锦等为龙头企业，将传统土家织锦产业提质升级。以冠美美发为龙头企业，将特色织品产业集群发展。到2025年，引进培育规模以上民族轻纺企业10家以上，实现产值10亿元，打造武陵山片区最具民族特色轻纺产业集群。</w:t>
      </w:r>
    </w:p>
    <w:p>
      <w:pPr>
        <w:pStyle w:val="3"/>
      </w:pPr>
    </w:p>
    <w:tbl>
      <w:tblPr>
        <w:tblStyle w:val="18"/>
        <w:tblW w:w="6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60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outlineLvl w:val="9"/>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专栏6  新型工业化建设工程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5" w:hRule="atLeast"/>
        </w:trPr>
        <w:tc>
          <w:tcPr>
            <w:tcW w:w="6600" w:type="dxa"/>
            <w:shd w:val="clear" w:color="auto" w:fill="FFFFFF"/>
          </w:tcPr>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1.龙山县工业集中区高铁新区工业园（长沙产业园）项目：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项目规划用地1500亩，主要建设内容有: 1.高新技术工业区：主要作为高新技术产业项目的生产用地；⒉科技教育、培训、孵化区：主要用于大专院校、科研院所、企业的人才技术培训，产品的开发试制、科技成果的产业化孵化等功能；3.标准厂房区：建设标准厂房50万平方米、配套业务用房4栋、产业扶贫车间一栋、职工宿舍3栋；4.综合功能区：重点安排政务服务、金融、科展贸易、会议、信息 交流、医院、酒店等内容；⒋居住生活区：建立较高档次的住宅区，并配置完善的公共配套生活设施5.配套设施：园区政务服务中心一栋，建设日处理5000吨污水处理厂一座，园区垃圾处理厂一座。</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2.龙山县装配式建筑制造产业园项目：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项目主要打造装配式建筑制造基地一座，建设20万平方米装配式建筑制造车间及配套附属设施。</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3.龙山县生物医药产业园项目：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项目总投资15亿元。引进中药饮片、中药制剂、中药材提取企业2-3家，建成GMP生产线10条，2021-2025建设公共中药材检测平台一个。2026-2035年集聚整合规模中药材加工企业3-5家，带动10万亩道地药材种植。</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4.龙山县乌龙山酒业白酒生产线项目：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分期建设，第一期为年产1500吨白酒生产线建设，建设高端酒庄、品酒体验中心；第二期年产1万吨白酒生产线建设。</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5.龙山县民族轻纺产业园建设项目：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占地5亩，建筑面积6000平方米，以土家巧手等企业为依托，建设土家织锦、绣花鞋垫、民族服饰、手工织品等生产线；建设国家非遗土家织锦及旅游产品研发中心、土家织锦培训中心。</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6.龙山县工业集中区里耶工业园项目：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项目征地2平方公里，主要建设40万平方米标准厂房及其配套水电、道路、绿化等附属设施。</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7.龙山县洗洛天然矿泉水生产线（二期）项目：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项目占地约140亩，新建5万平方米矿泉水生产车间及配套附属工程，矿泉水生产线3条。</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8.龙山县紫砂陶土矿勘查开发利用项目：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陶瓷生产厂房10万平方米，泥料精炼车间，全自动注浆生产线，天然气窑炉改造等；建设紫砂煲内胆及系列紫砂新产品、酒类包装容器及、茶罐容器和茶杯生产线；新建陶瓷文化艺术体验馆2万平方米，相关水电路气等基础设施配套建设。研发制造具有湘西文化特色的陶瓷产品,如土家特色文化花瓶、土陶器、制碗、罐等湘西特色陶瓷文化工艺品。</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9.龙山县道地中药材GMP加工基地项目：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一期3万平方米厂房基本建设，2026-2035年新建3000平方米加工厂房和3000平方米仓储库房各1栋，购置200吨级药材加工设备机组两组。</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10.龙山县丘陵山地耕整作业机关键技术研究与产业化项目：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新建标准厂房2.26万平方米，建设第五代耕整作业机生产线8条。对原有生产设备进行智能化升级改造。</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11.龙山县新型建材加工项目：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年产3万吨环保型重质碳酸钙、年产2万吨环保型装饰新材料加工生产线、干混环保砂浆生产线及优良水性建筑系列乳液生产线，配套仓储、物流、环保回收等设施。研发耐候性、保光性、抗紫外光、抗沾污等性能纯水性新型建材。</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12.龙山县油茶精深加工项目：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年加工油茶籽（光皮梾木籽）10万吨生产线及农产品包装、仓储、物流设施设备等建设。</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13.龙山县CID盖帽及电池组PACK生产及锂电池科技研发中心项目：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建设CID组合帽全自动生产线20套，PACK项目组建规划日产（48V15Ah电池组）5000组生产线、2000平方米锂电池科技研发中心，配套安装产品研发、检测、生产设备。</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14.龙山县电子信息产业园项目：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新建标准厂房10万平方米。</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15.龙山县果汁饮料深加工项目：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厂房建设面积2160平方米，净化车间1440平方米，安装燃气锅炉、车间地面固化、净化间搭建、吊顶、安装，饮料生产、包装设备等配套设备 。</w:t>
            </w:r>
          </w:p>
          <w:p>
            <w:pPr>
              <w:keepNext w:val="0"/>
              <w:keepLines w:val="0"/>
              <w:pageBreakBefore w:val="0"/>
              <w:widowControl w:val="0"/>
              <w:kinsoku/>
              <w:wordWrap/>
              <w:overflowPunct/>
              <w:topLinePunct w:val="0"/>
              <w:autoSpaceDE/>
              <w:autoSpaceDN/>
              <w:bidi w:val="0"/>
              <w:adjustRightInd/>
              <w:snapToGrid w:val="0"/>
              <w:spacing w:line="24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16.龙山县水泥生产线配套矿山项目：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建设年开采、加工100万吨石灰石生产线及配套设施的新型矿山一座。</w:t>
            </w:r>
          </w:p>
        </w:tc>
      </w:tr>
    </w:tbl>
    <w:p>
      <w:pPr>
        <w:pStyle w:val="2"/>
        <w:rPr>
          <w:color w:val="000000" w:themeColor="text1"/>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59" w:name="_Toc60048905"/>
      <w:bookmarkStart w:id="160" w:name="_Toc12061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加快“一区三园”建设步伐</w:t>
      </w:r>
      <w:bookmarkEnd w:id="159"/>
      <w:bookmarkEnd w:id="160"/>
    </w:p>
    <w:p>
      <w:pPr>
        <w:pageBreakBefore w:val="0"/>
        <w:widowControl w:val="0"/>
        <w:kinsoku/>
        <w:wordWrap/>
        <w:overflowPunct/>
        <w:topLinePunct w:val="0"/>
        <w:autoSpaceDE/>
        <w:autoSpaceDN/>
        <w:bidi w:val="0"/>
        <w:snapToGrid w:val="0"/>
        <w:spacing w:line="420" w:lineRule="exact"/>
        <w:ind w:firstLine="562" w:firstLineChars="200"/>
        <w:textAlignment w:val="auto"/>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napToGrid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加快推进园区扩容提质。</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园区发展与新一轮国土空间规划的衔接，统筹生产、生活、生态空间，合理预留园区拓展用地，科学划定功能边界，积极推动园区调规扩区，到2025年，园区建成面积达到5平方公里。鼓励园区开展内部存量挖潜，充分利用存量建设用地，全面加大工业标准厂房、定制厂房建设力度，提高土地利用效率，促进工业产业集聚发展，到2025年，新增标准厂房60万平方米。鼓励园区开展跨区域合作，积极发展“飞地经济”，共同建设项目孵化、人才培养、市场拓展等服务平台和产业园区，做好长沙产业园共建工作。加快完善园区配套设施，加快园区扩容提质步伐，打造一批研发、设计、检测、外贸等公共服务平台，提高园区承载能力。积极开展综合节能、产城融合、污染集中治理、综合管廊建设、循环化改造和低碳园区试点建设；推进园区道路、能源集中供应、污水处理、危废处置等基础设施建设；加快园区5G基站、数据中心、充电桩等新型基础设施建设；完善检验检测、仓储物流、创业创新、保障性住房等公共服务配套设施，提升工业园区综合承载力。落实园区单位土地面积投资强度的要求，提高单位土地面积产出，加强园区存量用地二次开发，促进低效闲置土地的处置利用。到2025年，园区规模工业增加值达到80亿元，占全县规模工业增加值的比重达80%。</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进一步优化工业园区布局。</w:t>
      </w:r>
      <w:r>
        <w:rPr>
          <w:rFonts w:hint="eastAsia" w:ascii="方正书宋简体" w:hAnsi="方正书宋简体" w:eastAsia="方正书宋简体" w:cs="方正书宋简体"/>
          <w:color w:val="000000" w:themeColor="text1"/>
          <w:sz w:val="24"/>
          <w:szCs w:val="24"/>
          <w14:textFill>
            <w14:solidFill>
              <w14:schemeClr w14:val="tx1"/>
            </w14:solidFill>
          </w14:textFill>
        </w:rPr>
        <w:t>宝塔工业园：规划调扩区至2平方公里，“十四五”期间建成2平方公里，重点发展电子信息、绿色能源、特色制造、新型建材等产业。高铁工业园（长沙产业园）：规划建设6平方公里，“十四五”期间建成2平方公里，重点发展生物医药产业。里耶工业园：规划建设2平方公里，“十四五”期间建成1平方公里，重点发展生态绿色食品精深加工和民族轻纺等产业。</w:t>
      </w:r>
    </w:p>
    <w:tbl>
      <w:tblPr>
        <w:tblStyle w:val="18"/>
        <w:tblW w:w="6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rPr>
        <w:tc>
          <w:tcPr>
            <w:tcW w:w="6360" w:type="dxa"/>
            <w:shd w:val="clear" w:color="auto" w:fill="auto"/>
            <w:vAlign w:val="center"/>
          </w:tcPr>
          <w:p>
            <w:pPr>
              <w:spacing w:line="360" w:lineRule="auto"/>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专栏7  产业平台配套设施重点工程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7" w:hRule="atLeast"/>
        </w:trPr>
        <w:tc>
          <w:tcPr>
            <w:tcW w:w="636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1.龙山县工业集中区标准厂房（三期）项目：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建设20万平方米标准厂房及污水处理厂、园区道路、门卫、地埋式垃圾站、围墙等配套设施等配套设施建设。</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2.龙山县创业孵化基地项目：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建设5000平方米创业孵化基地及配套附属设施。</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3.龙山县工业集中区工业大道项目：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建设连接园区食品产业园至新型建材产业园道路一条（含100米跨河桥梁一座），项目总投资1.2亿元。</w:t>
            </w:r>
          </w:p>
        </w:tc>
      </w:tr>
    </w:tbl>
    <w:p>
      <w:pPr>
        <w:spacing w:line="360" w:lineRule="auto"/>
        <w:jc w:val="center"/>
        <w:rPr>
          <w:rFonts w:hint="eastAsia" w:ascii="楷体" w:hAnsi="楷体" w:eastAsia="楷体" w:cs="楷体"/>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4011295" cy="5458460"/>
            <wp:effectExtent l="0" t="0" r="825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11295" cy="5458460"/>
                    </a:xfrm>
                    <a:prstGeom prst="rect">
                      <a:avLst/>
                    </a:prstGeom>
                    <a:noFill/>
                    <a:ln>
                      <a:noFill/>
                    </a:ln>
                  </pic:spPr>
                </pic:pic>
              </a:graphicData>
            </a:graphic>
          </wp:inline>
        </w:drawing>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 xml:space="preserve"> </w:t>
      </w:r>
      <w:r>
        <w:rPr>
          <w:rFonts w:hint="eastAsia" w:ascii="楷体" w:hAnsi="楷体" w:eastAsia="楷体" w:cs="楷体"/>
          <w:b/>
          <w:bCs/>
          <w:color w:val="000000" w:themeColor="text1"/>
          <w:sz w:val="24"/>
          <w:szCs w:val="24"/>
          <w14:textFill>
            <w14:solidFill>
              <w14:schemeClr w14:val="tx1"/>
            </w14:solidFill>
          </w14:textFill>
        </w:rPr>
        <w:t>图1  “一区三园”工业经济发展格局</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大力推进园区体制机制改革。</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企业化管理、市场化运作、公司化运营，加快推动园区行政管理与运营职能分离，面向市场引入专业化管理团队进行园区运营，实现园区由“政府运营型”向“企业服务型”转变。研究制定园区全员聘任、机构编制管理、效益评价改革等配套文件，出台更加精准有效的土地政策、财税政策和创新政策。加快推进园区干部人事管理制度改革，建立完善市场化激励约束机制，打破选人用人、薪酬分配、奖惩激励等机制性障碍，进一步激发干部干事创业的内生动力。对重点园区实施精准定向赋权，推进绿色通道，全程代办。鼓励跨区域重组整合、集团化联动发展，构建现代化园区治理体系，推进园区高质量发展。</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bCs/>
          <w:color w:val="000000" w:themeColor="text1"/>
          <w:sz w:val="24"/>
          <w:szCs w:val="24"/>
          <w14:textFill>
            <w14:solidFill>
              <w14:schemeClr w14:val="tx1"/>
            </w14:solidFill>
          </w14:textFill>
        </w:rPr>
      </w:pPr>
      <w:bookmarkStart w:id="161" w:name="_Toc60048906"/>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62" w:name="_Toc781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加大企业培育力度</w:t>
      </w:r>
      <w:bookmarkEnd w:id="161"/>
      <w:bookmarkEnd w:id="162"/>
    </w:p>
    <w:p>
      <w:pPr>
        <w:pStyle w:val="2"/>
        <w:rPr>
          <w:rFonts w:hint="eastAsia"/>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培育引进并举，围绕7条产业链积极引进培育一批龙头企业。实施中小企业培育工程，积极扶持成长型中小企业，加快创新型示范中心企业培育；实施企业股改上市计划，重点扶持临规企业降低成本、扩大生产、拓展市场，加快企业股份制改造，加快股份制企业在股权交易市场挂牌，支持上市挂牌公司并购重组、资本运作。鼓励和支持中小企业主动嵌入产业链龙头企业分工体系，实现大中小企业、产业链上下游企业融通协同发展，提高企业之间配套能力和关联度。提升企业现代化管理水平。加快管理信息系统等应用，提升企业经营管理水平；引导企业树立现代经营理念，支持有条件的企业开展资本经营。提升企业绿色发展水平。支持企业实施绿色战略、绿色标准和绿色管理，实施绿色示范工厂和绿色示范园区建设工程。到2025年，培育规模以上工业企业和高新技术企业100家，年销售收入过亿元的企业达到10家，培育上市公司1家。新增省级企业技术中心2个，湖南省名牌产品6个，湖南省著名商标6个。</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63" w:name="_Toc60048907"/>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64" w:name="_Toc17518_WPSOffice_Level3"/>
      <w:r>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t>第四节  积极承接产业转移</w:t>
      </w:r>
      <w:bookmarkEnd w:id="163"/>
      <w:bookmarkEnd w:id="164"/>
    </w:p>
    <w:p>
      <w:pPr>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积极探索“区域战略联盟”模式。</w:t>
      </w:r>
      <w:r>
        <w:rPr>
          <w:rFonts w:hint="eastAsia" w:ascii="方正书宋简体" w:hAnsi="方正书宋简体" w:eastAsia="方正书宋简体" w:cs="方正书宋简体"/>
          <w:color w:val="000000" w:themeColor="text1"/>
          <w:sz w:val="24"/>
          <w:szCs w:val="24"/>
          <w14:textFill>
            <w14:solidFill>
              <w14:schemeClr w14:val="tx1"/>
            </w14:solidFill>
          </w14:textFill>
        </w:rPr>
        <w:t xml:space="preserve">建设产业承接高端平台，着力推进现代农业、生物医药、商贸物流等产业基地建设，打造产业聚集平台，优化产业空间布局。鼓励同类产业及上下游企业相对聚集，推动产业链条上下延伸，发展配套服务性产业，提高产业的规模聚集和倍增效应，形成布局合理、产业互动、分工明确、相互依存的产业发展体系。打通产业转移行政壁垒。进一步拓展与粤港澳大湾区等地区合作领域，提升合作层次。密切与省会长沙的合作，打破湘南湘西承接产业转移的行政壁垒，建立常态化沟通协调机制，重点围绕产业布局、园区合作、要素供给、机制创新等方面进行协作，避免恶性竞争，推动产业协同，促进联动发展。 </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创新园区合作模式。</w:t>
      </w:r>
      <w:r>
        <w:rPr>
          <w:rFonts w:hint="eastAsia" w:ascii="方正书宋简体" w:hAnsi="方正书宋简体" w:eastAsia="方正书宋简体" w:cs="方正书宋简体"/>
          <w:color w:val="000000" w:themeColor="text1"/>
          <w:sz w:val="24"/>
          <w:szCs w:val="24"/>
          <w14:textFill>
            <w14:solidFill>
              <w14:schemeClr w14:val="tx1"/>
            </w14:solidFill>
          </w14:textFill>
        </w:rPr>
        <w:t>鼓励发展“飞地经济”。强化“飞地经济”统筹协调机制。利用东西部协作政策，探索与长沙五大国家级园区、济南合作“飞地经济”，开展顶层设计，明确“飞地经济”发展的思路、原则、模式和政策，构建重大问题协调解决机制。清晰划分合作园区双方之间的权责、管理体制、利益分配机制、矛盾解决机制等核心内容。飞出地与飞入地组建常态化的联动开发协调委员会，加强在产业发展、功能布局等方面的政策对接，及时研究解决园区建设、项目引进和运营管理中的问题。加强共建园区的政策扶持，赋予“飞地经济”共建园区相关管理权限，享受更多优惠扶持政策。设立“飞地经济”发展专项基金，为园区建设提供融资服务。探索将飞地园区打造为具有独立法人地位的经济实体，以“计划单列”的形式在用地、环保、规划、财税等方面跨区进行平衡。</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鼓励企业参与园区建设。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创新园区共建方式。鼓励政府和企业开展合作，建成共建、共管或托建、托管的产业园区，探索采取多种方式共建产业园区，共同规划，联合开发，激发龙山工业集中区主动承接产业转移的活力和动力，促进园区基础设施建设和产业对口转移承接。探索“企业办园区”的开发运营模式。通过更加市场化的薪酬待遇吸引园区运营人才，充分发挥企业办园区模式专业化运营优势，提高产业发展速度，利用新模式吸引配套企业，打造产业聚集能力。建立利益分享机制。鼓励企业参与园区建设，合作各方本着互利共赢的原则，协商议定合作方式，明确责任义务和经营期限。合作共建园区的发展成果由合作各方分享。</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创新产业协调发展机制。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产业园区之间的开放与合作。引导龙山县工业集中区与长沙和济南两市的工业园之间加强重点项目合作，优势互补，资源共享，信息互通，错位竞争，形成龙山工业集中区特色产业集群。建立多元化科技投入机制。坚持以财政投入为导向、企业投入为主体、社会投入为补充。积极落实省委省政府关于实施创新创业“135”工程升级版的政策，争取省财政厅对标准厂房建设的相关支持资金;支持为新兴优势产业链和园区主导产业服务的技术研发中心、检验检测中心、工业设计中心、中试基地等项目建设，以及智慧园区技术培训、产品展示等共享性服务保障设施建设。鼓励高新技术企业增加科技支撑投入，引导民间资本进入，扩大高新科技项目的融资渠道，同时促进民间资本合理流动。</w:t>
      </w:r>
      <w:bookmarkStart w:id="165" w:name="_Toc60048908"/>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Theme="minorEastAsia" w:hAnsiTheme="minorEastAsia" w:eastAsiaTheme="minorEastAsia" w:cstheme="minorEastAsia"/>
          <w:b w:val="0"/>
          <w:bCs w:val="0"/>
          <w:color w:val="000000" w:themeColor="text1"/>
          <w:w w:val="100"/>
          <w:sz w:val="28"/>
          <w:szCs w:val="28"/>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66" w:name="_Toc12061_WPSOffice_Level2"/>
      <w:r>
        <w:rPr>
          <w:rFonts w:hint="eastAsia" w:ascii="黑体" w:hAnsi="黑体" w:eastAsia="黑体" w:cs="黑体"/>
          <w:b w:val="0"/>
          <w:bCs w:val="0"/>
          <w:color w:val="000000" w:themeColor="text1"/>
          <w:w w:val="100"/>
          <w:sz w:val="30"/>
          <w:szCs w:val="30"/>
          <w14:textFill>
            <w14:solidFill>
              <w14:schemeClr w14:val="tx1"/>
            </w14:solidFill>
          </w14:textFill>
        </w:rPr>
        <w:t xml:space="preserve">第十一章  </w:t>
      </w:r>
      <w:bookmarkEnd w:id="165"/>
      <w:r>
        <w:rPr>
          <w:rFonts w:hint="eastAsia" w:ascii="黑体" w:hAnsi="黑体" w:eastAsia="黑体" w:cs="黑体"/>
          <w:b w:val="0"/>
          <w:bCs w:val="0"/>
          <w:color w:val="000000" w:themeColor="text1"/>
          <w:w w:val="100"/>
          <w:sz w:val="30"/>
          <w:szCs w:val="30"/>
          <w14:textFill>
            <w14:solidFill>
              <w14:schemeClr w14:val="tx1"/>
            </w14:solidFill>
          </w14:textFill>
        </w:rPr>
        <w:t>加快商贸物流发展，推动</w:t>
      </w:r>
      <w:bookmarkEnd w:id="166"/>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67" w:name="_Toc28542_WPSOffice_Level2"/>
      <w:bookmarkStart w:id="168" w:name="_Toc7815_WPSOffice_Level2"/>
      <w:r>
        <w:rPr>
          <w:rFonts w:hint="eastAsia" w:ascii="黑体" w:hAnsi="黑体" w:eastAsia="黑体" w:cs="黑体"/>
          <w:b w:val="0"/>
          <w:bCs w:val="0"/>
          <w:color w:val="000000" w:themeColor="text1"/>
          <w:w w:val="100"/>
          <w:sz w:val="30"/>
          <w:szCs w:val="30"/>
          <w14:textFill>
            <w14:solidFill>
              <w14:schemeClr w14:val="tx1"/>
            </w14:solidFill>
          </w14:textFill>
        </w:rPr>
        <w:t>现代服务业实现新突破</w:t>
      </w:r>
      <w:bookmarkEnd w:id="167"/>
      <w:bookmarkEnd w:id="168"/>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大力实施商贸物流“1711”行动</w:t>
      </w:r>
      <w:r>
        <w:rPr>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7"/>
      </w:r>
      <w:r>
        <w:rPr>
          <w:rFonts w:hint="eastAsia" w:ascii="方正书宋简体" w:hAnsi="方正书宋简体" w:eastAsia="方正书宋简体" w:cs="方正书宋简体"/>
          <w:color w:val="000000" w:themeColor="text1"/>
          <w:sz w:val="24"/>
          <w:szCs w:val="24"/>
          <w14:textFill>
            <w14:solidFill>
              <w14:schemeClr w14:val="tx1"/>
            </w14:solidFill>
          </w14:textFill>
        </w:rPr>
        <w:t>，聚焦服务业关键领域和薄弱环节，以建成湘鄂渝边区商贸物流中心为目标，着力推进空间布局调优、物流园区建设、交易市场建设、配送体系完善、电子商务壮大、企业培育提升、对外贸易突破等“七大计划”，提升生产性服务业和生活性服务业质量水平。到2025年，打造湘鄂渝边区商贸物流中心，引进和培育商贸物流龙头骨干企业突破10家，力争商贸物流供应链产值突破100亿元。</w:t>
      </w:r>
      <w:bookmarkStart w:id="169" w:name="_Toc60048909"/>
    </w:p>
    <w:p>
      <w:pPr>
        <w:pStyle w:val="2"/>
        <w:rPr>
          <w:rFonts w:hint="eastAsia"/>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70" w:name="_Toc3640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加快发展现代新型物流服务业</w:t>
      </w:r>
      <w:bookmarkEnd w:id="169"/>
      <w:bookmarkEnd w:id="170"/>
    </w:p>
    <w:p>
      <w:pPr>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持续做大现代物流产业。</w:t>
      </w:r>
      <w:r>
        <w:rPr>
          <w:rFonts w:hint="eastAsia" w:ascii="方正书宋简体" w:hAnsi="方正书宋简体" w:eastAsia="方正书宋简体" w:cs="方正书宋简体"/>
          <w:color w:val="000000" w:themeColor="text1"/>
          <w:sz w:val="24"/>
          <w:szCs w:val="24"/>
          <w14:textFill>
            <w14:solidFill>
              <w14:schemeClr w14:val="tx1"/>
            </w14:solidFill>
          </w14:textFill>
        </w:rPr>
        <w:t>对接渝长厦通道经济发展带，发挥三省市边区优势，加快建设“一区多园”的物流园区。着力构建“北联、南延、东拓、西进”和“一主一副多点”的商贸物流发展格局，做强县城中心、里耶副中心和边贸乡镇商贸物流业。科学规划建设城东物流园、高铁新城物流园、里耶物流中心和武陵山片区快递物流分拣中心，打造湘鄂渝边区商贸物流中心。加快发展冷链仓储物流，重点发展农产品冷链物流，健全农产品冷链物流体系。加强农副产品、小商品、建材家居、百合、中药材等专业批发市场建设。大力发展农村电子商务，推动农产品线上线下全面发展，积极与国内知名快递企业开展合作，着力构建以县城为纽带、乡镇为节点、村寨为终端的三级物流体系，加强“末端配送节点”建设。到2025年，引进国内龙头物流企业3家以上，建成20个乡级物流站，70个村级站点，培育星级物流企业3家以上，实现商贸物流成本明显下降，批发零售企业物流费用率降低到7%左右，物流量达到5万单/天以上，现代物流产业总产值达到30亿元，建成覆盖全县和联通周边地市高效、畅通的物流体系及农副产品销售网络。</w:t>
      </w: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2"/>
        <w:rPr>
          <w:color w:val="000000" w:themeColor="text1"/>
          <w14:textFill>
            <w14:solidFill>
              <w14:schemeClr w14:val="tx1"/>
            </w14:solidFill>
          </w14:textFill>
        </w:rPr>
      </w:pPr>
    </w:p>
    <w:tbl>
      <w:tblPr>
        <w:tblStyle w:val="18"/>
        <w:tblpPr w:leftFromText="180" w:rightFromText="180" w:vertAnchor="text" w:horzAnchor="page" w:tblpX="1250" w:tblpY="-163"/>
        <w:tblOverlap w:val="never"/>
        <w:tblW w:w="6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6300" w:type="dxa"/>
            <w:shd w:val="clear" w:color="auto" w:fill="auto"/>
            <w:vAlign w:val="center"/>
          </w:tcPr>
          <w:p>
            <w:pPr>
              <w:spacing w:line="360" w:lineRule="auto"/>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bookmarkStart w:id="171" w:name="_Toc60048910"/>
            <w:r>
              <w:rPr>
                <w:rFonts w:hint="eastAsia" w:ascii="楷体" w:hAnsi="楷体" w:eastAsia="楷体" w:cs="楷体"/>
                <w:b/>
                <w:bCs/>
                <w:color w:val="000000" w:themeColor="text1"/>
                <w:sz w:val="24"/>
                <w:szCs w:val="24"/>
                <w14:textFill>
                  <w14:solidFill>
                    <w14:schemeClr w14:val="tx1"/>
                  </w14:solidFill>
                </w14:textFill>
              </w:rPr>
              <w:t>专栏8  物流设施重点工程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9" w:hRule="atLeast"/>
        </w:trPr>
        <w:tc>
          <w:tcPr>
            <w:tcW w:w="630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1.湘鄂渝边区龙山商贸物流中心项目：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筑面积60万平方米，主要建设农产批发市场、中药材交易中心、龙凤（义乌）小商品城、农产物流仓储、粮食储备库、冷链物流仓储区、公交首末站、大宗物品物流仓储、货车停车及装卸载区、生活用品物流仓储区、园区管理服务功能区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2.龙山县镇村物流服务站项目：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全县17个乡镇及397个便民服务网点基础设施配套建设。</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3.武陵山片区物流分拣中心项目：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占地约50亩，建设分拣加工、仓储配送、商品展示、办公休息等内容。</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4.龙山县城区社区智慧快递驿站项目：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城区布点50个，提供派件自提、寄件两项服务，</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5.龙山县里耶物流中心项目：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占地约200亩，主要建设绿色食品、轻工纺织及农产品批发市场、冷链仓储、农产品洗选保鲜中心。</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6.龙山县洗洛百合交易物流中心项目：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占地约100亩，主要规划建设冷链仓储、批发市场、服务配套等内容。</w:t>
            </w:r>
          </w:p>
        </w:tc>
      </w:tr>
    </w:tbl>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72" w:name="_Toc3034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持续壮大特色商贸服务业</w:t>
      </w:r>
      <w:bookmarkEnd w:id="171"/>
      <w:bookmarkEnd w:id="172"/>
      <w:bookmarkStart w:id="173" w:name="_Toc42112705"/>
    </w:p>
    <w:p>
      <w:pPr>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优化消费业态布局。</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县城商圈合理布局，分层分类打造升级版的消费集聚区，推动商务区提档升级发展，构建消费吸附力和对外影响力强的城市商业体系。着力培育和建设红星美凯龙家居城、万汇国际汽贸城、洗洛百合交易物流中心、高铁新城中药材交易中心、民安综合市场、城东物流园和龙凤小商品市场等一批规模较大、辐射带动作用明显的区域性专业市场。积极引进一批大型购物中心、精品店、专卖店等中高端业态，落地一批类似奥特莱斯小镇的“商贸+旅游”项目，完善综合商业配套建设，推动传统商圈提档升级；根据县城现状，推进特色餐饮、特色农产品、休闲娱乐等特色商业街区建设，引导相关特色商业服务资源高度聚集。注重消费质量体验，实施对美丽时尚、绿色餐饮、贴心家政等生活服务业提质工程，顺应人民对美好生活的向往，对服务业的高要求、新需求；积极培育购物、娱乐、教育等线上消费，扶持智慧超市、智慧餐厅等新零售业态，加快发展时尚消费，积极引进全球时尚品牌，鼓励品牌企业开设旗舰店。</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规范城乡农贸市场建设</w:t>
      </w:r>
      <w:bookmarkEnd w:id="173"/>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建立完善的农贸商业网点系统，规划布局农贸市场、农贸商业网点，取消马路市场，进一步优化城乡农贸市场布局与结构。通过新建、改扩建市场的方式，支持“农改超”“农加超”发展，进一步规范城乡农贸市场。到2025年，建成3个一级农贸批发市场：土城坝一级批发市场、城东商贸物流园一级批发市场、螺蛳滩村一级批发市场；29个大型农贸市场，其中县城10个，即亿利农贸市场、城中农贸市场、湖湘商贸农贸市场、城东商贸物流园农贸市场、土城坝农贸市场、城北农贸市场、螺蛳滩村农贸市场、华塘新区农贸市场、官渡社区农贸市场和高铁新城农贸市场，改扩建乡镇农贸市场共19个；1个家禽宰杀场，位于土城坝农贸市场。</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打造城乡商贸流通载体。</w:t>
      </w:r>
      <w:r>
        <w:rPr>
          <w:rFonts w:hint="eastAsia" w:ascii="方正书宋简体" w:hAnsi="方正书宋简体" w:eastAsia="方正书宋简体" w:cs="方正书宋简体"/>
          <w:color w:val="000000" w:themeColor="text1"/>
          <w:sz w:val="24"/>
          <w:szCs w:val="24"/>
          <w14:textFill>
            <w14:solidFill>
              <w14:schemeClr w14:val="tx1"/>
            </w14:solidFill>
          </w14:textFill>
        </w:rPr>
        <w:t>认真贯彻落实《湖南省实施商贸流通“千百工程”工作方案》有关要求，切实深化龙山县商贸流通领域供给侧结构性改革，培育壮大全县商贸流通主体，打造城乡商贸流通载体网络。完善县、镇（乡）、村三级商贸网点建设规划，推进城乡商贸一体化发展。建设以龙山县城为商贸核心区，17个乡（镇）为商业中心，397个村（社区）为农贸商业网点的城乡商贸流通网络。加快城乡市场体系建设，建设覆盖城乡社区的连锁店、专卖店和便利店网络。围绕商贸龙头企业，大力实施县城和乡镇商贸载体建设工程，发展中心商业区、大型综合超市或连锁超市、大型农产品综合批零市场、餐饮娱乐夜市街、物流配送中心、专业市场、定点屠宰场等，打造快捷、高效的商贸流通载体。按照《龙山县农贸商业网点布局规划（2019-2035）》和城乡居民实际生活需要，到2025年，全县建成11个大型综合超市或连锁超市、3个大型农产品综合批零市场，3个夜市街区，各乡镇共建设30个综合超市或品牌连锁店，重点农村社区建设426个以上标准化农家店或是便民店。规范成品油销售及标准化建设，全县新建加油站21座，拟撤加油站2座，使成品油分销网络覆盖全县。在县城区南端环城路上新设家畜家禽宰杀场，实行统一宰杀，再由物流公司统一简单包装后送至农贸市场、社区便民生活超市和居民家中，力争5年内取缔县城内所有家畜家禽宰杀场；家畜家禽宰杀场并入到土城坝一级批发市场。</w:t>
      </w:r>
    </w:p>
    <w:p>
      <w:pPr>
        <w:pStyle w:val="3"/>
        <w:rPr>
          <w:color w:val="000000" w:themeColor="text1"/>
          <w14:textFill>
            <w14:solidFill>
              <w14:schemeClr w14:val="tx1"/>
            </w14:solidFill>
          </w14:textFill>
        </w:rPr>
      </w:pPr>
    </w:p>
    <w:tbl>
      <w:tblPr>
        <w:tblStyle w:val="18"/>
        <w:tblW w:w="6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6267" w:type="dxa"/>
            <w:shd w:val="clear" w:color="auto" w:fill="auto"/>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专栏9  农贸商业网点设施重点工程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6" w:hRule="atLeast"/>
          <w:jc w:val="center"/>
        </w:trPr>
        <w:tc>
          <w:tcPr>
            <w:tcW w:w="6267" w:type="dxa"/>
            <w:shd w:val="clear" w:color="auto" w:fill="auto"/>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1.龙山县城乡集贸市场项目：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华塘街道209国道旁市场占地约60亩，建设综合农贸市场、商铺，检测中心，地下批发中心及给排水、电力等配套；华塘街道岳麓大道旁市场占地约60亩，建设综合农贸市场、商铺，检测中心，地下批发中心及给排水、电力等配套；民安街道民安市场占地约20亩，建设综合农贸市场、商铺，检测中心，地下停车位及相关配套等；召市、石羔市场占地约10亩，建设门面、摊位、鱼池、坐凳、停车位等。</w:t>
            </w:r>
          </w:p>
          <w:p>
            <w:pPr>
              <w:pStyle w:val="3"/>
              <w:keepNext w:val="0"/>
              <w:keepLines w:val="0"/>
              <w:pageBreakBefore w:val="0"/>
              <w:widowControl w:val="0"/>
              <w:kinsoku/>
              <w:wordWrap/>
              <w:overflowPunct/>
              <w:topLinePunct w:val="0"/>
              <w:autoSpaceDE/>
              <w:autoSpaceDN/>
              <w:bidi w:val="0"/>
              <w:adjustRightInd/>
              <w:spacing w:line="320" w:lineRule="exact"/>
              <w:ind w:left="0"/>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2.龙山县城区老旧菜市场改造升级项目：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计划对原城区范围内民安街道城南、城北、西门垅菜市场进行改造升级;新建城东菜市场3000平方米及配套设施建设。</w:t>
            </w:r>
          </w:p>
        </w:tc>
      </w:tr>
    </w:tbl>
    <w:p>
      <w:pPr>
        <w:pStyle w:val="2"/>
        <w:rPr>
          <w:color w:val="000000" w:themeColor="text1"/>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完善便民社区服务网络。</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推进社区商业“双进工程”（便利服务进社区、便民服务进家庭），促进社区便民利民服务业发展。鼓励有条件的商业服务企业在社区服务站设点，开展“四上门”（送货上门、送餐上门、修理上门、回收废旧物品上门）服务，发展网上购物、网上服务，促进社区商业服务网络化、规范化、产业化。不断完善居民区的便民商业服务设施，增强商业网点服务功能，方便居民日常生活，基本满足社区居民生活需求。大力实施“社区蔬菜流通网络建设”工程，支持建设销地蔬菜等农产品生鲜配送中心，标准化菜市场以及蔬菜便民店，进一步完善社区蔬菜流通网络。加快发展社区医药、保健、洗染维修、代理服务、家政服务等新兴服务网点，努力培育和发展连锁化、品牌化、规范化的社区服务企业。加强早餐示范工程建设，完善食品安全监测系统、信息化管理系统、物流配送系统，逐步推广午餐配送，形成便民利民的城市大众化综合餐饮服务体系。建设功能强大的家政服务体系，促进社区家政服务业发展，以“信息发布、供需对接、咨询互动”三大功能为主要服务内容，引导建设龙山家政服务网络中心，提高其综合服务水平。鼓励发展家庭保洁、烹饪、保姆、老年人护理等多种类型的社区家政服务，重点扶持规模较大的家政服务企业进入社区，依托各社区服务中心，建立覆盖各社区的家政服务信息网络系统。加强培训，提升家政服务人员的整体素质和业务技能。到2025年，实现县乡家政服务标准化、便捷化、一体化，实现家政服务网络社区全覆盖。</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74" w:name="_Toc60048911"/>
      <w:bookmarkStart w:id="175" w:name="_Toc17401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积极发展金融服务业</w:t>
      </w:r>
      <w:bookmarkEnd w:id="174"/>
      <w:bookmarkEnd w:id="175"/>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进一步完善县域金融服务体系，积极引进金融机构在龙山设立分支机构。构建金融有效支持县域实体经济的体制和机制，引进州融资担保公司在龙山设立子公司，适时成立龙山县融资担保有限责任公司；畅通市场化利率传导机制，引导县域商业银行降低贷款利率水平，降低实体经济融资成本，有效缓解小微企业融资难、融资贵的困难。鼓励有条件的企业上市和发行企业债券，开拓企业直接融资渠道。配合国家产业政策、优化信贷结构、特别是发展绿色金融和服务乡村振兴，实现金融与实体经济的均衡发展。健全金融监管体系，提高金融监管透明度和法治化水平；健全金融风险预防、预警、处置、问责制度体系，对非法集资等违法犯罪行为“零容忍”；维护金融安全，守住不发生系统性金融风险底线。建立健全社会信用体系，打造“诚信龙山”，营造良好社会信用环境。到2025年，全县各项存款余额达330亿元，各项贷款余额280亿元。</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76" w:name="_Toc60048912"/>
      <w:bookmarkStart w:id="177" w:name="_Toc42112709"/>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78" w:name="_Toc562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促进电子商务繁荣发展</w:t>
      </w:r>
      <w:bookmarkEnd w:id="176"/>
      <w:bookmarkEnd w:id="177"/>
      <w:bookmarkEnd w:id="178"/>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建立和完善电子商务市场体系，基本形成技术先进、万商云集、功能齐全的电子商务市场格局。建立电子商务创新服务体系，建设龙山县电子商务服务中心，鼓励电子商务技术创新和模式创新，推动商业模式、商业业态创新。继续开展电商服务站建设工作，引入和支持电商企业和电商服务企业打造农村电子商务信息及交易网络平台，实现农村电子商务信息化服务和交易功能。扶持从事日用消费品、农业生产资料连锁经营和农产品流通的骨干企业、供销社、邮政和电商企业进入农村市场，支持商品配送中心、商场（超市）、农产品集配中心（批发市场）、乡镇商贸中心，农家店、邮政服务网店等实施信息化改造。支持开展农村电子商务培训，培训对象包括对相关政府部门、企业和农村经济组织、专业合作社和创业青年等。支持服务电商进农村的物流配送企业，建立完善的县、乡、村三级物流配送机制，加强农产品网销的配套设施建设。建立电商质量安全追溯体系，依托乡镇农产品检测站开展农产品质量抽样检测，加强电商产品监管。加强</w:t>
      </w:r>
      <w:r>
        <w:rPr>
          <w:rFonts w:hint="eastAsia" w:ascii="方正书宋简体" w:hAnsi="方正书宋简体" w:eastAsia="方正书宋简体" w:cs="方正书宋简体"/>
          <w:color w:val="000000" w:themeColor="text1"/>
          <w:sz w:val="24"/>
          <w:szCs w:val="24"/>
          <w:lang w:eastAsia="zh-CN"/>
          <w14:textFill>
            <w14:solidFill>
              <w14:schemeClr w14:val="tx1"/>
            </w14:solidFill>
          </w14:textFill>
        </w:rPr>
        <w:t>商务</w:t>
      </w:r>
      <w:r>
        <w:rPr>
          <w:rFonts w:hint="eastAsia" w:ascii="方正书宋简体" w:hAnsi="方正书宋简体" w:eastAsia="方正书宋简体" w:cs="方正书宋简体"/>
          <w:color w:val="000000" w:themeColor="text1"/>
          <w:sz w:val="24"/>
          <w:szCs w:val="24"/>
          <w14:textFill>
            <w14:solidFill>
              <w14:schemeClr w14:val="tx1"/>
            </w14:solidFill>
          </w14:textFill>
        </w:rPr>
        <w:t>与农业</w:t>
      </w:r>
      <w:r>
        <w:rPr>
          <w:rFonts w:hint="eastAsia" w:ascii="方正书宋简体" w:hAnsi="方正书宋简体" w:eastAsia="方正书宋简体" w:cs="方正书宋简体"/>
          <w:color w:val="000000" w:themeColor="text1"/>
          <w:sz w:val="24"/>
          <w:szCs w:val="24"/>
          <w:lang w:eastAsia="zh-CN"/>
          <w14:textFill>
            <w14:solidFill>
              <w14:schemeClr w14:val="tx1"/>
            </w14:solidFill>
          </w14:textFill>
        </w:rPr>
        <w:t>等</w:t>
      </w:r>
      <w:r>
        <w:rPr>
          <w:rFonts w:hint="eastAsia" w:ascii="方正书宋简体" w:hAnsi="方正书宋简体" w:eastAsia="方正书宋简体" w:cs="方正书宋简体"/>
          <w:color w:val="000000" w:themeColor="text1"/>
          <w:sz w:val="24"/>
          <w:szCs w:val="24"/>
          <w14:textFill>
            <w14:solidFill>
              <w14:schemeClr w14:val="tx1"/>
            </w14:solidFill>
          </w14:textFill>
        </w:rPr>
        <w:t>部门协调配合，加快冷链仓储物流设施建设，推动百合、橘橙等特色农产品建设区域性电子商务专区，开展生鲜农产品和农业生产资料电子商务试点，促进农业商品电子商务发展。为促进龙山县农村流通现代化，助推脱贫攻坚和乡村振兴，推动农村电子商务健康快速发展助力前行，打造“以农产品上行为主线，以电商扶贫为核心，以乡村振兴为目标”的龙山特色农村电商模式。</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79" w:name="_Toc60048913"/>
      <w:bookmarkStart w:id="180" w:name="_Toc2633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第五节  着力培育发展大健康服务业</w:t>
      </w:r>
      <w:bookmarkEnd w:id="179"/>
      <w:bookmarkEnd w:id="180"/>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依托龙山县中药材生产基地和生物制药产业链优势，打造龙山县大健康产业孵化基地，启动龙山县城、茨岩塘镇、苗儿滩镇、里耶镇康养中心建设，抓好以大健康产业为特色的中高端商贸服务业发展，搭建企业线上线下销售一体化平台；在全县生态旅游景区布局大健康产业消费商圈，充分挖掘健康医疗、健康养生养老等产业发展潜力，积极建设和申报国家康养旅游示范基地。</w:t>
      </w:r>
    </w:p>
    <w:tbl>
      <w:tblPr>
        <w:tblStyle w:val="18"/>
        <w:tblpPr w:leftFromText="180" w:rightFromText="180" w:vertAnchor="text" w:horzAnchor="page" w:tblpXSpec="center" w:tblpY="142"/>
        <w:tblOverlap w:val="never"/>
        <w:tblW w:w="6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26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专栏10  现代服务业建设工程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5" w:hRule="atLeast"/>
          <w:jc w:val="center"/>
        </w:trPr>
        <w:tc>
          <w:tcPr>
            <w:tcW w:w="6265" w:type="dxa"/>
            <w:shd w:val="clear" w:color="auto" w:fill="FFFFFF"/>
          </w:tcPr>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1.龙山县高铁新区整体开发项目：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建设住宅面积100000平方米，商业综合体80000平方米，地下停车场40000平方米，配套相关基础设施工程.</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2.龙山县电子商务服务中心项目：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占地约1500亩，建设集会展交易、企业孵化、物流配送、冷链仓储、产业服务、博览旅游、综合配套、住宅等多功能、现代化的商业广场。</w:t>
            </w:r>
          </w:p>
          <w:p>
            <w:pPr>
              <w:keepNext w:val="0"/>
              <w:keepLines w:val="0"/>
              <w:pageBreakBefore w:val="0"/>
              <w:widowControl w:val="0"/>
              <w:kinsoku/>
              <w:wordWrap/>
              <w:overflowPunct/>
              <w:topLinePunct w:val="0"/>
              <w:autoSpaceDE/>
              <w:autoSpaceDN/>
              <w:bidi w:val="0"/>
              <w:adjustRightInd/>
              <w:snapToGrid w:val="0"/>
              <w:spacing w:line="32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3.龙山县高端商务酒店项目：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红星美凯龙、诚信广场、民族宾馆、里耶1号、迁陵宫等5家四星级酒店，新引进五星级酒店2家（县城1家、里耶1家），新增加床位2000个以上；提质改造苗儿滩镇惹巴拉黎明至六合高档民宿群，日接待能力达500人以上。</w:t>
            </w:r>
          </w:p>
        </w:tc>
      </w:tr>
    </w:tbl>
    <w:p>
      <w:pPr>
        <w:pStyle w:val="2"/>
      </w:pPr>
    </w:p>
    <w:p>
      <w:pPr>
        <w:keepNext/>
        <w:keepLines/>
        <w:pageBreakBefore w:val="0"/>
        <w:widowControl w:val="0"/>
        <w:kinsoku/>
        <w:wordWrap/>
        <w:overflowPunct/>
        <w:topLinePunct w:val="0"/>
        <w:autoSpaceDE/>
        <w:autoSpaceDN/>
        <w:bidi w:val="0"/>
        <w:adjustRightInd w:val="0"/>
        <w:snapToGrid w:val="0"/>
        <w:spacing w:line="420" w:lineRule="exact"/>
        <w:jc w:val="both"/>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81" w:name="_Toc60048914"/>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82" w:name="_Toc25087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第六节  推动信息化建设与应用</w:t>
      </w:r>
      <w:bookmarkEnd w:id="181"/>
      <w:bookmarkEnd w:id="182"/>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数字龙山建设取得显著成效，5G技术基础设施基本形成，互联网城域出口带宽达到2000G以上，互联网宽带接入实现城区300M入户、乡镇50M入户，接入率达到98%以上；无线宽带网络覆盖率达到99%以上，全县有线电视双向数字化率达100%，城镇、行政村5G信号覆盖率达到100%。</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183" w:name="_Toc49089538"/>
      <w:bookmarkStart w:id="184" w:name="_Toc58274594"/>
      <w:r>
        <w:rPr>
          <w:rFonts w:hint="eastAsia" w:ascii="楷体" w:hAnsi="楷体" w:eastAsia="楷体" w:cs="楷体"/>
          <w:b/>
          <w:bCs/>
          <w:color w:val="000000" w:themeColor="text1"/>
          <w:sz w:val="24"/>
          <w:szCs w:val="24"/>
          <w14:textFill>
            <w14:solidFill>
              <w14:schemeClr w14:val="tx1"/>
            </w14:solidFill>
          </w14:textFill>
        </w:rPr>
        <w:t>实施“宽带龙山”战略</w:t>
      </w:r>
      <w:bookmarkEnd w:id="183"/>
      <w:bookmarkEnd w:id="184"/>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建设高水平光纤网络。加快新一代互联网布局，完善以“县城为中心、各乡镇为节点”的骨干光纤网络布局；推进“千兆光纤进楼宇、百兆光纤进家庭”行动，全县打造15个以上千兆光纤入户示范小区，重点将县城、里耶城区打造为千兆光网城市。到2025年，全县固定宽带家庭普及率达到95%，自然村光纤通达率100%。</w:t>
      </w:r>
      <w:bookmarkStart w:id="185" w:name="_Toc58274595"/>
      <w:bookmarkStart w:id="186" w:name="_Toc49089539"/>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推进5G信息建设</w:t>
      </w:r>
      <w:bookmarkEnd w:id="185"/>
      <w:bookmarkEnd w:id="186"/>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以“5G通信”战略为引领，加快5G通信基础设施布局，推动新型智慧城市建设，实现4G网络县域全覆盖和5G网络县城乡镇覆盖；推进高速公路、高铁等沿线5G网络建设，实现高速公路重要服务区、旅游景点5G网络覆盖；加快5G通信基站建设，依托全县市政道路、铁路、视频杆、路灯杆、公交站点等公用设施，提前储备5G站址资源；力争实现发达乡镇及重点景区实现5G商用网络全覆盖。</w:t>
      </w:r>
      <w:bookmarkStart w:id="187" w:name="_Toc58274596"/>
    </w:p>
    <w:bookmarkEnd w:id="187"/>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全面推进智慧龙山建设。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立足于“新型基础设施建设”，加快推进智慧龙山大数据平台项目和物联网基础设施建设，到2025年，基本完成大数据共享应用、政府治理智慧化、社会服务智慧化、产业智慧化、智慧产业化、基础设施智能化、数据安全规范化等7大提升行动。健全国土空间规划信息平台。提升国土空间大数据集成能力、规划编制智能分析能力、监测评估精准能力，强化规划实施管控，构建完善的监测预警指标体系和实施评估模型体系，全面提升空间治理体系和治理能力现代化水平。</w:t>
      </w:r>
    </w:p>
    <w:tbl>
      <w:tblPr>
        <w:tblStyle w:val="18"/>
        <w:tblpPr w:leftFromText="180" w:rightFromText="180" w:vertAnchor="text" w:horzAnchor="page" w:tblpX="1236" w:tblpY="99"/>
        <w:tblOverlap w:val="never"/>
        <w:tblW w:w="6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6100" w:type="dxa"/>
            <w:tcBorders>
              <w:bottom w:val="single" w:color="auto" w:sz="4" w:space="0"/>
            </w:tcBorders>
            <w:vAlign w:val="center"/>
          </w:tcPr>
          <w:p>
            <w:pPr>
              <w:snapToGrid w:val="0"/>
              <w:jc w:val="center"/>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专栏11  “智慧龙山”大数据平台建设工程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9" w:hRule="atLeast"/>
          <w:jc w:val="center"/>
        </w:trPr>
        <w:tc>
          <w:tcPr>
            <w:tcW w:w="6100" w:type="dxa"/>
            <w:shd w:val="clear" w:color="auto" w:fill="FFFFFF"/>
          </w:tcPr>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1.市民之家建设项目：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县市民之家主体工程四层、局部三层，县综合档案馆五层。总建筑面积为31904㎡，市民之家面积为16265㎡。档案馆面积为4940㎡，地下室面积为10697㎡。建设停车位290个；配套道路、电力、通信、消防、管网及绿化亮化工程建设，计划投资2.1853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2.中心机房建设：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（1）网络资源建设；（2）计算存储资源建设；（3）云安全体系建设；（4）云管理平台建设；（5）机房及配套资源建设，投资0.5亿元。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3.城市运营管理中心建设：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（1）城市运营数据系统；（2）决策分析系统；（3）城市运营展示系统；（4）结算分析系统；（5）资源权限控制；（6）应急指挥中心；（7）指挥大厅多媒体系统部署；（8）一体化运维平台，计划投资0.3亿元。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4.公共信息平台建设：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（1）数据资源管理子系统（2）数据中心建设（含人口、法人、地理信息三大基础库及主题库）（3）公共信息服务门户，计划投资0.2亿元。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5.联网管控平台:</w:t>
            </w:r>
            <w:r>
              <w:rPr>
                <w:rFonts w:hint="eastAsia" w:asciiTheme="minorEastAsia" w:hAnsiTheme="minorEastAsia" w:eastAsiaTheme="minorEastAsia" w:cstheme="minorEastAsia"/>
                <w:color w:val="000000" w:themeColor="text1"/>
                <w:sz w:val="18"/>
                <w:szCs w:val="18"/>
                <w14:textFill>
                  <w14:solidFill>
                    <w14:schemeClr w14:val="tx1"/>
                  </w14:solidFill>
                </w14:textFill>
              </w:rPr>
              <w:t>（1）中心管理子系统；（2）联网平台子系统；（3）应用网关子系统；（4）视频数据转发子系统；（5）视频数据存储子系统；（6）数据展示子系统；（7）大数据分析子系统，计划投资0.2亿元。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6.基础设施：</w:t>
            </w:r>
            <w:r>
              <w:rPr>
                <w:rFonts w:hint="eastAsia" w:asciiTheme="minorEastAsia" w:hAnsiTheme="minorEastAsia" w:eastAsiaTheme="minorEastAsia" w:cstheme="minorEastAsia"/>
                <w:color w:val="000000" w:themeColor="text1"/>
                <w:sz w:val="18"/>
                <w:szCs w:val="18"/>
                <w14:textFill>
                  <w14:solidFill>
                    <w14:schemeClr w14:val="tx1"/>
                  </w14:solidFill>
                </w14:textFill>
              </w:rPr>
              <w:t>（1）电子政务外网链路建设（2）传输专线链路建设（3）视频专网链路建设（4）无线网接入链路建设（5）链路互联互通共享（投资0.09亿元）。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7.智慧农业：</w:t>
            </w:r>
            <w:r>
              <w:rPr>
                <w:rFonts w:hint="eastAsia" w:asciiTheme="minorEastAsia" w:hAnsiTheme="minorEastAsia" w:eastAsiaTheme="minorEastAsia" w:cstheme="minorEastAsia"/>
                <w:color w:val="000000" w:themeColor="text1"/>
                <w:sz w:val="18"/>
                <w:szCs w:val="18"/>
                <w14:textFill>
                  <w14:solidFill>
                    <w14:schemeClr w14:val="tx1"/>
                  </w14:solidFill>
                </w14:textFill>
              </w:rPr>
              <w:t>（1）龙山县互联网+智慧农业平台项目。智慧农业大数据平台建设、中心建设；建设种养殖环境监控、疫病害监控；农产品溯源管理系统；农产品网上商城；物流管理系统；基点数据采集站建设，计划投资1.5亿元；（2）龙山县现代农业社会化综合服务提升项目。完善农技推广、动植物疫病防控等公益性服务体系；支持社会具备资质的经营性服务组织从事农业公益性服务；扶持专业机构进行病虫害统防统治、农机作业，农资供应产业营销等社会化服务组织，建立“订单式”“套餐式”社会化服务模式，计划投资2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8.智慧交运：</w:t>
            </w:r>
            <w:r>
              <w:rPr>
                <w:rFonts w:hint="eastAsia" w:asciiTheme="minorEastAsia" w:hAnsiTheme="minorEastAsia" w:eastAsiaTheme="minorEastAsia" w:cstheme="minorEastAsia"/>
                <w:color w:val="000000" w:themeColor="text1"/>
                <w:sz w:val="18"/>
                <w:szCs w:val="18"/>
                <w14:textFill>
                  <w14:solidFill>
                    <w14:schemeClr w14:val="tx1"/>
                  </w14:solidFill>
                </w14:textFill>
              </w:rPr>
              <w:t>龙山县交通运输监控指挥中心。建设县级交通运输监控调度指挥平台，含路政治超、道路运输、渡口码头、桥梁隧道、工程建设监控、路况信息发布及附属设施，计划投资3亿元。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9.智慧环保：</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建设环保智能信息化中心，建设智能化信息管理用房3000平方，对县域环境敏感区域配套自动监控设施，实现联网对接，计划投资0.5亿元。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10.智慧城管：核心应用系统建设：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按照国家标准及省厅统一标准建设指挥中心、无线数据采集子模块、监督中心受理子模块、协同工作子模块、监督指挥子模块、综合评价子模块、基础数据资源管理子模块、应用维护子模块、地理编码子模块、数据交换子模块九大核心应用系统。</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龙山智慧城市综合管控系统平台建设：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基于龙山城市综合管控需求实现车辆业务管理、户外广告管理、视频资源管理、综合执法管理、环卫监督管理、移动处置管理、执法督察管理、领导督办管理、指挥调度管理、城市专项检查、知识库管理、智能路灯监管、人员管理等功能。基于大数据应用分析实现热点分析管理、决策分析管理、数据展示及发布。基于业务数据交互需求实现视频联网数据交互接口、业务短信接口、地理信息数据交互接口、GPS数据交互接口、通讯交换平台、与县门户网站数据交互、网格化社会服务管理信息平台、省级智慧城管系统以及与交警业务数据交互接口（获取行车道、人行道数据）、接入网格化视频数据接口（获取渣土运输车数据）进行数据接口对接，实现数据资源共享。</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龙山智慧城管手机APP建设：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依托龙山智慧城市手机APP建设智慧城管手机APP板块实现停车场数据查询、法律法规公示、公共厕所查询、举报投诉、特种车辆入城报备、户外广告设置、建筑工地备案、装修装饰申请、政务审批公示、车辆违停处理等功能。</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硬件建设：</w:t>
            </w:r>
            <w:r>
              <w:rPr>
                <w:rFonts w:hint="eastAsia" w:asciiTheme="minorEastAsia" w:hAnsiTheme="minorEastAsia" w:eastAsiaTheme="minorEastAsia" w:cstheme="minorEastAsia"/>
                <w:color w:val="000000" w:themeColor="text1"/>
                <w:sz w:val="18"/>
                <w:szCs w:val="18"/>
                <w14:textFill>
                  <w14:solidFill>
                    <w14:schemeClr w14:val="tx1"/>
                  </w14:solidFill>
                </w14:textFill>
              </w:rPr>
              <w:t>需新购置执法工具车12辆，加上现有的执法工具车共计30辆全部安装GPS定位设备，共需车辆GPS定位终端30套；城区32个环卫人员配备定位、打卡、语音调度于一体的监管设备，共需32套；城区垃圾场站入口、过磅房、值班室、办公室各安装1路视频监控、4个垃圾中转站和城区8个公共厕所外围各安装1路视频监控，共需安装视频监控16路(含NVR、硬盘及立杆)；执法记录仪100台以及手持及时通讯对讲终端50台；RFID终端：无源RIFD标签300套 、有源RFID标签 100 套、超高频远距离手持终端3套、车载RFID读卡器5套以及RFID读写器1套。</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11.智慧应急：</w:t>
            </w:r>
            <w:r>
              <w:rPr>
                <w:rFonts w:hint="eastAsia" w:asciiTheme="minorEastAsia" w:hAnsiTheme="minorEastAsia" w:eastAsiaTheme="minorEastAsia" w:cstheme="minorEastAsia"/>
                <w:color w:val="000000" w:themeColor="text1"/>
                <w:sz w:val="18"/>
                <w:szCs w:val="18"/>
                <w14:textFill>
                  <w14:solidFill>
                    <w14:schemeClr w14:val="tx1"/>
                  </w14:solidFill>
                </w14:textFill>
              </w:rPr>
              <w:t>①龙山县应急救援综合指挥平台。集会议、监控、指挥为一体，包括企业信息管理、专家库维护、应急物资管理、重大危险源管理、应急预案管理、应急值班、应急通讯录、应急知识库、综合统计分析、大数据监管预警等功能，计划投资0.12亿元。②森林防火体系建设项目。包括业务用房、辅助用房、防火林带200公里、防火监测点14个、预警监测系统、森林防火通信与信息指挥系统、林火隔离系统、应急灭火队伍建设、防灭火设备等，计划投资1.6亿元。③龙山县应急抢险指挥中心建设工程项目：建设综合应急抢险救援服务中心业务用房1栋，约2000平方米。包括防汛、抗灾、防火等各类综合应急救援业务用房及信息化建设，核心服务器、应急通信网络、应急指挥车8台等配套设备及相关附属设施。计划投资1.2亿元。</w:t>
            </w:r>
            <w:r>
              <w:rPr>
                <w:rFonts w:hint="eastAsia" w:asciiTheme="minorEastAsia" w:hAnsiTheme="minorEastAsia" w:eastAsiaTheme="minorEastAsia" w:cstheme="minorEastAsia"/>
                <w:color w:val="000000" w:themeColor="text1"/>
                <w:sz w:val="18"/>
                <w:szCs w:val="18"/>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18"/>
                <w:szCs w:val="18"/>
                <w14:textFill>
                  <w14:solidFill>
                    <w14:schemeClr w14:val="tx1"/>
                  </w14:solidFill>
                </w14:textFill>
              </w:rPr>
              <w:instrText xml:space="preserve"> eq \o\ac(</w:instrText>
            </w:r>
            <w:r>
              <w:rPr>
                <w:rFonts w:hint="eastAsia" w:asciiTheme="minorEastAsia" w:hAnsiTheme="minorEastAsia" w:eastAsiaTheme="minorEastAsia" w:cstheme="minorEastAsia"/>
                <w:color w:val="000000" w:themeColor="text1"/>
                <w:position w:val="-3"/>
                <w:sz w:val="27"/>
                <w:szCs w:val="18"/>
                <w14:textFill>
                  <w14:solidFill>
                    <w14:schemeClr w14:val="tx1"/>
                  </w14:solidFill>
                </w14:textFill>
              </w:rPr>
              <w:instrText xml:space="preserve">○</w:instrText>
            </w:r>
            <w:r>
              <w:rPr>
                <w:rFonts w:hint="eastAsia" w:asciiTheme="minorEastAsia" w:hAnsiTheme="minorEastAsia" w:eastAsiaTheme="minorEastAsia" w:cstheme="minorEastAsia"/>
                <w:color w:val="000000" w:themeColor="text1"/>
                <w:position w:val="0"/>
                <w:sz w:val="18"/>
                <w:szCs w:val="18"/>
                <w14:textFill>
                  <w14:solidFill>
                    <w14:schemeClr w14:val="tx1"/>
                  </w14:solidFill>
                </w14:textFill>
              </w:rPr>
              <w:instrText xml:space="preserve">,4)</w:instrText>
            </w:r>
            <w:r>
              <w:rPr>
                <w:rFonts w:hint="eastAsia" w:asciiTheme="minorEastAsia" w:hAnsiTheme="minorEastAsia" w:eastAsiaTheme="minorEastAsia" w:cstheme="minorEastAsia"/>
                <w:color w:val="000000" w:themeColor="text1"/>
                <w:sz w:val="18"/>
                <w:szCs w:val="18"/>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18"/>
                <w:szCs w:val="18"/>
                <w14:textFill>
                  <w14:solidFill>
                    <w14:schemeClr w14:val="tx1"/>
                  </w14:solidFill>
                </w14:textFill>
              </w:rPr>
              <w:t>龙山基层应急管理能力建设：整个项目按全县21 个乡镇（街道）组建30-50人的应急队伍、397 个村（社区）组建10-20人的应急小分队。21 个乡镇（街道）配置远程移动指挥平台、无人机、移动通信基站、移动电源、消防车等应急装备，397 个村（社区）配备应急预警设备；按照“平战结合”思想，定期开展应急演练。应急队伍训练按相关规定补贴。计划投资0.6亿元。以上项目共计划投资3.52亿元。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12.智慧人社：</w:t>
            </w:r>
            <w:r>
              <w:rPr>
                <w:rFonts w:hint="eastAsia" w:asciiTheme="minorEastAsia" w:hAnsiTheme="minorEastAsia" w:eastAsiaTheme="minorEastAsia" w:cstheme="minorEastAsia"/>
                <w:color w:val="000000" w:themeColor="text1"/>
                <w:sz w:val="18"/>
                <w:szCs w:val="18"/>
                <w14:textFill>
                  <w14:solidFill>
                    <w14:schemeClr w14:val="tx1"/>
                  </w14:solidFill>
                </w14:textFill>
              </w:rPr>
              <w:t>搭建全县人社公共服务平台，人社专网向电子政务整合，推广电子社保卡应用，提供线上线下综合服务平台，业务系统迁移州、县大数据平台；辐射乡镇村社区，计划投资0.8亿元。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13.智慧社区（乡村）：</w:t>
            </w:r>
            <w:r>
              <w:rPr>
                <w:rFonts w:hint="eastAsia" w:asciiTheme="minorEastAsia" w:hAnsiTheme="minorEastAsia" w:eastAsiaTheme="minorEastAsia" w:cstheme="minorEastAsia"/>
                <w:color w:val="000000" w:themeColor="text1"/>
                <w:sz w:val="18"/>
                <w:szCs w:val="18"/>
                <w14:textFill>
                  <w14:solidFill>
                    <w14:schemeClr w14:val="tx1"/>
                  </w14:solidFill>
                </w14:textFill>
              </w:rPr>
              <w:t>（1）智慧管理，包括智慧门禁、治安管理、智慧消防、智慧节能；（2）智慧服务，包括智慧家政、智慧配送及居家服务等。计划投资0.8亿元。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14.智慧教育（教育信息化）：</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建设千兆教育城域网、大数据资源中心、智慧校园、校园监控，计划投资1.3亿元。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15.智慧旅游：</w:t>
            </w:r>
            <w:r>
              <w:rPr>
                <w:rFonts w:hint="eastAsia" w:asciiTheme="minorEastAsia" w:hAnsiTheme="minorEastAsia" w:eastAsiaTheme="minorEastAsia" w:cstheme="minorEastAsia"/>
                <w:color w:val="000000" w:themeColor="text1"/>
                <w:sz w:val="18"/>
                <w:szCs w:val="18"/>
                <w14:textFill>
                  <w14:solidFill>
                    <w14:schemeClr w14:val="tx1"/>
                  </w14:solidFill>
                </w14:textFill>
              </w:rPr>
              <w:t>（1）智慧旅游综合管理平台；（2）增强现实系统；（3）数字虚拟景区系统；（4）景区视频数据采集系统，投资0.3亿元。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16.智慧气象：</w:t>
            </w:r>
            <w:r>
              <w:rPr>
                <w:rFonts w:hint="eastAsia" w:asciiTheme="minorEastAsia" w:hAnsiTheme="minorEastAsia" w:eastAsiaTheme="minorEastAsia" w:cstheme="minorEastAsia"/>
                <w:color w:val="000000" w:themeColor="text1"/>
                <w:sz w:val="18"/>
                <w:szCs w:val="18"/>
                <w14:textFill>
                  <w14:solidFill>
                    <w14:schemeClr w14:val="tx1"/>
                  </w14:solidFill>
                </w14:textFill>
              </w:rPr>
              <w:t>①龙山县山洪地质灾害防御气象保障工程。县级山洪灾害气象预警分中心建设，气象通信网络系统，气象信息处理和共享平台，无缝隙精细化天气预报业务系统；②龙山县交通旅游气象服务保障工程。建设交通旅游气象服务系统。在我县高速公路、国省道、旅游专线沿线，主要旅游景区安装交通旅游气象监测站5套和气象灾害预警接收设施10套；③龙山县生态环境气象保障工程。生态环境气象监测网络和评价系统；④龙山县气象台站建设工程：龙山国家气象观测站台站搬迁及综合改造；⑤龙山县山地防雹示范基地。县级人影作业指挥分中心、山地防雹基地专项监探测设备及业务配套基础设施，开发人工影响天气作业决策指挥系统，计划投资0.32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17.智慧公安：</w:t>
            </w:r>
            <w:r>
              <w:rPr>
                <w:rFonts w:hint="eastAsia" w:asciiTheme="minorEastAsia" w:hAnsiTheme="minorEastAsia" w:eastAsiaTheme="minorEastAsia" w:cstheme="minorEastAsia"/>
                <w:color w:val="000000" w:themeColor="text1"/>
                <w:sz w:val="18"/>
                <w:szCs w:val="18"/>
                <w14:textFill>
                  <w14:solidFill>
                    <w14:schemeClr w14:val="tx1"/>
                  </w14:solidFill>
                </w14:textFill>
              </w:rPr>
              <w:t>公安机房及2000个前端摄像头升级改造、警用无人机1台、反恐防爆车1台、城市快警平台车3台、乡镇人像抓拍系统100个、视频综合应用平台建设、雪亮工程1000个摄像头、社会视频资源整合接入、道路监管云、电子抓拍200个、红绿灯30套，计划总投资5800万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18.智慧水务：</w:t>
            </w:r>
            <w:r>
              <w:rPr>
                <w:rFonts w:hint="eastAsia" w:asciiTheme="minorEastAsia" w:hAnsiTheme="minorEastAsia" w:eastAsiaTheme="minorEastAsia" w:cstheme="minorEastAsia"/>
                <w:color w:val="000000" w:themeColor="text1"/>
                <w:sz w:val="18"/>
                <w:szCs w:val="18"/>
                <w14:textFill>
                  <w14:solidFill>
                    <w14:schemeClr w14:val="tx1"/>
                  </w14:solidFill>
                </w14:textFill>
              </w:rPr>
              <w:t>县级防汛抗旱指挥平台、乡镇指挥系统、村级山洪灾害防治监测预警体系并与山洪灾害监测预警系统平台联网；小（1）型以上水库信息化建设，计划投资0.8亿元。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19.智慧司法：“数字法治.智慧司法”项目。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建成司法数据资源平台、共享服务平台，基本实现“大平台共享、大系统共治、大数据慧治”的“数字法治、智慧司法”信息化建设目标，计划投资约800万元。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20.我的龙山——城市APP:</w:t>
            </w:r>
            <w:r>
              <w:rPr>
                <w:rFonts w:hint="eastAsia" w:asciiTheme="minorEastAsia" w:hAnsiTheme="minorEastAsia" w:eastAsiaTheme="minorEastAsia" w:cstheme="minorEastAsia"/>
                <w:color w:val="000000" w:themeColor="text1"/>
                <w:sz w:val="18"/>
                <w:szCs w:val="18"/>
                <w14:textFill>
                  <w14:solidFill>
                    <w14:schemeClr w14:val="tx1"/>
                  </w14:solidFill>
                </w14:textFill>
              </w:rPr>
              <w:t>（1）城市APP；（2）微信公众号。计划投资0.09亿元。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21.智慧政务：</w:t>
            </w:r>
            <w:r>
              <w:rPr>
                <w:rFonts w:hint="eastAsia" w:asciiTheme="minorEastAsia" w:hAnsiTheme="minorEastAsia" w:eastAsiaTheme="minorEastAsia" w:cstheme="minorEastAsia"/>
                <w:color w:val="000000" w:themeColor="text1"/>
                <w:sz w:val="18"/>
                <w:szCs w:val="18"/>
                <w14:textFill>
                  <w14:solidFill>
                    <w14:schemeClr w14:val="tx1"/>
                  </w14:solidFill>
                </w14:textFill>
              </w:rPr>
              <w:t>一是建立基层政务服务标准体系，建立标准乡镇（街道）智慧便民服务中心、村（社区）智慧党群服务中心；二是送取件智慧服务体系，计划投资0.9亿元。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22.智慧商务:</w:t>
            </w:r>
            <w:r>
              <w:rPr>
                <w:rFonts w:hint="eastAsia" w:asciiTheme="minorEastAsia" w:hAnsiTheme="minorEastAsia" w:eastAsiaTheme="minorEastAsia" w:cstheme="minorEastAsia"/>
                <w:color w:val="000000" w:themeColor="text1"/>
                <w:sz w:val="18"/>
                <w:szCs w:val="18"/>
                <w14:textFill>
                  <w14:solidFill>
                    <w14:schemeClr w14:val="tx1"/>
                  </w14:solidFill>
                </w14:textFill>
              </w:rPr>
              <w:t>（1）电子商务综合服务门户（2）电子商务综合服务管理平台（3）电子商务统一业务支撑平台。计划投资0.05亿元。</w:t>
            </w:r>
          </w:p>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Theme="minorEastAsia" w:hAnsiTheme="minorEastAsia" w:eastAsiaTheme="minorEastAsia" w:cstheme="minorEastAsia"/>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23.智慧医疗：</w:t>
            </w:r>
            <w:r>
              <w:rPr>
                <w:rFonts w:hint="eastAsia" w:asciiTheme="minorEastAsia" w:hAnsiTheme="minorEastAsia" w:eastAsiaTheme="minorEastAsia" w:cstheme="minorEastAsia"/>
                <w:color w:val="000000" w:themeColor="text1"/>
                <w:sz w:val="18"/>
                <w:szCs w:val="18"/>
                <w14:textFill>
                  <w14:solidFill>
                    <w14:schemeClr w14:val="tx1"/>
                  </w14:solidFill>
                </w14:textFill>
              </w:rPr>
              <w:t>（1）便民惠民服务类11个子系统（2）高效管理服务类6个子系统（3）龙山县卫计局区域人口健康信息平台（4）接口服务建设。计划投资0.2亿元。</w:t>
            </w:r>
          </w:p>
        </w:tc>
      </w:tr>
    </w:tbl>
    <w:p>
      <w:pPr>
        <w:pStyle w:val="2"/>
      </w:pPr>
    </w:p>
    <w:p>
      <w:pPr>
        <w:widowControl/>
        <w:jc w:val="left"/>
        <w:rPr>
          <w:rFonts w:ascii="黑体" w:hAnsi="黑体" w:eastAsia="黑体" w:cs="Times New Roman"/>
          <w:b/>
          <w:bCs/>
          <w:color w:val="000000" w:themeColor="text1"/>
          <w:kern w:val="44"/>
          <w:sz w:val="32"/>
          <w:szCs w:val="32"/>
          <w14:textFill>
            <w14:solidFill>
              <w14:schemeClr w14:val="tx1"/>
            </w14:solidFill>
          </w14:textFill>
        </w:rPr>
      </w:pPr>
      <w:r>
        <w:rPr>
          <w:rFonts w:ascii="黑体" w:hAnsi="黑体" w:eastAsia="黑体" w:cs="Times New Roman"/>
          <w:b/>
          <w:bCs/>
          <w:color w:val="000000" w:themeColor="text1"/>
          <w:kern w:val="44"/>
          <w:sz w:val="32"/>
          <w:szCs w:val="32"/>
          <w14:textFill>
            <w14:solidFill>
              <w14:schemeClr w14:val="tx1"/>
            </w14:solidFill>
          </w14:textFill>
        </w:rPr>
        <w:br w:type="page"/>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88" w:name="_Toc17518_WPSOffice_Level2"/>
      <w:bookmarkStart w:id="189" w:name="_Toc60048915"/>
      <w:r>
        <w:rPr>
          <w:rFonts w:hint="eastAsia" w:ascii="黑体" w:hAnsi="黑体" w:eastAsia="黑体" w:cs="黑体"/>
          <w:b w:val="0"/>
          <w:bCs w:val="0"/>
          <w:color w:val="000000" w:themeColor="text1"/>
          <w:w w:val="100"/>
          <w:sz w:val="30"/>
          <w:szCs w:val="30"/>
          <w14:textFill>
            <w14:solidFill>
              <w14:schemeClr w14:val="tx1"/>
            </w14:solidFill>
          </w14:textFill>
        </w:rPr>
        <w:t>第十二章  加速推进新型城镇化，塑造</w:t>
      </w:r>
      <w:bookmarkEnd w:id="188"/>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190" w:name="_Toc31310_WPSOffice_Level2"/>
      <w:bookmarkStart w:id="191" w:name="_Toc3640_WPSOffice_Level2"/>
      <w:r>
        <w:rPr>
          <w:rFonts w:hint="eastAsia" w:ascii="黑体" w:hAnsi="黑体" w:eastAsia="黑体" w:cs="黑体"/>
          <w:b w:val="0"/>
          <w:bCs w:val="0"/>
          <w:color w:val="000000" w:themeColor="text1"/>
          <w:w w:val="100"/>
          <w:sz w:val="30"/>
          <w:szCs w:val="30"/>
          <w14:textFill>
            <w14:solidFill>
              <w14:schemeClr w14:val="tx1"/>
            </w14:solidFill>
          </w14:textFill>
        </w:rPr>
        <w:t>区域协调发展新格局</w:t>
      </w:r>
      <w:bookmarkEnd w:id="189"/>
      <w:bookmarkEnd w:id="190"/>
      <w:bookmarkEnd w:id="191"/>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504"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t>加速推进城乡融合发展，实施新型城镇化“1711”行动</w:t>
      </w:r>
      <w:r>
        <w:rPr>
          <w:rStyle w:val="16"/>
          <w:rFonts w:hint="eastAsia" w:ascii="方正书宋简体" w:hAnsi="方正书宋简体" w:eastAsia="方正书宋简体" w:cs="方正书宋简体"/>
          <w:color w:val="000000" w:themeColor="text1"/>
          <w:sz w:val="24"/>
          <w:szCs w:val="24"/>
          <w14:textFill>
            <w14:solidFill>
              <w14:schemeClr w14:val="tx1"/>
            </w14:solidFill>
          </w14:textFill>
        </w:rPr>
        <w:endnoteReference w:id="8"/>
      </w:r>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，到2025年，县城建成区面积达到25平方公里，城区常住人口达到25万人，城镇化率达57%左右，建成湘西北重要窗口城市和渝长厦通道经济发展带节点城市。</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192" w:name="_Toc60048918"/>
    </w:p>
    <w:p>
      <w:pPr>
        <w:pageBreakBefore w:val="0"/>
        <w:widowControl w:val="0"/>
        <w:kinsoku/>
        <w:wordWrap/>
        <w:overflowPunct/>
        <w:topLinePunct w:val="0"/>
        <w:autoSpaceDE/>
        <w:autoSpaceDN/>
        <w:bidi w:val="0"/>
        <w:spacing w:line="420" w:lineRule="exact"/>
        <w:ind w:firstLine="600" w:firstLineChars="200"/>
        <w:textAlignment w:val="auto"/>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93" w:name="_Toc8086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w:t>
      </w:r>
      <w:r>
        <w:rPr>
          <w:rFonts w:hint="eastAsia" w:ascii="方正书宋简体" w:hAnsi="方正书宋简体" w:eastAsia="方正书宋简体" w:cs="方正书宋简体"/>
          <w:color w:val="000000" w:themeColor="text1"/>
          <w:sz w:val="30"/>
          <w:szCs w:val="30"/>
          <w14:textFill>
            <w14:solidFill>
              <w14:schemeClr w14:val="tx1"/>
            </w14:solidFill>
          </w14:textFill>
        </w:rPr>
        <w:t xml:space="preserve">节  </w:t>
      </w:r>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推进以人为核心的新型城镇化</w:t>
      </w:r>
      <w:bookmarkEnd w:id="192"/>
      <w:bookmarkEnd w:id="193"/>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坚持新发展理念，完善新型城镇化战略，大力推进以人为核心的新型城镇化，适应经济高质量发展的空间需求。塑造多元、开放、高效、优质的新型城镇化空间布局，努力建设好让人民满意的高质量城市。</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194" w:name="_Toc58274639"/>
      <w:r>
        <w:rPr>
          <w:rFonts w:hint="eastAsia" w:ascii="楷体" w:hAnsi="楷体" w:eastAsia="楷体" w:cs="楷体"/>
          <w:b/>
          <w:bCs/>
          <w:color w:val="000000" w:themeColor="text1"/>
          <w:sz w:val="24"/>
          <w:szCs w:val="24"/>
          <w14:textFill>
            <w14:solidFill>
              <w14:schemeClr w14:val="tx1"/>
            </w14:solidFill>
          </w14:textFill>
        </w:rPr>
        <w:t>优化城镇空间</w:t>
      </w:r>
      <w:bookmarkEnd w:id="194"/>
      <w:r>
        <w:rPr>
          <w:rFonts w:hint="eastAsia" w:ascii="楷体" w:hAnsi="楷体" w:eastAsia="楷体" w:cs="楷体"/>
          <w:b/>
          <w:bCs/>
          <w:color w:val="000000" w:themeColor="text1"/>
          <w:sz w:val="24"/>
          <w:szCs w:val="24"/>
          <w14:textFill>
            <w14:solidFill>
              <w14:schemeClr w14:val="tx1"/>
            </w14:solidFill>
          </w14:textFill>
        </w:rPr>
        <w:t>格局。</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民族特色、山区特点、时代特征“三特”融合和宜居、宜业、宜游、宜养“四宜”定位，围绕提高城镇化质量，构建科学合理的城镇空间格局，与县域经济发展和产业布局紧密衔接，与资源环境承载能力相适应，有序推进农业转移人口市民化，把生态文明理念全面融入城镇化全过程，走集约、智能、绿色、低碳的新型城镇化道路。站在全国、全省的高度谋划和抓好各项工作，主动对接省委“一核两副三带四区”战略布局，积极融入“渝长厦经济带”和“湘西板块”，推动新型城镇化“1711”行动，即以建成湘西北重要窗口城市为目标，推动落实空间优化、基础设施建设、公共服务保障、住房保障、产城融合、风貌塑造、治理创新等城市建设“七大任务”，同时，加快建设县城高铁新城、华塘新城，以茨岩塘镇、农车镇、苗儿滩镇、里耶镇、桂塘镇、召市镇、洗洛镇等重点镇建设为示范，辐射周边乡镇协同发展，同步推进口子镇和传统村落建设，发挥好国家重点生态功能区优势，推进绿色发展，将龙山打造成为渝长厦经济带重要节点城市和湘西北重要窗口城市。到2025年末，实现城区面积增加10平方公里，城镇化率提高10个百分点。</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强化中心城区三大组团功能。</w:t>
      </w:r>
      <w:r>
        <w:rPr>
          <w:rFonts w:hint="eastAsia" w:ascii="方正书宋简体" w:hAnsi="方正书宋简体" w:eastAsia="方正书宋简体" w:cs="方正书宋简体"/>
          <w:color w:val="000000" w:themeColor="text1"/>
          <w:sz w:val="24"/>
          <w:szCs w:val="24"/>
          <w14:textFill>
            <w14:solidFill>
              <w14:schemeClr w14:val="tx1"/>
            </w14:solidFill>
          </w14:textFill>
        </w:rPr>
        <w:t>进一步强化中心城区三大组团功能，明确老城区、华塘新城、高铁新城三大组团功能定位，强化三大组团功能互补，优化城市风貌和业态，提升城市功能和品质，进一步疏解老城区功能。老城区加快布局城市休闲、商贸物流、商住、教育等功能区，增强中心城区辐射带动能力；推动产业高质量发展，将高铁新城打造为发展高地，突出高新技术、生物医药等产业园区建设，以及商贸服务、交通集散等功能，办好物流产业园，打造高端商务、文化旅游、数字信息等产业集群，吸引一批符合高铁新城功能定位的重大产业项目，承接央企、500强等优质资源落地；华塘新城重点布局行政办公、文体传媒、商业中心、文体公园、休闲娱乐、教育医疗等功能区，承接老城区功能疏解。</w:t>
      </w:r>
    </w:p>
    <w:p>
      <w:pPr>
        <w:pStyle w:val="2"/>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drawing>
          <wp:anchor distT="0" distB="0" distL="114300" distR="114300" simplePos="0" relativeHeight="251662336" behindDoc="0" locked="0" layoutInCell="1" allowOverlap="1">
            <wp:simplePos x="0" y="0"/>
            <wp:positionH relativeFrom="column">
              <wp:posOffset>38735</wp:posOffset>
            </wp:positionH>
            <wp:positionV relativeFrom="paragraph">
              <wp:posOffset>90170</wp:posOffset>
            </wp:positionV>
            <wp:extent cx="3871595" cy="4877435"/>
            <wp:effectExtent l="0" t="0" r="14605" b="184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t="6065" b="2580"/>
                    <a:stretch>
                      <a:fillRect/>
                    </a:stretch>
                  </pic:blipFill>
                  <pic:spPr>
                    <a:xfrm>
                      <a:off x="0" y="0"/>
                      <a:ext cx="3871595" cy="4877435"/>
                    </a:xfrm>
                    <a:prstGeom prst="rect">
                      <a:avLst/>
                    </a:prstGeom>
                    <a:noFill/>
                    <a:ln>
                      <a:noFill/>
                    </a:ln>
                  </pic:spPr>
                </pic:pic>
              </a:graphicData>
            </a:graphic>
          </wp:anchor>
        </w:drawing>
      </w:r>
    </w:p>
    <w:p>
      <w:pPr>
        <w:pStyle w:val="3"/>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2"/>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3"/>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2"/>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3"/>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2"/>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3"/>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2"/>
        <w:rPr>
          <w:rFonts w:hint="eastAsia"/>
        </w:rPr>
      </w:pPr>
    </w:p>
    <w:p>
      <w:pPr>
        <w:spacing w:line="560" w:lineRule="exact"/>
        <w:ind w:firstLine="643" w:firstLineChars="200"/>
        <w:rPr>
          <w:rFonts w:hint="eastAsia" w:ascii="仿宋_GB2312" w:eastAsia="仿宋_GB2312"/>
          <w:b/>
          <w:bCs/>
          <w:color w:val="000000" w:themeColor="text1"/>
          <w:sz w:val="32"/>
          <w:szCs w:val="22"/>
          <w14:textFill>
            <w14:solidFill>
              <w14:schemeClr w14:val="tx1"/>
            </w14:solidFill>
          </w14:textFill>
        </w:rPr>
      </w:pPr>
    </w:p>
    <w:p>
      <w:pPr>
        <w:spacing w:line="560" w:lineRule="exact"/>
        <w:ind w:firstLine="643" w:firstLineChars="200"/>
        <w:rPr>
          <w:rFonts w:hint="eastAsia" w:ascii="仿宋_GB2312" w:eastAsia="仿宋_GB2312"/>
          <w:b/>
          <w:bCs/>
          <w:color w:val="000000" w:themeColor="text1"/>
          <w:sz w:val="32"/>
          <w:szCs w:val="22"/>
          <w14:textFill>
            <w14:solidFill>
              <w14:schemeClr w14:val="tx1"/>
            </w14:solidFill>
          </w14:textFill>
        </w:rPr>
      </w:pPr>
    </w:p>
    <w:p>
      <w:pPr>
        <w:spacing w:line="560" w:lineRule="exact"/>
        <w:ind w:firstLine="482" w:firstLineChars="200"/>
        <w:jc w:val="center"/>
        <w:rPr>
          <w:rFonts w:hint="eastAsia" w:ascii="楷体" w:hAnsi="楷体" w:eastAsia="楷体" w:cs="楷体"/>
          <w:b/>
          <w:bCs/>
          <w:color w:val="000000" w:themeColor="text1"/>
          <w:sz w:val="24"/>
          <w:szCs w:val="24"/>
          <w14:textFill>
            <w14:solidFill>
              <w14:schemeClr w14:val="tx1"/>
            </w14:solidFill>
          </w14:textFill>
        </w:rPr>
      </w:pPr>
      <w:bookmarkStart w:id="195" w:name="_Toc6809_WPSOffice_Level3"/>
      <w:r>
        <w:rPr>
          <w:rFonts w:hint="eastAsia" w:ascii="楷体" w:hAnsi="楷体" w:eastAsia="楷体" w:cs="楷体"/>
          <w:b/>
          <w:bCs/>
          <w:color w:val="000000" w:themeColor="text1"/>
          <w:kern w:val="0"/>
          <w:sz w:val="24"/>
          <w:szCs w:val="24"/>
          <w14:textFill>
            <w14:solidFill>
              <w14:schemeClr w14:val="tx1"/>
            </w14:solidFill>
          </w14:textFill>
        </w:rPr>
        <w:t>图2  县城“三大组团”的空间结构</w:t>
      </w:r>
      <w:bookmarkEnd w:id="195"/>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老城区组团</w:t>
      </w:r>
      <w:r>
        <w:rPr>
          <w:rFonts w:hint="eastAsia" w:ascii="方正书宋简体" w:hAnsi="方正书宋简体" w:eastAsia="方正书宋简体" w:cs="方正书宋简体"/>
          <w:color w:val="000000" w:themeColor="text1"/>
          <w:sz w:val="24"/>
          <w:szCs w:val="24"/>
          <w14:textFill>
            <w14:solidFill>
              <w14:schemeClr w14:val="tx1"/>
            </w14:solidFill>
          </w14:textFill>
        </w:rPr>
        <w:t xml:space="preserve">  整体提升提质老城区组团功能，提升城区服务品质，推动城南工业集中区高质量发展。突出居住、商业服务、文教等功能，加快商贸综合体等项目建设，推进老城区旧城更新，重点塑造老城传统城市特色、改善城市环境、完善基础设施配套、提升城市品质。在外围城东区域，以果利河休闲经济带为主轴，以两河休闲风光带、果利河特色民居改造、汽车客运站、汽配物流园、仓储中心、商住小区、家居建材城等为重点，实现产城一体化，打造生态文化旅游、休闲康养、观光农业等与新城建设互动融合的“城市客厅”。在宝塔工业园，以生物制药、新型能源、服饰加工、传统工业为中心，以工业、物流服务为主要城市功能，重点布局农副产品加工园区、物流区、特色产品交易市场等。</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华塘新城组团</w:t>
      </w:r>
      <w:r>
        <w:rPr>
          <w:rFonts w:hint="eastAsia" w:ascii="方正书宋简体" w:hAnsi="方正书宋简体" w:eastAsia="方正书宋简体" w:cs="方正书宋简体"/>
          <w:color w:val="000000" w:themeColor="text1"/>
          <w:sz w:val="24"/>
          <w:szCs w:val="24"/>
          <w14:textFill>
            <w14:solidFill>
              <w14:schemeClr w14:val="tx1"/>
            </w14:solidFill>
          </w14:textFill>
        </w:rPr>
        <w:t xml:space="preserve">  以武陵山龙凤文体康养示范区为中心，突出居住、行政、商贸、文体、旅游服务等功能，重点布局推进行政办公、文体传媒、商业中心、文体公园、建材城等项目，打造城市行政文体教育医疗服务中心。同时拉通龙山民族路与来凤民族路形成无缝对接的龙凤经济协作示范新区。</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高铁新城组团</w:t>
      </w:r>
      <w:r>
        <w:rPr>
          <w:rFonts w:hint="eastAsia" w:ascii="方正书宋简体" w:hAnsi="方正书宋简体" w:eastAsia="方正书宋简体" w:cs="方正书宋简体"/>
          <w:color w:val="000000" w:themeColor="text1"/>
          <w:sz w:val="24"/>
          <w:szCs w:val="24"/>
          <w14:textFill>
            <w14:solidFill>
              <w14:schemeClr w14:val="tx1"/>
            </w14:solidFill>
          </w14:textFill>
        </w:rPr>
        <w:t xml:space="preserve">  以武陵山龙凤产城融合示范区为中心，突出产业园区、商贸服务、交通集散等功能，重点布局高新技术产业、商贸中心、小商品集散中心、交通集散设施、品质居住社区等项目，着力打造区域交通枢纽。</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突出城市新区建设。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实施酉水绿道经济带、龙湖湿地公园、龙凤欢乐世界、螺蛳滩文旅小镇等项目，持续推进华塘新城建设。实施高端商务酒店、龙凤智创中心、高铁新区工业园（长沙产业园）等项目，加快启动高铁新城建设。将石牌镇、洗洛镇纳入国土空间总体规划中心城区范围，拓展县城发展空间。</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建好中心城镇。</w:t>
      </w:r>
      <w:r>
        <w:rPr>
          <w:rFonts w:hint="eastAsia" w:ascii="方正书宋简体" w:hAnsi="方正书宋简体" w:eastAsia="方正书宋简体" w:cs="方正书宋简体"/>
          <w:color w:val="000000" w:themeColor="text1"/>
          <w:sz w:val="24"/>
          <w:szCs w:val="24"/>
          <w14:textFill>
            <w14:solidFill>
              <w14:schemeClr w14:val="tx1"/>
            </w14:solidFill>
          </w14:textFill>
        </w:rPr>
        <w:t>统筹规划中心城镇经济、社会、产业和生态的空间布局和发展时序，逐年安排资金加快小城镇的水、电、路、垃圾处理设施建设。重点支持</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里耶镇、茨岩塘镇、苗儿滩镇、洗车河镇、红岩溪镇、召市镇、桂塘镇、靛房镇、水田坝镇、农车镇、洗洛镇等重点城镇建设。</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加快老旧小区改造。</w:t>
      </w:r>
      <w:r>
        <w:rPr>
          <w:rFonts w:hint="eastAsia" w:ascii="方正书宋简体" w:hAnsi="方正书宋简体" w:eastAsia="方正书宋简体" w:cs="方正书宋简体"/>
          <w:color w:val="000000" w:themeColor="text1"/>
          <w:sz w:val="24"/>
          <w:szCs w:val="24"/>
          <w14:textFill>
            <w14:solidFill>
              <w14:schemeClr w14:val="tx1"/>
            </w14:solidFill>
          </w14:textFill>
        </w:rPr>
        <w:t>加大城镇老旧小区、城乡结合部、城中村、背街小巷改造力度，持续</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开展城市更新行动，全面推动城镇“微改造”</w:t>
      </w:r>
      <w:r>
        <w:rPr>
          <w:rFonts w:hint="eastAsia" w:ascii="方正书宋简体" w:hAnsi="方正书宋简体" w:eastAsia="方正书宋简体" w:cs="方正书宋简体"/>
          <w:color w:val="000000" w:themeColor="text1"/>
          <w:sz w:val="24"/>
          <w:szCs w:val="24"/>
          <w14:textFill>
            <w14:solidFill>
              <w14:schemeClr w14:val="tx1"/>
            </w14:solidFill>
          </w14:textFill>
        </w:rPr>
        <w:t>。重点推进茶亭社区、五爱社区、书院坪社区、南台堡社区、蔬菜社区、回龙社区、康家坝社区、凤阳社区、春井社区、老城社区、兴隆街道办事处等11个社区的老旧小区改造。</w:t>
      </w:r>
      <w:bookmarkStart w:id="196" w:name="_Toc58274647"/>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推进农村住房安全保障。</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全面完成存量4类重点对象危房改造，加强农村危房动态管理，确保户脱贫、村退出住房安全有保障达标。全面完成农村自建房和非自建房安全隐患排查，重点整治用作经营的农村自建房安全隐患整治工作，建立农村房屋建设长效管理机制，提升农村房屋建设管理水平。</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提升保障性住房供应水平</w:t>
      </w:r>
      <w:bookmarkEnd w:id="196"/>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健全住房保障制度，加大保障力度，保障困难群众基本住房需求，重点发展公共租赁住房，加快实施棚户区和城中村改造，积极探索由政府和个人共同拥有产权的共有产权住房保障模式。完善住房市场供应体系，调整优化商品住房供应结构，加快培育存量住房和租赁住房市场，满足群众多层次住房需求。</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加快农村转移人口市民化。</w:t>
      </w:r>
      <w:r>
        <w:rPr>
          <w:rFonts w:hint="eastAsia" w:ascii="方正书宋简体" w:hAnsi="方正书宋简体" w:eastAsia="方正书宋简体" w:cs="方正书宋简体"/>
          <w:color w:val="000000" w:themeColor="text1"/>
          <w:sz w:val="24"/>
          <w:szCs w:val="24"/>
          <w14:textFill>
            <w14:solidFill>
              <w14:schemeClr w14:val="tx1"/>
            </w14:solidFill>
          </w14:textFill>
        </w:rPr>
        <w:t>按照“尊重意愿、自主选择”，以农业转移人口为重点，全面放开县城、建制镇的落户限制，建立城乡居民人口统一管理制度。健全进城落户农民社会保障，保障符合条件的未落户农民工在流入地平等享受城镇基本公共服务。建立健全农业转移人口市民化推进机制。从政府、企业、个人三方面入手，探索建立农业转移人口市民化成本分担机制。</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197" w:name="_Toc60048916"/>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198" w:name="_Toc311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推动新一轮龙凤经济协作示范区建设</w:t>
      </w:r>
      <w:bookmarkEnd w:id="197"/>
      <w:bookmarkEnd w:id="198"/>
    </w:p>
    <w:p>
      <w:pPr>
        <w:pageBreakBefore w:val="0"/>
        <w:widowControl w:val="0"/>
        <w:kinsoku/>
        <w:wordWrap/>
        <w:overflowPunct/>
        <w:topLinePunct w:val="0"/>
        <w:autoSpaceDE/>
        <w:autoSpaceDN/>
        <w:bidi w:val="0"/>
        <w:spacing w:line="420" w:lineRule="exact"/>
        <w:ind w:firstLine="584" w:firstLineChars="200"/>
        <w:textAlignment w:val="auto"/>
        <w:rPr>
          <w:rFonts w:hint="eastAsia" w:asciiTheme="minorEastAsia" w:hAnsiTheme="minorEastAsia" w:eastAsiaTheme="minorEastAsia" w:cstheme="minorEastAsia"/>
          <w:bCs/>
          <w:color w:val="000000" w:themeColor="text1"/>
          <w:spacing w:val="6"/>
          <w:sz w:val="28"/>
          <w:szCs w:val="28"/>
          <w14:textFill>
            <w14:solidFill>
              <w14:schemeClr w14:val="tx1"/>
            </w14:solidFill>
          </w14:textFill>
        </w:rPr>
      </w:pPr>
      <w:bookmarkStart w:id="199" w:name="_Toc60048917"/>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立足龙山来凤经济协作示范区湘鄂渝三省市交界区位优势，依托渝长厦高铁，加快推动渝长厦经济带节点发展，建成以龙凤示范区为重要节点的区域经济发展体系。在同城建设、基本公共服务均等化、特色产业发展、生态环境保护、示范区改革创新等方面取得重大成就，全面建成一体化发展体系，成为武陵山片区新的经济增长极。</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龙凤基础设施互联互通。</w:t>
      </w:r>
      <w:r>
        <w:rPr>
          <w:rFonts w:hint="eastAsia" w:ascii="方正书宋简体" w:hAnsi="方正书宋简体" w:eastAsia="方正书宋简体" w:cs="方正书宋简体"/>
          <w:color w:val="000000" w:themeColor="text1"/>
          <w:sz w:val="24"/>
          <w:szCs w:val="24"/>
          <w14:textFill>
            <w14:solidFill>
              <w14:schemeClr w14:val="tx1"/>
            </w14:solidFill>
          </w14:textFill>
        </w:rPr>
        <w:t>构建以龙凤示范区为中心的1小时到达周边中心城市的交通经济圈。加快龙凤主城区骨干路网、桥梁建设，加快酉水沿河风光带建设，到2025年，实现区域综合交通设施互联互通，龙凤基础设施完成对接。</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龙凤特色产业一体化建设。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依托龙凤两地土家风情、历史人文、地方美食、酉水生态等特色资源，加强主导产业合作，加快特色产业链提质升级，龙山重点发展绿色食品、生物制药和新型建材等。加强区域旅游产业合作，串联区域红色景点、生态、民族文化景点。加快酉水生态合作开发，启动龙凤欢乐世界、龙凤文化体育公园、螺蛳滩文旅小镇、湘鄂渝边区游客集散中心等项目建设。</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龙凤生态建设和环境保护一体化建设。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充分发挥青山绿水生态优势，实施区域生态保护和水生态修复，加强酉水流域综合治理和水源保护，协同推进酉水沿河风光带建设，实施沿河亮化、绿化工程。实施森林质量提升，水土流失综合防治。</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龙凤公共服务共享和均等化建设。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推进龙凤市场一体化，取消区域落户、就业、就学等限制条件。区域购房、住房租赁、医疗、职业教育、学前教育、义务教育、金融等公共服务共享和均等化。推进区域物联网共联共享，畅通区域物流。</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创新以龙凤示范区为中心的区域协作体制机制。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新发展理念，坚持区域协调发展。构建以龙凤示范区为中心的区域经济发展协作体制机制。完善区域经济协作协调机制，每年定期召开龙凤示范区建设联席会议，每年邀请咸丰、宣恩、酉阳、秀山、桑植等周边县市召开一次区域协作协调会议。</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00" w:name="_Toc21971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统筹推进基础设施建设</w:t>
      </w:r>
      <w:bookmarkEnd w:id="199"/>
      <w:bookmarkEnd w:id="200"/>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推进以交通、水利、能源、新基建为支撑的基础设施建设工程。按照设施网络化、管理智能化、运行一体化的要求，构筑现代基础设施网络，全面提升经济社会发展的保障水平。</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完善立体交通运输体系</w:t>
      </w:r>
      <w:bookmarkStart w:id="201" w:name="_Toc49089525"/>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贯彻落实交通强国建设纲要，湖南省“一带一部”战略部署。按照“普通国道全面提质、干线公路成线成网、经济节点有效衔接;农村公路实现提升服务功能、完善路网结构”以及推进航运码头建设的总目标,打造湘西北重要交通枢纽。</w:t>
      </w:r>
      <w:bookmarkStart w:id="202" w:name="_Toc58274580"/>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构建内通外联的立体交通网络</w:t>
      </w:r>
      <w:bookmarkEnd w:id="201"/>
      <w:bookmarkEnd w:id="202"/>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。整合县域内铁路、高速公路、国省干线等交通布局，积极推动重大交通规划项目入规立项，不断提升黔张常快速铁路、吉恩高速公路通达水平。到2035年，在龙山境</w:t>
      </w:r>
      <w:r>
        <w:rPr>
          <w:rFonts w:hint="eastAsia" w:ascii="方正书宋简体" w:hAnsi="方正书宋简体" w:eastAsia="方正书宋简体" w:cs="方正书宋简体"/>
          <w:color w:val="000000" w:themeColor="text1"/>
          <w:sz w:val="24"/>
          <w:szCs w:val="24"/>
          <w14:textFill>
            <w14:solidFill>
              <w14:schemeClr w14:val="tx1"/>
            </w14:solidFill>
          </w14:textFill>
        </w:rPr>
        <w:t>内形成“两纵两横”运输通道发展格局。“两纵”即鄂湘运输通道、鄂湘渝运输通道；“两横”即黔张常运输通道、酉阳—龙山—永顺运输通道，实现与湖北、黔东南、渝东南及省内吉首、张家界、怀化等周边重要城市的经济联系。</w:t>
      </w:r>
    </w:p>
    <w:p>
      <w:pPr>
        <w:pStyle w:val="2"/>
        <w:rPr>
          <w:rFonts w:hint="eastAsia" w:ascii="楷体" w:hAnsi="楷体" w:eastAsia="楷体" w:cs="楷体"/>
          <w:b/>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column">
              <wp:posOffset>83820</wp:posOffset>
            </wp:positionH>
            <wp:positionV relativeFrom="paragraph">
              <wp:posOffset>118745</wp:posOffset>
            </wp:positionV>
            <wp:extent cx="3701415" cy="4713605"/>
            <wp:effectExtent l="0" t="0" r="13335" b="10795"/>
            <wp:wrapNone/>
            <wp:docPr id="9" name="图片 9" descr="H:\工作\2020\规划计划\规划资料\县规划\龙山规划12.29稿\龙山规划12.29稿\龙山交通地图-通道图12.25.jpg龙山交通地图-通道图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工作\2020\规划计划\规划资料\县规划\龙山规划12.29稿\龙山规划12.29稿\龙山交通地图-通道图12.25.jpg龙山交通地图-通道图12.25"/>
                    <pic:cNvPicPr>
                      <a:picLocks noChangeAspect="1" noChangeArrowheads="1"/>
                    </pic:cNvPicPr>
                  </pic:nvPicPr>
                  <pic:blipFill>
                    <a:blip r:embed="rId13"/>
                    <a:srcRect/>
                    <a:stretch>
                      <a:fillRect/>
                    </a:stretch>
                  </pic:blipFill>
                  <pic:spPr>
                    <a:xfrm>
                      <a:off x="0" y="0"/>
                      <a:ext cx="3701415" cy="4713605"/>
                    </a:xfrm>
                    <a:prstGeom prst="rect">
                      <a:avLst/>
                    </a:prstGeom>
                    <a:noFill/>
                    <a:ln>
                      <a:noFill/>
                    </a:ln>
                  </pic:spPr>
                </pic:pic>
              </a:graphicData>
            </a:graphic>
          </wp:anchor>
        </w:drawing>
      </w:r>
    </w:p>
    <w:p>
      <w:pPr>
        <w:pStyle w:val="3"/>
        <w:rPr>
          <w:rFonts w:hint="eastAsia" w:ascii="楷体" w:hAnsi="楷体" w:eastAsia="楷体" w:cs="楷体"/>
          <w:b/>
          <w:color w:val="000000" w:themeColor="text1"/>
          <w:sz w:val="28"/>
          <w:szCs w:val="28"/>
          <w14:textFill>
            <w14:solidFill>
              <w14:schemeClr w14:val="tx1"/>
            </w14:solidFill>
          </w14:textFill>
        </w:rPr>
      </w:pPr>
    </w:p>
    <w:p>
      <w:pPr>
        <w:rPr>
          <w:rFonts w:hint="eastAsia" w:ascii="楷体" w:hAnsi="楷体" w:eastAsia="楷体" w:cs="楷体"/>
          <w:b/>
          <w:color w:val="000000" w:themeColor="text1"/>
          <w:sz w:val="28"/>
          <w:szCs w:val="28"/>
          <w14:textFill>
            <w14:solidFill>
              <w14:schemeClr w14:val="tx1"/>
            </w14:solidFill>
          </w14:textFill>
        </w:rPr>
      </w:pPr>
    </w:p>
    <w:p>
      <w:pPr>
        <w:pStyle w:val="2"/>
        <w:rPr>
          <w:rFonts w:hint="eastAsia" w:ascii="楷体" w:hAnsi="楷体" w:eastAsia="楷体" w:cs="楷体"/>
          <w:b/>
          <w:color w:val="000000" w:themeColor="text1"/>
          <w:sz w:val="28"/>
          <w:szCs w:val="28"/>
          <w14:textFill>
            <w14:solidFill>
              <w14:schemeClr w14:val="tx1"/>
            </w14:solidFill>
          </w14:textFill>
        </w:rPr>
      </w:pPr>
    </w:p>
    <w:p>
      <w:pPr>
        <w:pStyle w:val="3"/>
        <w:rPr>
          <w:rFonts w:hint="eastAsia" w:ascii="楷体" w:hAnsi="楷体" w:eastAsia="楷体" w:cs="楷体"/>
          <w:b/>
          <w:color w:val="000000" w:themeColor="text1"/>
          <w:sz w:val="28"/>
          <w:szCs w:val="28"/>
          <w14:textFill>
            <w14:solidFill>
              <w14:schemeClr w14:val="tx1"/>
            </w14:solidFill>
          </w14:textFill>
        </w:rPr>
      </w:pPr>
    </w:p>
    <w:p>
      <w:pPr>
        <w:rPr>
          <w:rFonts w:hint="eastAsia" w:ascii="楷体" w:hAnsi="楷体" w:eastAsia="楷体" w:cs="楷体"/>
          <w:b/>
          <w:color w:val="000000" w:themeColor="text1"/>
          <w:sz w:val="28"/>
          <w:szCs w:val="28"/>
          <w14:textFill>
            <w14:solidFill>
              <w14:schemeClr w14:val="tx1"/>
            </w14:solidFill>
          </w14:textFill>
        </w:rPr>
      </w:pPr>
    </w:p>
    <w:p>
      <w:pPr>
        <w:pStyle w:val="2"/>
        <w:rPr>
          <w:rFonts w:hint="eastAsia" w:ascii="楷体" w:hAnsi="楷体" w:eastAsia="楷体" w:cs="楷体"/>
          <w:b/>
          <w:color w:val="000000" w:themeColor="text1"/>
          <w:sz w:val="28"/>
          <w:szCs w:val="28"/>
          <w14:textFill>
            <w14:solidFill>
              <w14:schemeClr w14:val="tx1"/>
            </w14:solidFill>
          </w14:textFill>
        </w:rPr>
      </w:pPr>
    </w:p>
    <w:p>
      <w:pPr>
        <w:pStyle w:val="3"/>
        <w:rPr>
          <w:rFonts w:hint="eastAsia" w:ascii="楷体" w:hAnsi="楷体" w:eastAsia="楷体" w:cs="楷体"/>
          <w:b/>
          <w:color w:val="000000" w:themeColor="text1"/>
          <w:sz w:val="28"/>
          <w:szCs w:val="28"/>
          <w14:textFill>
            <w14:solidFill>
              <w14:schemeClr w14:val="tx1"/>
            </w14:solidFill>
          </w14:textFill>
        </w:rPr>
      </w:pPr>
    </w:p>
    <w:p>
      <w:pPr>
        <w:rPr>
          <w:rFonts w:hint="eastAsia" w:ascii="楷体" w:hAnsi="楷体" w:eastAsia="楷体" w:cs="楷体"/>
          <w:b/>
          <w:color w:val="000000" w:themeColor="text1"/>
          <w:sz w:val="28"/>
          <w:szCs w:val="28"/>
          <w14:textFill>
            <w14:solidFill>
              <w14:schemeClr w14:val="tx1"/>
            </w14:solidFill>
          </w14:textFill>
        </w:rPr>
      </w:pPr>
    </w:p>
    <w:p>
      <w:pPr>
        <w:pStyle w:val="2"/>
        <w:rPr>
          <w:rFonts w:hint="eastAsia" w:ascii="楷体" w:hAnsi="楷体" w:eastAsia="楷体" w:cs="楷体"/>
          <w:b/>
          <w:color w:val="000000" w:themeColor="text1"/>
          <w:sz w:val="28"/>
          <w:szCs w:val="28"/>
          <w14:textFill>
            <w14:solidFill>
              <w14:schemeClr w14:val="tx1"/>
            </w14:solidFill>
          </w14:textFill>
        </w:rPr>
      </w:pPr>
    </w:p>
    <w:p>
      <w:pPr>
        <w:pStyle w:val="3"/>
        <w:rPr>
          <w:rFonts w:hint="eastAsia" w:ascii="楷体" w:hAnsi="楷体" w:eastAsia="楷体" w:cs="楷体"/>
          <w:b/>
          <w:color w:val="000000" w:themeColor="text1"/>
          <w:sz w:val="28"/>
          <w:szCs w:val="28"/>
          <w14:textFill>
            <w14:solidFill>
              <w14:schemeClr w14:val="tx1"/>
            </w14:solidFill>
          </w14:textFill>
        </w:rPr>
      </w:pPr>
    </w:p>
    <w:p>
      <w:pPr>
        <w:rPr>
          <w:rFonts w:hint="eastAsia" w:ascii="楷体" w:hAnsi="楷体" w:eastAsia="楷体" w:cs="楷体"/>
          <w:b/>
          <w:color w:val="000000" w:themeColor="text1"/>
          <w:sz w:val="28"/>
          <w:szCs w:val="28"/>
          <w14:textFill>
            <w14:solidFill>
              <w14:schemeClr w14:val="tx1"/>
            </w14:solidFill>
          </w14:textFill>
        </w:rPr>
      </w:pPr>
    </w:p>
    <w:p>
      <w:pPr>
        <w:pStyle w:val="2"/>
        <w:rPr>
          <w:rFonts w:hint="eastAsia" w:ascii="楷体" w:hAnsi="楷体" w:eastAsia="楷体" w:cs="楷体"/>
          <w:b/>
          <w:color w:val="000000" w:themeColor="text1"/>
          <w:sz w:val="28"/>
          <w:szCs w:val="28"/>
          <w14:textFill>
            <w14:solidFill>
              <w14:schemeClr w14:val="tx1"/>
            </w14:solidFill>
          </w14:textFill>
        </w:rPr>
      </w:pPr>
    </w:p>
    <w:p>
      <w:pPr>
        <w:rPr>
          <w:rFonts w:hint="eastAsia"/>
        </w:rPr>
      </w:pPr>
    </w:p>
    <w:p>
      <w:pPr>
        <w:pStyle w:val="2"/>
        <w:rPr>
          <w:rFonts w:hint="eastAsia"/>
        </w:rPr>
      </w:pPr>
    </w:p>
    <w:p>
      <w:pPr>
        <w:pStyle w:val="3"/>
        <w:rPr>
          <w:rFonts w:hint="eastAsia"/>
        </w:rPr>
      </w:pPr>
    </w:p>
    <w:p>
      <w:pPr>
        <w:pStyle w:val="2"/>
        <w:jc w:val="center"/>
        <w:rPr>
          <w:rFonts w:hint="eastAsia" w:ascii="楷体" w:hAnsi="楷体" w:eastAsia="楷体" w:cs="楷体"/>
          <w:color w:val="000000" w:themeColor="text1"/>
          <w:sz w:val="24"/>
          <w:szCs w:val="24"/>
          <w14:textFill>
            <w14:solidFill>
              <w14:schemeClr w14:val="tx1"/>
            </w14:solidFill>
          </w14:textFill>
        </w:rPr>
      </w:pPr>
      <w:bookmarkStart w:id="203" w:name="_Toc31129_WPSOffice_Level3"/>
      <w:bookmarkStart w:id="204" w:name="_Toc31310_WPSOffice_Level3"/>
      <w:bookmarkStart w:id="205" w:name="_Toc2868_WPSOffice_Level3"/>
      <w:r>
        <w:rPr>
          <w:rFonts w:hint="eastAsia" w:ascii="楷体" w:hAnsi="楷体" w:eastAsia="楷体" w:cs="楷体"/>
          <w:b/>
          <w:color w:val="000000" w:themeColor="text1"/>
          <w:sz w:val="24"/>
          <w:szCs w:val="24"/>
          <w14:textFill>
            <w14:solidFill>
              <w14:schemeClr w14:val="tx1"/>
            </w14:solidFill>
          </w14:textFill>
        </w:rPr>
        <w:t>图3  龙山县</w:t>
      </w:r>
      <w:r>
        <w:rPr>
          <w:rFonts w:hint="eastAsia" w:ascii="楷体" w:hAnsi="楷体" w:eastAsia="楷体" w:cs="楷体"/>
          <w:b/>
          <w:bCs/>
          <w:color w:val="000000" w:themeColor="text1"/>
          <w:sz w:val="24"/>
          <w:szCs w:val="24"/>
          <w14:textFill>
            <w14:solidFill>
              <w14:schemeClr w14:val="tx1"/>
            </w14:solidFill>
          </w14:textFill>
        </w:rPr>
        <w:t>对外综合运输通道布局示意</w:t>
      </w:r>
      <w:bookmarkEnd w:id="203"/>
      <w:bookmarkEnd w:id="204"/>
      <w:bookmarkEnd w:id="205"/>
    </w:p>
    <w:p>
      <w:pPr>
        <w:pStyle w:val="3"/>
        <w:ind w:left="0" w:leftChars="0" w:firstLine="0" w:firstLineChars="0"/>
        <w:rPr>
          <w:rFonts w:hint="eastAsia" w:ascii="楷体" w:hAnsi="楷体" w:eastAsia="楷体" w:cs="楷体"/>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0" distR="0">
            <wp:extent cx="3967480" cy="5457190"/>
            <wp:effectExtent l="0" t="0" r="13970" b="10160"/>
            <wp:docPr id="5" name="图片 5" descr="H:\工作\2020\规划计划\规划资料\县规划\龙山规划12.29稿\龙山规划12.29稿\龙山交通地图-七纵七横图12.25.jpg龙山交通地图-七纵七横图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工作\2020\规划计划\规划资料\县规划\龙山规划12.29稿\龙山规划12.29稿\龙山交通地图-七纵七横图12.25.jpg龙山交通地图-七纵七横图12.25"/>
                    <pic:cNvPicPr>
                      <a:picLocks noChangeAspect="1" noChangeArrowheads="1"/>
                    </pic:cNvPicPr>
                  </pic:nvPicPr>
                  <pic:blipFill>
                    <a:blip r:embed="rId14"/>
                    <a:srcRect/>
                    <a:stretch>
                      <a:fillRect/>
                    </a:stretch>
                  </pic:blipFill>
                  <pic:spPr>
                    <a:xfrm>
                      <a:off x="0" y="0"/>
                      <a:ext cx="3967480" cy="5457190"/>
                    </a:xfrm>
                    <a:prstGeom prst="rect">
                      <a:avLst/>
                    </a:prstGeom>
                    <a:noFill/>
                    <a:ln>
                      <a:noFill/>
                    </a:ln>
                  </pic:spPr>
                </pic:pic>
              </a:graphicData>
            </a:graphic>
          </wp:inline>
        </w:drawing>
      </w:r>
    </w:p>
    <w:p>
      <w:pPr>
        <w:pStyle w:val="3"/>
        <w:ind w:left="0" w:leftChars="0" w:firstLine="0" w:firstLineChars="0"/>
        <w:jc w:val="center"/>
        <w:rPr>
          <w:rFonts w:hint="eastAsia" w:ascii="楷体" w:hAnsi="楷体" w:eastAsia="楷体" w:cs="楷体"/>
          <w:b/>
          <w:color w:val="000000" w:themeColor="text1"/>
          <w:sz w:val="24"/>
          <w:szCs w:val="24"/>
          <w14:textFill>
            <w14:solidFill>
              <w14:schemeClr w14:val="tx1"/>
            </w14:solidFill>
          </w14:textFill>
        </w:rPr>
      </w:pPr>
      <w:bookmarkStart w:id="206" w:name="_Toc17819_WPSOffice_Level3"/>
      <w:bookmarkStart w:id="207" w:name="_Toc22734_WPSOffice_Level3"/>
      <w:bookmarkStart w:id="208" w:name="_Toc11188_WPSOffice_Level3"/>
      <w:r>
        <w:rPr>
          <w:rFonts w:hint="eastAsia" w:ascii="楷体" w:hAnsi="楷体" w:eastAsia="楷体" w:cs="楷体"/>
          <w:b/>
          <w:bCs/>
          <w:color w:val="000000" w:themeColor="text1"/>
          <w:sz w:val="24"/>
          <w:szCs w:val="24"/>
          <w14:textFill>
            <w14:solidFill>
              <w14:schemeClr w14:val="tx1"/>
            </w14:solidFill>
          </w14:textFill>
        </w:rPr>
        <w:t>图4  龙山县“七纵七横十支”的干线公路网示意</w:t>
      </w:r>
      <w:bookmarkEnd w:id="206"/>
      <w:bookmarkEnd w:id="207"/>
      <w:bookmarkEnd w:id="208"/>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铁路体系</w:t>
      </w:r>
      <w:r>
        <w:rPr>
          <w:rFonts w:hint="eastAsia" w:ascii="方正书宋简体" w:hAnsi="方正书宋简体" w:eastAsia="方正书宋简体" w:cs="方正书宋简体"/>
          <w:b/>
          <w:color w:val="000000" w:themeColor="text1"/>
          <w:sz w:val="24"/>
          <w:szCs w:val="24"/>
          <w14:textFill>
            <w14:solidFill>
              <w14:schemeClr w14:val="tx1"/>
            </w14:solidFill>
          </w14:textFill>
        </w:rPr>
        <w:t xml:space="preserve">  </w:t>
      </w:r>
      <w:r>
        <w:rPr>
          <w:rFonts w:hint="eastAsia" w:ascii="方正书宋简体" w:hAnsi="方正书宋简体" w:eastAsia="方正书宋简体" w:cs="方正书宋简体"/>
          <w:color w:val="000000" w:themeColor="text1"/>
          <w:sz w:val="24"/>
          <w:szCs w:val="24"/>
          <w14:textFill>
            <w14:solidFill>
              <w14:schemeClr w14:val="tx1"/>
            </w14:solidFill>
          </w14:textFill>
        </w:rPr>
        <w:t>规划布局黔张常铁路（龙山站）经永顺至渝湘高铁花垣站项目和安康至张家界普速铁路（龙山段）项目，黔张常龙山货运铁路专线项目和申请建设开通龙山铁路货运站，力争进入湖南省“十四五”规划或国家铁路网中长期规划，在龙山县域内形成连接东西、贯通南北的“十”字形铁路枢纽。</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 xml:space="preserve">公路体系  </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G5515张南高速湘西段（桑植—龙山）高速公路建设，规划编制龙山至鹤峰高速公路，沅陵经古丈、保靖（永顺）、龙山至重庆酉阳高速公路（龙山段）项目和G6911安康至来凤高速公路南延伸线龙山—边城高速公路项目，申请列入省“十四五”规划重大项目。全面提质G242白羊苏家堡至洗洛岩坳公路（含县城至洗洛、洗洛绕镇公路）项目。推动G242里耶绕镇公路建设，S255茅坪半沟至洗车河公路、S256桂塘绕镇公路、S309永顺盐井至红岩溪公路、S309茅坪至火岩公路、S526靛房至苗儿滩公路、苗儿滩经贾市至咱果公路等建设项目。积极构建县域交通慢行系统，以沿河步道为切入点，结合原有道路基础进行生态化平整，品牌性打造皮渡河沿河慢行道50公里、酉水河沿河慢行道18公里、果利河沿河慢行道22公里和捞车河沿河慢行道48公里，发展具有龙山县沿河特色徒步观光路线，建设标准化慢行车道，依托集散和服务中心，建立慢行服务点。率先建设环乡镇慢行道100公里，着力提升人民群众的获得感和满意度。</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 xml:space="preserve">航空体系  </w:t>
      </w:r>
      <w:r>
        <w:rPr>
          <w:rFonts w:hint="eastAsia" w:ascii="方正书宋简体" w:hAnsi="方正书宋简体" w:eastAsia="方正书宋简体" w:cs="方正书宋简体"/>
          <w:color w:val="000000" w:themeColor="text1"/>
          <w:sz w:val="24"/>
          <w:szCs w:val="24"/>
          <w14:textFill>
            <w14:solidFill>
              <w14:schemeClr w14:val="tx1"/>
            </w14:solidFill>
          </w14:textFill>
        </w:rPr>
        <w:t>启动龙山龙凤通用机场项目前期工作，力争“十四五”期间达到开工建设条件。拓宽民航运输服务半径和覆盖范围，为高端旅游、应急救援、航空护林等飞行活动提供专业化高效率的航空运输服务。</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 xml:space="preserve">水路体系  </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实施龙山“水运提升”战略，重点推进酉水河航道建设项目，集中完善酉水河航道功能布局。规划建设龙山里耶、隆头二级客运码头及站房服务设施，推进水上综合监督管理站建设。加大渡改桥建设力度，推动官渡口大桥、沙漕河大桥和螺蛳滩大桥项目建设，增加交通运输本质安全保障。</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建设现代高效的城乡交通体系。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保障城乡交通运输便捷安全，重点支持旅游资源产业路和乡镇通三级路项目。以服务城市功能发展为核心，支撑旅游、商贸、工业、城镇化为重点，支持建制村通双车道项目和合乡并村连通路项目，建设龙山现代高效城市交通网络，实现人流、物流、信息流的高效联通。加快龙山绕城公路建设，缓解城市内部交通压力，实现过境交通和城市交通有序高效运行。推进城区主要道路提质升级，提升重要道路服务水平。布局龙山来凤经济协作示范区龙山开发区城市道路及管网建设项目，打通断头路、瓶颈路，建设完善G353龙山大道、G353兴隆路、朝阳东路、红岩寺大桥至湘鄂路、龙山大道南延线至岳麓大道、龙山大道南延线至G209、县城绕城线至G209道路路网，引领城市高质量发展。</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209" w:name="_Toc48417409"/>
      <w:bookmarkStart w:id="210" w:name="_Toc58274582"/>
      <w:r>
        <w:rPr>
          <w:rFonts w:hint="eastAsia" w:ascii="楷体" w:hAnsi="楷体" w:eastAsia="楷体" w:cs="楷体"/>
          <w:b/>
          <w:color w:val="000000" w:themeColor="text1"/>
          <w:sz w:val="24"/>
          <w:szCs w:val="24"/>
          <w14:textFill>
            <w14:solidFill>
              <w14:schemeClr w14:val="tx1"/>
            </w14:solidFill>
          </w14:textFill>
        </w:rPr>
        <w:t>加快边区基础设施的互联互通</w:t>
      </w:r>
      <w:bookmarkEnd w:id="209"/>
      <w:bookmarkEnd w:id="210"/>
      <w:r>
        <w:rPr>
          <w:rFonts w:hint="eastAsia" w:ascii="楷体" w:hAnsi="楷体" w:eastAsia="楷体" w:cs="楷体"/>
          <w:b/>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与湘鄂渝边区域间沟通协调，统筹推进对区域联通有重要作用的基础设施建设。加快推进龙凤经济协作示范区建设、推动龙（山）（来）凤城市轨道（地铁）交通项目建设。加快推进龙山开发区城市道路建设及雨污分流管网、强弱电下地、通讯设施、绿化等附属配套设施。以提升综合交通枢纽功能和完善通达能力为重点，加快铁路、高等级公路等交通干线和综合交通枢纽建设，构筑紧密协作、高效便捷、互联互通的综合交通运输网络。</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211" w:name="_Toc58274583"/>
      <w:bookmarkStart w:id="212" w:name="_Toc49089527"/>
      <w:r>
        <w:rPr>
          <w:rFonts w:hint="eastAsia" w:ascii="楷体" w:hAnsi="楷体" w:eastAsia="楷体" w:cs="楷体"/>
          <w:b/>
          <w:color w:val="000000" w:themeColor="text1"/>
          <w:sz w:val="24"/>
          <w:szCs w:val="24"/>
          <w14:textFill>
            <w14:solidFill>
              <w14:schemeClr w14:val="tx1"/>
            </w14:solidFill>
          </w14:textFill>
        </w:rPr>
        <w:t>打造一体衔接的综合交通枢纽</w:t>
      </w:r>
      <w:bookmarkEnd w:id="211"/>
      <w:bookmarkEnd w:id="212"/>
      <w:r>
        <w:rPr>
          <w:rFonts w:hint="eastAsia" w:ascii="楷体" w:hAnsi="楷体" w:eastAsia="楷体" w:cs="楷体"/>
          <w:b/>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全县综合交通枢纽建设，优化综合交通枢纽站场布局，打造湘渝鄂交界处综合交通枢纽。重点建设龙山县汽车客运综合枢纽、龙山县里耶古镇秦郡旅游客运站，扩大综合运输供给规模，完善龙山县城、里耶古城南北两个综合交通枢纽站场运输服务体系，实施红岩溪镇、召市镇和桂塘镇等重点乡镇客运站项目建设，强化运输方式衔接和运输服务转换，实现客运零距离换乘和货运无缝衔接。加快龙山县城公交首末站、公交枢纽站、公交停保场和城市出租服务区建设，不断完善城市公交站点布局，全面提升交通运输服务水平。</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213" w:name="_Toc49089528"/>
      <w:bookmarkStart w:id="214" w:name="_Toc58274584"/>
      <w:r>
        <w:rPr>
          <w:rFonts w:hint="eastAsia" w:ascii="楷体" w:hAnsi="楷体" w:eastAsia="楷体" w:cs="楷体"/>
          <w:b/>
          <w:color w:val="000000" w:themeColor="text1"/>
          <w:sz w:val="24"/>
          <w:szCs w:val="24"/>
          <w14:textFill>
            <w14:solidFill>
              <w14:schemeClr w14:val="tx1"/>
            </w14:solidFill>
          </w14:textFill>
        </w:rPr>
        <w:t>推动运输服务低碳智能安全发展</w:t>
      </w:r>
      <w:bookmarkEnd w:id="213"/>
      <w:bookmarkEnd w:id="214"/>
      <w:r>
        <w:rPr>
          <w:rFonts w:hint="eastAsia" w:ascii="楷体" w:hAnsi="楷体" w:eastAsia="楷体" w:cs="楷体"/>
          <w:b/>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推动大数据、物联网、人工智能与交通运输服务的深度融合，大力支持“互联网+”交通运输服务新业态发展，重点建设龙山县智慧停车场、交通综合信息中心，逐步实施龙山公交智能营运调度管理系统，提升城市交通运营效率和服务品质，积极推进新能源运输装备推广应用和绿色公路建设，鼓励营运企业更新新能源运输车辆，提高交通绿色能源使用率。积极促进龙山县传统货运转型升级，加快螺蛳滩、土城坝一级批发市场和城东商贸物流园等规模适中的物流园区和物流中心建设，鼓励使用标准化、智能化物流设施装备，开展专业化的冷链运输、多式联运、共同配送等新模式运输业务，推动物流全过程数字化，大力发展网络货运等道路货运新业态，持续推进货运行业绿色低碳运输建设和交通运输行业可持续发展。</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推动农村交通基础设施提档升级。</w:t>
      </w:r>
      <w:r>
        <w:rPr>
          <w:rFonts w:hint="eastAsia" w:ascii="方正书宋简体" w:hAnsi="方正书宋简体" w:eastAsia="方正书宋简体" w:cs="方正书宋简体"/>
          <w:color w:val="000000" w:themeColor="text1"/>
          <w:sz w:val="24"/>
          <w:szCs w:val="24"/>
          <w14:textFill>
            <w14:solidFill>
              <w14:schemeClr w14:val="tx1"/>
            </w14:solidFill>
          </w14:textFill>
        </w:rPr>
        <w:t>在建制村通硬化路100%、建制村通客运班车100%和乡镇、街道等级公路全覆盖的基础上继续加大农村交通基础设施投入，扎实推进“四好农村路”建设。“十四五”期间，实施建制村网络路建设2000公里、入户及连接道路4000公里、重要县乡道提质改造220公里，村道提质改造1500公里、规划建设农村公路生命安全防护工程3800公里。同时，大力推进农村公路养护体制改革，启动“路长制”，以乡镇、村为单位，吸收经济来源较差村民参与组建农村公路养护管理专业队伍，加强农村公路日常养护管理。落实城乡道路运输战场及招呼站建设计划，新建招呼站100个，建制村停车场320个。不断完善农村客运服务网络，积极推进出行服务一体化、便捷化发展，依托农村公路交通网，推进“交通+旅游”、“交通+物流”、“交通+特色产业”的县、乡、村三级农村交通体系建设，拓展现有农村公路服务功能，推动形成集客运、物流、产业、养护管理等功能于一体的农村综合服务站，到2025年，全县物流配送实现县有分拨、乡有网点、村村通快递，发挥农村交通基础设施对农村社会经济发展的引领作用，适应支撑全面建成交通强国的需要，适应社会主义现代化强国建设的需要。</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color w:val="000000" w:themeColor="text1"/>
          <w:sz w:val="24"/>
          <w:szCs w:val="24"/>
          <w14:textFill>
            <w14:solidFill>
              <w14:schemeClr w14:val="tx1"/>
            </w14:solidFill>
          </w14:textFill>
        </w:rPr>
        <w:t>构建新时代水安全格局。</w:t>
      </w:r>
      <w:r>
        <w:rPr>
          <w:rFonts w:hint="eastAsia" w:ascii="方正书宋简体" w:hAnsi="方正书宋简体" w:eastAsia="方正书宋简体" w:cs="方正书宋简体"/>
          <w:color w:val="000000" w:themeColor="text1"/>
          <w:sz w:val="24"/>
          <w:szCs w:val="24"/>
          <w14:textFill>
            <w14:solidFill>
              <w14:schemeClr w14:val="tx1"/>
            </w14:solidFill>
          </w14:textFill>
        </w:rPr>
        <w:t>科学谋划防洪安全、饮水安全、用水安全、河库生态安全及水治理能力现代化五大体系。完善山洪灾害防治体系建设，加强县城防洪达标建设，实现洪旱无虞、饮水放心、用水便捷、资源节约、环境友好、亲水宜居，基本建成与经济社会发展相适应的水安全保障体系。</w:t>
      </w:r>
      <w:bookmarkStart w:id="215" w:name="_Toc49089534"/>
      <w:bookmarkStart w:id="216" w:name="_Toc58274590"/>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完善综合防洪减灾</w:t>
      </w:r>
      <w:bookmarkEnd w:id="215"/>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体系</w:t>
      </w:r>
      <w:bookmarkEnd w:id="216"/>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。堤防工程体系。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实施规划区内酉水河重要河段县城段、里耶镇段及酉水河重要支流（里耶长潭河、洗车河）综合整治工程；分年度、分段实施6条中小河流（果利河、洗车河、皮渡河、贾市河、几车河、小河溪）15段治理及17段农村河道综合治理，提高沿河各乡镇的防洪减灾能力</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。山洪灾害防治体系。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对人员集中、危害严重的山洪沟进行重点治理，规划实施17条重点山洪沟的灾害防治工程建设。</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重点涝区治理体系。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在召市镇、苗儿滩镇、红岩溪镇、桂塘镇、水田坝镇、里耶镇等重要集镇及全县易涝点进行防洪排涝工程建设。</w:t>
      </w:r>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水库安全体系。对贾坝、卧龙两座中型水库进行除险加固，并对全县91</w:t>
      </w:r>
      <w:r>
        <w:rPr>
          <w:rFonts w:hint="eastAsia" w:ascii="方正书宋简体" w:hAnsi="方正书宋简体" w:eastAsia="方正书宋简体" w:cs="方正书宋简体"/>
          <w:color w:val="000000" w:themeColor="text1"/>
          <w:sz w:val="24"/>
          <w:szCs w:val="24"/>
          <w14:textFill>
            <w14:solidFill>
              <w14:schemeClr w14:val="tx1"/>
            </w14:solidFill>
          </w14:textFill>
        </w:rPr>
        <w:t>座小Ⅰ、小Ⅱ型水库进行安全鉴定，全面排查全县病险水库隐患并进行除险加固；新建石牌，洗车中型水库，发挥水库防洪、供水、灌溉、旅游等综合效益。</w:t>
      </w:r>
      <w:bookmarkStart w:id="217" w:name="_Toc58274591"/>
      <w:bookmarkStart w:id="218" w:name="_Toc49089535"/>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提高饮水用水安全保障能力</w:t>
      </w:r>
      <w:bookmarkEnd w:id="217"/>
      <w:bookmarkEnd w:id="218"/>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重点解决农村安全饮水难、县城区供水提质问题。对卧龙、英雄、梨园、里耶、贾坝等重点水源地实施保护，对全县21个乡镇街道进行重点饮用水水源地保护；实施“三化供水”工程，通过扩大延伸城市供水管网，建设集中供水设施，提升运营管护能力等措施，进一步提升农村地区集中供水率、自来水普及率、供水保障率，逐步实现城乡供水同网、同质、同服务；建设龙潭河水库、英雄水库为县城第二水源。在茨岩塘镇、苗儿滩镇、里耶镇、召市镇、靛房镇新建5个小(I)型水库，为农业灌溉和乡镇供水提供水源；完成县域武酉源大型灌区（卧龙、贾坝灌区）续建配套节水改造规划；完成中型灌区（苗儿滩、茅坪、茨岩、洗洛河、几车河、双潭溪）节水改造工程；新建龙潭河中型灌区和以小型水库为主的小型灌区，为农业增产增收提供基础性保障。</w:t>
      </w:r>
      <w:bookmarkStart w:id="219" w:name="_Toc58274592"/>
      <w:bookmarkStart w:id="220" w:name="_Toc49089536"/>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建立现代化水环境治理体系</w:t>
      </w:r>
      <w:bookmarkEnd w:id="219"/>
      <w:bookmarkEnd w:id="220"/>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。开展重点河库水生态环境综合治理、修复与</w:t>
      </w:r>
      <w:r>
        <w:rPr>
          <w:rFonts w:hint="eastAsia" w:ascii="方正书宋简体" w:hAnsi="方正书宋简体" w:eastAsia="方正书宋简体" w:cs="方正书宋简体"/>
          <w:color w:val="000000" w:themeColor="text1"/>
          <w:sz w:val="24"/>
          <w:szCs w:val="24"/>
          <w14:textFill>
            <w14:solidFill>
              <w14:schemeClr w14:val="tx1"/>
            </w14:solidFill>
          </w14:textFill>
        </w:rPr>
        <w:t>保护工程，完成果利河、酉水河县城段、里耶等水生态环境治理项目和一批重点乡镇河库水生态环境综合治理、修复与保护工程，实现重要河库水功能区和饮用水水源地水质全面达标。完成10处水土保持治理工作，治理水土流失面积810km</w:t>
      </w:r>
      <w:r>
        <w:rPr>
          <w:rFonts w:hint="eastAsia" w:ascii="方正书宋简体" w:hAnsi="方正书宋简体" w:eastAsia="方正书宋简体" w:cs="方正书宋简体"/>
          <w:color w:val="000000" w:themeColor="text1"/>
          <w:sz w:val="24"/>
          <w:szCs w:val="24"/>
          <w:vertAlign w:val="superscript"/>
          <w14:textFill>
            <w14:solidFill>
              <w14:schemeClr w14:val="tx1"/>
            </w14:solidFill>
          </w14:textFill>
        </w:rPr>
        <w:t>2</w:t>
      </w:r>
      <w:r>
        <w:rPr>
          <w:rFonts w:hint="eastAsia" w:ascii="方正书宋简体" w:hAnsi="方正书宋简体" w:eastAsia="方正书宋简体" w:cs="方正书宋简体"/>
          <w:color w:val="000000" w:themeColor="text1"/>
          <w:sz w:val="24"/>
          <w:szCs w:val="24"/>
          <w14:textFill>
            <w14:solidFill>
              <w14:schemeClr w14:val="tx1"/>
            </w14:solidFill>
          </w14:textFill>
        </w:rPr>
        <w:t>。依托6条中小河流，加强水利风景区和水利特色小镇建设。不断完善科学、高效、协调、民主的流域水管理体制，不断健全水法治体系，全面落实河库管护与水利工程建管调度责任，加强水利人才队伍建设，大幅度提升水科技支撑水平和水安全保障智慧化水平，保障河库水生态安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加快能源结构优化升级。</w:t>
      </w:r>
      <w:r>
        <w:rPr>
          <w:rFonts w:hint="eastAsia" w:ascii="方正书宋简体" w:hAnsi="方正书宋简体" w:eastAsia="方正书宋简体" w:cs="方正书宋简体"/>
          <w:color w:val="000000" w:themeColor="text1"/>
          <w:sz w:val="24"/>
          <w:szCs w:val="24"/>
          <w14:textFill>
            <w14:solidFill>
              <w14:schemeClr w14:val="tx1"/>
            </w14:solidFill>
          </w14:textFill>
        </w:rPr>
        <w:t>能源是重要基础产业，高质量谋划能源发展既要立足当前，也要谋划长远。深入推进“四个革命、一个合作”能源安全新战略，加快构建清洁低碳、安全高效的能源体系。依托龙山县域资源优势，全面实施能源基础设施补短板工程，构建集水电、风电、光伏发电、页岩气、天然气于一体的多种能源并举的大能源格局。结合储能新技术，提升可再生能源在县域能源供应中的比重，突破能源瓶颈，改善能源结构，促进龙山经济社会可持续发展。</w:t>
      </w:r>
      <w:bookmarkStart w:id="221" w:name="_Toc58274587"/>
      <w:bookmarkStart w:id="222" w:name="_Toc49089531"/>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推动新型能源发展</w:t>
      </w:r>
      <w:bookmarkEnd w:id="221"/>
      <w:bookmarkEnd w:id="222"/>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优先开发利用可再生能源，大力发展清洁能源，加快推动新型能源和可再生资源利用，建立渠道多元、网架坚强、协同发展的绿色多元化能源供给格局。以大灵山风电场项目、李家湾风电场项目推动全县风力资源开发利用；以龙山区块页岩气井项目为支撑，加快页岩气开发利用，着力培育战略性新兴能源产业。规划建设公共充电桩，在城市配送车辆、公共用车、私人用车等领域推广新能源车应用。探索风能、太阳能等可再生资源开发利用，推动建设以用户端自发自用为主的分布式能源网络。充分利用未利用地积极发展光伏发电，有序推进龙潭河、高桥水电开发。</w:t>
      </w:r>
      <w:bookmarkStart w:id="223" w:name="_Toc49089532"/>
      <w:bookmarkStart w:id="224" w:name="_Toc58274588"/>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加快能源设施建设</w:t>
      </w:r>
      <w:bookmarkEnd w:id="223"/>
      <w:bookmarkEnd w:id="224"/>
      <w:r>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t>。加快推进能源设施建设，完善电网、气网能源网络。继续实施湘西州35千伏及以上输变电工程项</w:t>
      </w:r>
      <w:r>
        <w:rPr>
          <w:rFonts w:hint="eastAsia" w:ascii="方正书宋简体" w:hAnsi="方正书宋简体" w:eastAsia="方正书宋简体" w:cs="方正书宋简体"/>
          <w:color w:val="000000" w:themeColor="text1"/>
          <w:sz w:val="24"/>
          <w:szCs w:val="24"/>
          <w14:textFill>
            <w14:solidFill>
              <w14:schemeClr w14:val="tx1"/>
            </w14:solidFill>
          </w14:textFill>
        </w:rPr>
        <w:t>目，提升整体容量裕度，解决多级串供、单电源供电、光伏和风力发电并网问题，满足新增负荷需求。加大农网改造升级力度，优化网络结构，缩短供电半径，提高供电质量和可靠性。继续实施湘西州天然气长输管网工程，加大县城区天然气管网升级改造力度，规划建设配套能源储备设施，支持新能源汽车加气站等设施建设，实施城乡天然气管网建设项目，加快推进天然气管网延伸，保障城乡能源供应，实现全县建制镇天然气供气全覆盖。加快智慧能源基础设施建设，到2025年，建成能源设施数字智能化，实现全县能源“一张网”。</w:t>
      </w:r>
    </w:p>
    <w:p>
      <w:pPr>
        <w:keepNext w:val="0"/>
        <w:keepLines w:val="0"/>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kern w:val="44"/>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kern w:val="44"/>
          <w:sz w:val="28"/>
          <w:szCs w:val="28"/>
          <w14:textFill>
            <w14:solidFill>
              <w14:schemeClr w14:val="tx1"/>
            </w14:solidFill>
          </w14:textFill>
        </w:rPr>
        <w:br w:type="page"/>
      </w: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225" w:name="_Toc60048919"/>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226" w:name="_Toc12061_WPSOffice_Level1"/>
      <w:r>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t>第四篇  统筹发展和安全，建成绿色文化</w:t>
      </w:r>
      <w:bookmarkEnd w:id="226"/>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pPr>
      <w:bookmarkStart w:id="227" w:name="_Toc22734_WPSOffice_Level2"/>
      <w:bookmarkStart w:id="228" w:name="_Toc30345_WPSOffice_Level2"/>
      <w:r>
        <w:rPr>
          <w:rFonts w:hint="eastAsia" w:ascii="方正小标宋简体" w:hAnsi="方正小标宋简体" w:eastAsia="方正小标宋简体" w:cs="方正小标宋简体"/>
          <w:b w:val="0"/>
          <w:bCs w:val="0"/>
          <w:color w:val="000000" w:themeColor="text1"/>
          <w:w w:val="100"/>
          <w:kern w:val="44"/>
          <w:sz w:val="30"/>
          <w:szCs w:val="30"/>
          <w14:textFill>
            <w14:solidFill>
              <w14:schemeClr w14:val="tx1"/>
            </w14:solidFill>
          </w14:textFill>
        </w:rPr>
        <w:t>开放健康平安龙山</w:t>
      </w:r>
      <w:bookmarkEnd w:id="225"/>
      <w:bookmarkEnd w:id="227"/>
      <w:bookmarkEnd w:id="228"/>
      <w:bookmarkStart w:id="229" w:name="_Toc60048920"/>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Theme="minorEastAsia" w:hAnsiTheme="minorEastAsia" w:eastAsiaTheme="minorEastAsia" w:cstheme="minorEastAsia"/>
          <w:b w:val="0"/>
          <w:bCs w:val="0"/>
          <w:color w:val="000000" w:themeColor="text1"/>
          <w:w w:val="100"/>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jc w:val="center"/>
        <w:textAlignment w:val="auto"/>
        <w:outlineLvl w:val="0"/>
        <w:rPr>
          <w:rFonts w:hint="eastAsia" w:ascii="黑体" w:hAnsi="黑体" w:eastAsia="黑体" w:cs="黑体"/>
          <w:b w:val="0"/>
          <w:bCs w:val="0"/>
          <w:color w:val="000000" w:themeColor="text1"/>
          <w:w w:val="100"/>
          <w:sz w:val="30"/>
          <w:szCs w:val="30"/>
          <w14:textFill>
            <w14:solidFill>
              <w14:schemeClr w14:val="tx1"/>
            </w14:solidFill>
          </w14:textFill>
        </w:rPr>
      </w:pPr>
      <w:bookmarkStart w:id="230" w:name="_Toc17401_WPSOffice_Level2"/>
      <w:r>
        <w:rPr>
          <w:rFonts w:hint="eastAsia" w:ascii="黑体" w:hAnsi="黑体" w:eastAsia="黑体" w:cs="黑体"/>
          <w:b w:val="0"/>
          <w:bCs w:val="0"/>
          <w:color w:val="000000" w:themeColor="text1"/>
          <w:w w:val="100"/>
          <w:sz w:val="30"/>
          <w:szCs w:val="30"/>
          <w14:textFill>
            <w14:solidFill>
              <w14:schemeClr w14:val="tx1"/>
            </w14:solidFill>
          </w14:textFill>
        </w:rPr>
        <w:t>第十三章  推动绿色龙山建设，实现生态文明建设新进步</w:t>
      </w:r>
      <w:bookmarkEnd w:id="229"/>
      <w:bookmarkEnd w:id="230"/>
    </w:p>
    <w:p>
      <w:pPr>
        <w:pStyle w:val="6"/>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Style w:val="6"/>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依托县域资源与区位优势，推动我县国家生态文明建设示范县创建，全面加强生态制度、生态安全、生态空间、生态经济、生态生活和生态文化六大建设，探索具有地方特色的生态文明发展模式，建成“国土空间布局合理、发展模式绿色高效、生态环境优美宜居、生活方式低碳节约、生态制度完善健全、生态文化鲜明繁荣”的国家生态文明建设示范县。</w:t>
      </w: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31" w:name="_Toc60048921"/>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32" w:name="_Toc2489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全面推动绿色低碳发展</w:t>
      </w:r>
      <w:bookmarkEnd w:id="231"/>
      <w:bookmarkEnd w:id="232"/>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全面加强节能降耗，严格实行污染减排，强化资源节约利用，大力推进绿色低碳循环发展，推动全社会形成绿色生产和绿色消费自觉，提高资源利用综合效益。到2025年，工业固体废弃物综合利用率达到85%，工业用水循环利用率达到75%，重点工业废气排放达标率95%。</w:t>
      </w:r>
      <w:bookmarkStart w:id="233" w:name="_Hlk59889049"/>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规模以上工业万元增加值综合能耗下降18%，</w:t>
      </w:r>
      <w:bookmarkEnd w:id="233"/>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主要污染物排放总量年均减少3%以上。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全面加强节能降耗。</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积极落实国家碳排放达峰行动方案，降低碳排放强度。大力推进产业结构优化升级，加快淘汰污染严重、技术落后的项目。转变能源消费理念，强化工业、交通、建筑节能和重点领域节能降耗，鼓励其开发和运用先进节材技术、装备和工艺，推进流程再造管理，降低原材料消耗，切实扭转粗放用能方式。实施能源消费总量控制、单位产品能耗标准、绿色建筑设计标准、污染排放标准等约束，倒逼企业节能降耗和产业转型升级。积极推广节能与新能源交通运输装备，同时鼓励使用高效节能农业生产设备。强化节能降耗目标责任评价考核，把好准入门槛，逐步实施投资项目能源使用后评价制度。全面建立资源高效利用制度，推进自然资源资产产权制度改革，实行能源和水资源消耗、建设用地总量与强度双控，建立水资源刚性约束制度。完善生态环境市场机制，加快建立用能权、用水权、排污权和碳排放权交易市场体系。到2025年，通过节能降耗措施的实施，规模以上工业万元增加值综合能耗下降18%。</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严格实行污染减排。</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大力推进主要污染物总量减排，实行环境质量和主要污染物排放总量双控制，建立覆盖所有固定污染源的企业排放许可制度，完善排污许可动态管理。加大对百合加工产业、餐饮业等重点地区和行业的污染排放监督力度；强化大气污染源监测监控；严把建设项目环境影响评估关，控制新增排污量；推进农业源畜禽养殖污染治理工作，加快规模化养殖场污染治理工程。综合考核全县总量减排，加大总量减排考核结果的应用。到2025年，挥发性有机物排放总量比2020年下降10%以上，单位GDP碳排放完成省定任务，污水处理率达到90%以上，黑臭水体均控制在5%以内。</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积极探索绿色发展。</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发挥绿色生态优势，积极探索绿水青山向金山银山转化的高质量发展有效路径，推进低投入、低消耗、低排放和高效率的现代产业发展。推动能源清洁低碳安全高效利用，鼓励使用风能、太阳能等可再生能源。大力推广绿色建筑和装配式建筑，鼓励创办建筑垃圾资源利用等绿色、装配式建筑材料高新技术生产企业，推进城市建筑风貌管控和“装配工建筑+全过程咨询+EPC+BIM”五个立体模式，完善工程建设招投标管理制度，健全质量评价体系，打造一批功能完善、结构合理、消防安全，绿色节能，智慧宜居的高品质建筑。倡导绿色低碳的生活方式，推行政府节能采购、绿色办公，鼓励居民广泛使用节电、节水器具和产品。深入开展“绿色学校”“绿色社区”“绿色工厂”系列创建工作，营造“厉行节约，反对浪费”的社会新风尚。</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大力发展循环经济。</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对产业存量实施循环化改造、增量进行循环化构建，着力打造现代农业、新型工业、现代服务业和社会循环四大循环体系。大力开展重点工业园区循环化改造，构建绿色低碳发展产业体系。加强以工业、建筑业及农业废弃物为重点的资源回收利用，完善再生资源回收体系，实行垃圾分类回收，开发利用“城市矿产”，推进秸秆等农林废弃物以及建筑垃圾、餐厨废弃物资源化利用，发展再制造和再生利用产品。以资源高效循环利用为核心，着力构建循环经济产业链，推进龙山食品加工、中药材产业及相关产业之间共生耦合，实施一批重点领域、重点园区、重点企业的循环经济试点。</w:t>
      </w:r>
    </w:p>
    <w:p>
      <w:pPr>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234" w:name="_Toc60048922"/>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35" w:name="_Toc12460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持续改善环境质量</w:t>
      </w:r>
      <w:bookmarkEnd w:id="234"/>
      <w:bookmarkEnd w:id="235"/>
    </w:p>
    <w:p>
      <w:pPr>
        <w:keepNext w:val="0"/>
        <w:keepLines w:val="0"/>
        <w:pageBreakBefore w:val="0"/>
        <w:widowControl w:val="0"/>
        <w:kinsoku/>
        <w:wordWrap/>
        <w:overflowPunct/>
        <w:topLinePunct w:val="0"/>
        <w:autoSpaceDE/>
        <w:autoSpaceDN/>
        <w:bidi w:val="0"/>
        <w:spacing w:line="40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统筹打好“蓝天”“碧水”“净土”保卫战，坚持山水林田湖草系统治理。统筹水环境、水生态、水资源、水安全、水文化，继续巩固重点水域禁捕退捕成效，强化流域系统治理，实施农村河流综合整治，加强农村防洪减灾能力建设强化流域系统治理，加强饮用水水源地污染排查整治。严格落实河长制，坚持因河施策，加大果利河流域生态保护和水污染防治，开展全县黑臭水体整治。深化大气环境治理，巩固扩大蓝天保卫战成果，全面整治“散乱污”企业，继续实施大气重点污染物总量控制，实现大气主要污染物的协同减排和控制，确保环境空气质量综合指数保持全省前列。全面落实“土十条”，开展重点行业土壤污染整治，抓实固体废物、危险废物等污染源监管，强化农村面源污染整治和白色污染治理，加强生活垃圾处理和污水治理，大力推进农村厕所革命，加强受污染地块安全利用，保持土壤环境质量总体稳定。建立健全塑料制品生产、流通、使用、回收处置等环节管理制度，规范塑料废弃物回收利用，有效治理白色污染。加强生活垃圾和危险废物、医疗废物收集无害化处理，基本消除垃圾污染。</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36" w:name="_Toc60048923"/>
      <w:bookmarkStart w:id="237" w:name="_Toc4779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加强生态系统保护与修复</w:t>
      </w:r>
      <w:bookmarkEnd w:id="236"/>
      <w:bookmarkEnd w:id="237"/>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坚持生态保护优先，筑牢长江经济带生态安全屏障，加强生态环境保护和修复，促进人与自然和谐共生。</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巩固生态保护成果。</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切实增强“共抓大保护、不搞大开发”思想自觉和行动自觉，坚持山水林田湖草系统治理，全面推进自然保护地体系建设。加大对自然保护区、风景名胜区、森林公园、地质公园、湿地公园等重要生态功能区的保护力度，提高自然保护地管理效能和生态产品供给能力。实施绿色龙山工程，推进生态廊道、森林质量精准提升等重点生态工程建设，加大森林资源提质改造，合理有序开展国土绿化行动，推进旅游景区、公路（铁路）两旁、河道两岸、城镇周边等重点区域造林绿化，持续打造绿廊绿道，建设绿色生态龙山。到2025年，全县森林覆盖率达到71%以上，林地面积稳定在24万公顷以上，森林蓄积量达到1030万立方米以上，生态公益林和天保林面积稳定在286.7万亩以上。全县自然保护地得到有效保护，面积占比达到10.6%以上。</w:t>
      </w:r>
    </w:p>
    <w:p>
      <w:pPr>
        <w:keepNext w:val="0"/>
        <w:keepLines w:val="0"/>
        <w:pageBreakBefore w:val="0"/>
        <w:widowControl w:val="0"/>
        <w:kinsoku/>
        <w:wordWrap/>
        <w:overflowPunct/>
        <w:topLinePunct w:val="0"/>
        <w:autoSpaceDE/>
        <w:autoSpaceDN/>
        <w:bidi w:val="0"/>
        <w:spacing w:line="420" w:lineRule="exact"/>
        <w:ind w:firstLine="482" w:firstLineChars="200"/>
        <w:textAlignment w:val="auto"/>
      </w:pP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加快推进生态修复。</w:t>
      </w:r>
      <w:r>
        <w:rPr>
          <w:rFonts w:hint="eastAsia" w:ascii="方正书宋简体" w:hAnsi="方正书宋简体" w:eastAsia="方正书宋简体" w:cs="方正书宋简体"/>
          <w:color w:val="000000" w:themeColor="text1"/>
          <w:kern w:val="2"/>
          <w:sz w:val="24"/>
          <w:szCs w:val="24"/>
          <w:lang w:val="en-US" w:eastAsia="zh-CN" w:bidi="ar-SA"/>
          <w14:textFill>
            <w14:solidFill>
              <w14:schemeClr w14:val="tx1"/>
            </w14:solidFill>
          </w14:textFill>
        </w:rPr>
        <w:t>大力开展生态保护与修复，推进石漠化、水土流失综合治理，强化湿地保护和修复。实施一批重要生态系统保护和修复重大工程，构建生态廊道和生物多样性保护网络，提升生态系统质量和稳定性，确保生态安全。进一步实施好退耕还林还湿工程，完善生态公益林和天然林保护修复制度，继续加大人工造林面积。有序推进矿山生态修复治理，强化整合和绿色矿山建设，抓好矿物废渣风险管控，加快重点区域矿山和历史遗留废弃矿山生态修复，持续推进砂石土矿整治整合。加大生物多样性保护，加强重点野生动物栖息地、野生植物原生地保护，严厉打击乱砍滥伐、乱采滥挖、乱捕滥猎、乱征滥占林地等违法行为，强化森林防火和林业有害生物防治体系建设。加快构建信息共享系统，建立古树名木、珍稀物种和珍稀林业野生生物资源保护基础数据库，开展林木种质资源普查与收集行动，筛选优良生物遗传基因。“十四五”期末，全县区域内水土流失面积不超过国土面积23%（省定目标），河道生态流量达标率达到90%，重要河流水域岸线监管率100%。</w:t>
      </w:r>
    </w:p>
    <w:p>
      <w:pPr>
        <w:pStyle w:val="3"/>
        <w:ind w:left="0"/>
        <w:rPr>
          <w:color w:val="000000" w:themeColor="text1"/>
          <w14:textFill>
            <w14:solidFill>
              <w14:schemeClr w14:val="tx1"/>
            </w14:solidFill>
          </w14:textFill>
        </w:rPr>
      </w:pPr>
    </w:p>
    <w:tbl>
      <w:tblPr>
        <w:tblStyle w:val="18"/>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6280" w:type="dxa"/>
            <w:shd w:val="clear" w:color="auto" w:fill="auto"/>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专栏12  污水处理设施重点工程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9" w:hRule="atLeast"/>
          <w:jc w:val="center"/>
        </w:trPr>
        <w:tc>
          <w:tcPr>
            <w:tcW w:w="6280" w:type="dxa"/>
            <w:shd w:val="clear" w:color="auto" w:fill="auto"/>
          </w:tcPr>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1.龙山县排水防涝项目：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县城新建雨水管涵，雨污分流改造，堤防、岸坡整治12公里及河道清淤等；里耶防洪堤迎水面(253-258高程)生态改造、河湖水系连通的取排水设施、泵站改造；乡镇新建堤防、岸坡整治110公里及河道清淤，易涝点消水工程；召市方坡新开隧洞至酉水河，有压隧洞全长6.0km。</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2.龙山县城市污水处理项目：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县城民安宝塔污水厂，螺蛳滩污水厂，土城坝工业园污水厂，里耶镇新区4个污水处理厂及配套管网建设（新建/提质扩能），对原有排水、排水管道升级改造，污水处理总设计规模为6万吨/天，管网总长度为122.915公里；新建污水提升泵站（规模2万m3/d）、雨水提升泵站（规模13.7m3/s）；新建排水信息化平台1套。</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3.龙山县乡镇污水处理项目：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茨岩塘镇、召市镇等18个乡镇污水厂，每个污水处理设计规模为150吨/天-5000吨/天，配套管网123.5公里；石羔街道办事处、茨岩塘镇、兴隆街道办事处农村生活污水处理，建设集中式污水处理设施51套，铺设污水收集管网108公里.农村生活污水处理，建设集中式污水处理设施354套，分散式污水处理设施3540套，铺设污水收集管网1000公里。</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4.龙山县“海绵城市”建设试点工程项目：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涉及城市规划、供水、防洪、排涝、环境保护等方面。包括建设县城区、里耶镇两地的渗、滞、蓄、净、用、排工程；建设县城区、里耶镇城区外的防洪、水源地保护、涵养工程，涵盖新建设控制性防洪堤防、水源地保护、绿色生态建设等工程；对里耶镇长潭河、杨家溪河道及其支流实施综合治理，对县城果利河三桥以下段河道实施综合治理。</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5.龙山县里耶水生态系统综合整治项目：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关闭并拆除3家砖厂；水源地保护区隔离防护及警示标志工程：设置防护网3460m，植物篱3460m，界标23块，宣传牌5块，交通警示牌8块；居民生活污水处理工程：建设309套分散式污水处理系统，其中单户四池净化系统为30座，五联户四池净化系统为279座，配套PVC管网8580m；生活垃圾治理工程：配备户用垃圾桶429套、沤肥池215座、垃圾回收屋 2座、保洁车6辆、垃圾11亩，建有机物发酵处理池100 座、化学品包装物田间收转运车2辆，中转站1个；农业面源污染防治工程：退耕还林集池100座、太阳能杀虫灯100套、生态沟渠1500m，推广测土配方施肥技术等；畜禽养殖污染防治：退养畜禽养殖户18家，新建沤肥池116座；清漂工程：配备全自动清漂船1艘、垃圾运输船2艘、卸车2辆、吊车1辆、打捞专用码头1个；水源地保护宣传教育工程：印刷及发放保护宣传册1000份，编辑制作光盘、音像资料，借助广播媒体进行饮水保护宣传，在保护区及其周边地区营造保护水源的良好氛围；保护区监控能力建设工程：构建2 套自动视频监控系统和1套实验室检测系统；风险防控及应急能力建设工程：建设1套水源风险源基础数据库、1套预报系统和1套安全应急系统。项目实施后，消除水源地环境污染安全隐患，确保水质安全。2.污水处理、保护区生态修复、保护区移民搬迁、畜禽退养等。3.酉水河及里耶长潭河清淤及饮用水源保护。</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6.龙山县华塘街道皇仓中学至城北酉水河段黑臭水体整治项目：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华塘街道皇仓中学至城北酉水河段黑臭水体整治项目位于龙山县华塘片区及螺蛳滩片区，起点位于皇仓中学合流排污口，终点至酉水河以及螺蛳滩污水处理厂，河道整治后明渠尺寸为B×H=5（12.5）×2.5，长度2651米，污水管管径D600~D1200，总长度2221米。5000万元。</w:t>
            </w:r>
          </w:p>
          <w:p>
            <w:pPr>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7.龙山县城区人民医院至县民族路段黑臭水体整治项目：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龙山县城区人民医院至县民族路段黑臭水体整治项目位于龙山县老城区，该水体流向呈东北——西南走向，北起人民医院后方，南至民族路，全长约1149米，整治后雨水管径D1200~D1500，污水管管径D400~D500。3000万元。</w:t>
            </w:r>
          </w:p>
        </w:tc>
      </w:tr>
    </w:tbl>
    <w:p>
      <w:pPr>
        <w:pStyle w:val="2"/>
        <w:rPr>
          <w:color w:val="000000" w:themeColor="text1"/>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38" w:name="_Toc60048924"/>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39" w:name="_Toc23175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完善生态环境治理体系</w:t>
      </w:r>
      <w:bookmarkEnd w:id="238"/>
      <w:bookmarkEnd w:id="239"/>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b/>
          <w:bCs/>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完善生态环境监管制度。</w:t>
      </w:r>
      <w:r>
        <w:rPr>
          <w:rFonts w:hint="eastAsia" w:ascii="方正书宋简体" w:hAnsi="方正书宋简体" w:eastAsia="方正书宋简体" w:cs="方正书宋简体"/>
          <w:color w:val="000000" w:themeColor="text1"/>
          <w:sz w:val="24"/>
          <w:szCs w:val="24"/>
          <w14:textFill>
            <w14:solidFill>
              <w14:schemeClr w14:val="tx1"/>
            </w14:solidFill>
          </w14:textFill>
        </w:rPr>
        <w:t>完善污染物排放监管制度，健全执法部门调查工作机制和解决突出环境问题工作程序。建立覆盖所有固定污染源的企业排放许可制度，将企业污染物排放种类、浓度、总量、排放去向等纳入许可证管理范围，禁止无证排污和超标准、超总量排污。完善环境影响评价、清洁生产审核等制度。推进环境信息公开、环境公益诉讼等制度实施，保障民众知情权，维护公众环境权益。建立生态保护修复和污染防治区域联动机制。</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严守资源环境生态红线。</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三线一单”，细化环境功能分区，实施差别化环境准入政策。在重点生态功能区、生态环境敏感区和脆弱区等区域划定生态红线，确保生态功能不降低、面积不减少、性质不改变。积极推进生态环境空间分区管治，进行生态重要性、敏感性和脆弱性评价，依法管理、强制保护禁止开发区域，生态优先、在保护中开发重点生态功能区。科学划定森林、草原、湿地等领域生态红线，严格自然生态空间征(占)用管理，遏制生态系统退化。探索建立资源环境承载能力监测预警机制，对资源消耗和环境容量接近或超过承载能力的地区，及时采取区域限批等限制性措施。</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健全生态保护补偿机制。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建立健全排污权有偿使用和交易制度，发展排污权交易市场，规范排污交易价格行为。探索建立流域上下游之间横向生态保护补偿机制，建立生态产品购买、森林碳汇等市场化补偿制度。在重点领域、重点园区和重点污染区，开展环境污染第三方治理特许经营试点。建立生态效益评估机制。设立生态补偿专项基金，提高生态公益林等补偿标准。加快形成生态损害者赔偿、受益者付费、保护者得到合理补偿的运行机制。归并和规范现有生态保护补偿渠道，加大探索重点区域环境整治多方筹资模式。完善土地有偿使用、林地流转、矿产资源等自然资源有偿使用制度，积极开展重点生态功能区生态补偿试点，争取国家或省级加大对重点生态功能区的扶持力度。</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完善考核责任追究制度。</w:t>
      </w:r>
      <w:r>
        <w:rPr>
          <w:rFonts w:hint="eastAsia" w:ascii="方正书宋简体" w:hAnsi="方正书宋简体" w:eastAsia="方正书宋简体" w:cs="方正书宋简体"/>
          <w:color w:val="000000" w:themeColor="text1"/>
          <w:sz w:val="24"/>
          <w:szCs w:val="24"/>
          <w14:textFill>
            <w14:solidFill>
              <w14:schemeClr w14:val="tx1"/>
            </w14:solidFill>
          </w14:textFill>
        </w:rPr>
        <w:t>把资源消耗、环境损害、生态效益等指标纳入经济社会发展综合评价体系，大幅增加考核权重，强化指标约束。完善政绩考核办法，根据区域主体功能定位，逐步实行差别化的考核制度。探索编制自然资源资产负债表，严格落实党政领导干部自然资源资产离任审计和生态环境损害责任终身追究制度，严格落实“一岗双责”。建立领导干部任期生态文明建设责任制，完善节能减排目标责任考核及问责制度，对违背科学发展要求、盲目决策、监管不严、失职渎职等造成资源环境生态严重破坏的，实行终身追责。加强社会监督，严格落实河长制，推行林长制。培育和提升公民生态环保素养，完善生态文明建设目标评价考核机制。</w:t>
      </w:r>
    </w:p>
    <w:p>
      <w:pPr>
        <w:pStyle w:val="2"/>
        <w:rPr>
          <w:color w:val="000000" w:themeColor="text1"/>
          <w14:textFill>
            <w14:solidFill>
              <w14:schemeClr w14:val="tx1"/>
            </w14:solidFill>
          </w14:textFill>
        </w:rPr>
      </w:pPr>
    </w:p>
    <w:tbl>
      <w:tblPr>
        <w:tblStyle w:val="18"/>
        <w:tblW w:w="6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616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专栏13  生态环境保护重点工程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8" w:hRule="atLeast"/>
          <w:jc w:val="center"/>
        </w:trPr>
        <w:tc>
          <w:tcPr>
            <w:tcW w:w="6160" w:type="dxa"/>
            <w:shd w:val="clear" w:color="auto" w:fill="FFFFFF"/>
          </w:tcPr>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1.龙山县山水林田湖草生态保护修护项目：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新城至茨岩塘生态修复单元411.88平方公里，洛塔生态修复单元115.69平方公里，猛必生态修复单元58.64平方公里，八面山修复单元206.51平方公里。</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2.龙山县酉水河流域生态修复工程项目：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酉水河县城段流域治理（含果利河），新建河堤50公里，河道清淤，河岸护坡，水土修复等，建设酉水河（果利河）风光带，对酉水河（果利河）进行污染治理、生态复绿、健康步道等进行建设。总投资20亿元。</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3.龙山县农业环境监测与综合治理工程项目：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全县建设农业环境综合监测点6个，主要进行土壤、水、农产品和大气降尘中重金属含量以及土壤PH值长期定位监测，并根据监测数据进行合理农业治理。同时，在全县实施土壤改良、测土配方施肥、农作物秸秆综合再利用、农业废弃物处理利用、农业污染源治理等。</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4.龙山县农业废弃物资源化利用项目：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在兴隆街道建设日产2万立方米生物天然气的沼气工程、年产1万吨固态有机肥加工厂建设。包括大型沼气工程、固态有机肥加工厂、农业废弃物收集设施设备、循环农业产业园建设。2.在召市镇、里耶镇、红岩溪镇、洗车河镇、水田坝镇新建农业废弃物收集网点。3.全县畜牧养殖场畜禽粪污处理、加工设施设备建设。</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5.龙山县垃圾填埋场防渗透改造项目：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建设垃圾填埋场雨水、地下水、渗滤液导排系统；对垃圾填埋场进行防渗改造工程，扩建垃圾渗虑液处理设施，对周边饮用水源（水井）修复改造；垃圾填埋场水库综合治理。</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6.龙山县全域土地综合整治项目：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对城区周边、景区周边、园区周边配合城市发展、景区发展和园区发展开展全域土地综合整治。</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7.龙山县森林质量精准提升项目：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退化防护林修复20000公顷，其中更新改造10000公顷、择伐补造10000公顷。2、中央财政补贴森林抚育20000公顷。3、完成中央财政补贴造林2000公顷，其中造林1000公顷，低产林改造1000公顷。4、对桤木人工低效林进行可持续经营改造。</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8.龙山县绿色矿山开发及修复项目：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项目主要包括绿色矿山开采、矿山开采后的生态修复和建筑垃圾综合利用三个方面。</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9.龙山县森林资源保护工程：</w:t>
            </w:r>
            <w:r>
              <w:rPr>
                <w:rFonts w:hint="eastAsia" w:asciiTheme="minorEastAsia" w:hAnsiTheme="minorEastAsia" w:eastAsiaTheme="minorEastAsia" w:cstheme="minorEastAsia"/>
                <w:color w:val="000000" w:themeColor="text1"/>
                <w:sz w:val="18"/>
                <w:szCs w:val="18"/>
                <w14:textFill>
                  <w14:solidFill>
                    <w14:schemeClr w14:val="tx1"/>
                  </w14:solidFill>
                </w14:textFill>
              </w:rPr>
              <w:t>加强公益林和天然林保护管理，全面提升公益林和天然林森林质量和生态服务功能。生态公益林保护面积达82278公顷，天然林保护面积达108853.3公顷。加强森林、林木、林地消长变化的监测评价和动态管理，构建森林资源监测体系，试点开展239.8万公顷森林资源监测体系建设.</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10.龙山县湿地生态修复项目：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景观改造1350公顷（扩绿增绿150公顷，景观改造1200公顷）。建设龙浒湿地公园（龙颈坳），面积约600979m2的湿地公园。</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11.龙山县石漠化综合治理项目：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实施石漠化综合治理10000公顷（造林1000公顷，补植型封育5000公顷，低效林改造4000公顷）。</w:t>
            </w:r>
          </w:p>
          <w:p>
            <w:pPr>
              <w:keepNext w:val="0"/>
              <w:keepLines w:val="0"/>
              <w:pageBreakBefore w:val="0"/>
              <w:widowControl w:val="0"/>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12.龙山县废弃矿区生态修复项目：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建设内容包含对全县废弃矿山、遗留采场进行土地复垦，修复林地、耕地、草地。总投资20000万元。</w:t>
            </w:r>
          </w:p>
          <w:p>
            <w:pPr>
              <w:pStyle w:val="2"/>
              <w:keepNext w:val="0"/>
              <w:keepLines w:val="0"/>
              <w:pageBreakBefore w:val="0"/>
              <w:widowControl w:val="0"/>
              <w:tabs>
                <w:tab w:val="center" w:pos="4153"/>
                <w:tab w:val="right" w:pos="8306"/>
              </w:tabs>
              <w:kinsoku/>
              <w:wordWrap/>
              <w:overflowPunct/>
              <w:topLinePunct w:val="0"/>
              <w:autoSpaceDE/>
              <w:autoSpaceDN/>
              <w:bidi w:val="0"/>
              <w:adjustRightInd/>
              <w:snapToGrid w:val="0"/>
              <w:spacing w:line="26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13.龙山县森林乡村和森林人家建设项目：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建设生态村397个，森林人家50个，创建州级最美乡村50个以上，创建省级美丽乡村10个以上。</w:t>
            </w:r>
          </w:p>
        </w:tc>
      </w:tr>
    </w:tbl>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pacing w:val="0"/>
          <w:w w:val="100"/>
          <w:sz w:val="30"/>
          <w:szCs w:val="30"/>
          <w14:textFill>
            <w14:solidFill>
              <w14:schemeClr w14:val="tx1"/>
            </w14:solidFill>
          </w14:textFill>
        </w:rPr>
      </w:pPr>
      <w:bookmarkStart w:id="240" w:name="_Toc60048929"/>
      <w:bookmarkStart w:id="241" w:name="_Toc562_WPSOffice_Level2"/>
      <w:r>
        <w:rPr>
          <w:rFonts w:hint="eastAsia" w:ascii="黑体" w:hAnsi="黑体" w:eastAsia="黑体" w:cs="黑体"/>
          <w:b w:val="0"/>
          <w:bCs w:val="0"/>
          <w:color w:val="000000" w:themeColor="text1"/>
          <w:spacing w:val="0"/>
          <w:w w:val="100"/>
          <w:sz w:val="30"/>
          <w:szCs w:val="30"/>
          <w14:textFill>
            <w14:solidFill>
              <w14:schemeClr w14:val="tx1"/>
            </w14:solidFill>
          </w14:textFill>
        </w:rPr>
        <w:t>第十四章  繁荣发展社会主义文化，推动社会文明程度得到新提高</w:t>
      </w:r>
      <w:bookmarkEnd w:id="240"/>
      <w:bookmarkEnd w:id="241"/>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以社会主义核心价值观为引领，坚定文化自信，加强社会主义精神文明建设，提高社会文明程度，传承发展中华优秀传统文化，加强历史文化资源发掘研究，做好文化遗产保护传承，提高龙山文化软实力，推动文化事业繁荣发展，公共文化服务体系达标建设进入全省先进行列。</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42" w:name="_Toc60048930"/>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43" w:name="_Toc2389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提高社会文明程度</w:t>
      </w:r>
      <w:bookmarkEnd w:id="242"/>
      <w:bookmarkEnd w:id="243"/>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以社会主义核心价值观为引领，加强思想道德建设和社会诚信建设，弘扬中华传统美德和时代新风，倡导科学精神和人文精神，全面提高民众素质和社会文明程度。以加强社会公德、职业道德、家庭美德、个人品德建设为着力点，大力推进公民道德建设，引导人们自觉讲道德、尊道德、守道德。实施文明创建工程，深入开展文明村镇、文明单位、文明家庭、文明校园创建活动，拓展新时代文明实践中心建设，不断增强人们文明实践自觉。健全志愿服务体系，广泛开展志愿服务关爱行动，使我为人人、人人为我在全社会蔚然成风。弘扬诚信文化，推进诚信建设，让诚实守信、重信守诺成为人们的内在追求和行为习惯。提倡艰苦奋斗、勤俭节约，坚决反对铺张浪费，在全社会营造浪费可耻、节约光荣的浓厚氛围。开展以劳动创造幸福为主题的宣传教育，引导大众牢固树立劳动最光荣、劳动最崇高、劳动最伟大、劳动最美丽的观念。推进婚丧习俗改革，着力移风易俗，改善农民精神风貌，提高乡村社会文明程度。加强网络文明建设，发展积极健康的网络文化，推动网络空间更加清朗。</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44" w:name="_Toc60048931"/>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45" w:name="_Toc661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加强文化保护利用</w:t>
      </w:r>
      <w:bookmarkEnd w:id="244"/>
      <w:bookmarkEnd w:id="245"/>
    </w:p>
    <w:p>
      <w:pPr>
        <w:pageBreakBefore w:val="0"/>
        <w:widowControl w:val="0"/>
        <w:kinsoku/>
        <w:wordWrap/>
        <w:overflowPunct/>
        <w:topLinePunct w:val="0"/>
        <w:autoSpaceDE/>
        <w:autoSpaceDN/>
        <w:bidi w:val="0"/>
        <w:spacing w:line="420" w:lineRule="exact"/>
        <w:ind w:firstLine="562" w:firstLineChars="200"/>
        <w:textAlignment w:val="auto"/>
        <w:rPr>
          <w:rFonts w:hint="eastAsia" w:asciiTheme="minorEastAsia" w:hAnsiTheme="minorEastAsia" w:eastAsiaTheme="minorEastAsia" w:cstheme="minorEastAsia"/>
          <w:b/>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推进土家文化传承保护</w:t>
      </w:r>
      <w:r>
        <w:rPr>
          <w:rFonts w:hint="eastAsia" w:ascii="楷体" w:hAnsi="楷体" w:eastAsia="楷体" w:cs="楷体"/>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继续坚持“抢救第一、保护为主、合理利用、传承发展”的原则，大力加强文化遗产保护。充分挖掘和利用土家族原生态文化资源优势，打造集土家语言群落、土家体育项目、土家乐器、土家歌舞以及土家农耕文化于一体“农车、靛房、洗车、苗儿滩、里耶”土家文化“活化石”廊道、“传承保护展示区”。在县内增加少数民族文化传承平台和场所，增加非遗传承人专项培训经费，为传承人创造更多外出学习培训和参展交流的机会。建立“土家文化技艺之家”评比机制，持续开展摆手舞、打溜子、织锦技艺、咚咚喹等在内的非遗项目进校园、进机关、进村（社）、进景区等活动，打造全国土家族原生态文化核心区。推进龙山县土家织锦传承保护与体验展示基地、民族文化艺术中心、土家族文化博物馆、苗儿滩镇特色文旅小镇等项目建设。以现有土家医药资源为依托，着力推进乡镇土家医馆建设，延伸土家医药基层服务链条，逐步形成具有浓郁土家特色的医疗体系。结合美丽乡村、传统村落、同心美丽乡村建设，重点打造看得见、立得住、叫得响的少数民族特色村寨，使之成为展现土家建筑、土家饮食、土家语言、摆手舞、哭嫁、咚咚喹、打溜子、毛古斯、三棒鼓、土家织锦技艺等土家文化的重要载体。</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加大红军长征文化旧址保护。</w:t>
      </w:r>
      <w:r>
        <w:rPr>
          <w:rFonts w:hint="eastAsia" w:ascii="方正书宋简体" w:hAnsi="方正书宋简体" w:eastAsia="方正书宋简体" w:cs="方正书宋简体"/>
          <w:color w:val="000000" w:themeColor="text1"/>
          <w:sz w:val="24"/>
          <w:szCs w:val="24"/>
          <w14:textFill>
            <w14:solidFill>
              <w14:schemeClr w14:val="tx1"/>
            </w14:solidFill>
          </w14:textFill>
        </w:rPr>
        <w:t>充分认识龙山在湘鄂川黔革命根据地的突出历史地位，深入挖掘龙山红色文化与文物内涵，加强茨岩塘等湘鄂川黔革命根据地旧址保护建设，加强资源整合和统筹协调，齐心协力做好龙山长征国家文化公园申报工作,为弘扬和传承长征精神打造新载体，助推龙山红色旅游品质升级，推动旅游经济高质量发展。</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加强历史文物保护利用。</w:t>
      </w:r>
      <w:r>
        <w:rPr>
          <w:rFonts w:hint="eastAsia" w:ascii="方正书宋简体" w:hAnsi="方正书宋简体" w:eastAsia="方正书宋简体" w:cs="方正书宋简体"/>
          <w:color w:val="000000" w:themeColor="text1"/>
          <w:sz w:val="24"/>
          <w:szCs w:val="24"/>
          <w14:textFill>
            <w14:solidFill>
              <w14:schemeClr w14:val="tx1"/>
            </w14:solidFill>
          </w14:textFill>
        </w:rPr>
        <w:t>恢复和修缮“古井泉香、东皋书声、狮头耸秀、长桥卧波、枫林古刹、鱼洞春波、茶亭晚凉、松岗烟雨”等旧时“龙山八景”。做好里耶古城遗址公园等全国重点文物保护单位的保护利用工作，重视省级、州级、县级各类有价值的历史文物保护利用工作。</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bCs/>
          <w:color w:val="000000" w:themeColor="text1"/>
          <w:sz w:val="24"/>
          <w:szCs w:val="24"/>
          <w14:textFill>
            <w14:solidFill>
              <w14:schemeClr w14:val="tx1"/>
            </w14:solidFill>
          </w14:textFill>
        </w:rPr>
      </w:pPr>
      <w:bookmarkStart w:id="246" w:name="_Toc60048932"/>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47" w:name="_Toc2274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繁荣发展文化事业</w:t>
      </w:r>
      <w:bookmarkEnd w:id="246"/>
      <w:bookmarkEnd w:id="247"/>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加快</w:t>
      </w:r>
      <w:r>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t>全县公共文化基础设施体系建设，推动各种文化设施互联互通、共建共享，形成覆盖城乡的公共文化设施网络，缩小城乡公共文化服务差距，提高基本公共文化服务的覆盖面和适用性。</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加强公共文化体系建设。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县、镇(乡)、村(社区)三级公共文化服务体系建设，达到“七个一”标准。继续开展演艺惠民送戏下乡、公益电影放映、三馆免费开放、“三区”人才支持计划等文化惠民活动，保障文化信息资源共享工程，推进龙凤示范区公共文化服务共建工程，不断丰富人民群众文化生活。健全公共文化体系，积极开展红色文化宣传教育活动，增强红色文化软实力。实施文化馆、图书馆、美术馆、民族博物馆、革命烈士纪念馆、民族文化艺术中心、里耶大剧院等项目，改善服务条件；依托国家级烈士陵园，加大烈士纪念设施建设；充分依托龙山县文化馆资源，从体系化建设、数字服务功能、移动端建设、线上线下结合、传播应用以及大数据等方面进行提档升级，秉承“文化为民、文化惠民”的宗旨，使得图书馆、文化馆更加人文化；同时把文化通过分馆进行下传，将文化送到基层百姓身边，真正做到以高雅艺术、文化服务惠及百姓。完成全县258处县级文物（红色旧址除外）的保护修缮及周边环境治理，确保消防安防设备设施全部安装到位。加快推进捞车河97栋居民、7栋古建筑群以及洗车河8栋古建筑保护与修缮工作，加强29个传统村落保护工作。</w:t>
      </w:r>
    </w:p>
    <w:p>
      <w:pPr>
        <w:pStyle w:val="2"/>
        <w:rPr>
          <w:color w:val="000000" w:themeColor="text1"/>
          <w14:textFill>
            <w14:solidFill>
              <w14:schemeClr w14:val="tx1"/>
            </w14:solidFill>
          </w14:textFill>
        </w:rPr>
      </w:pPr>
    </w:p>
    <w:tbl>
      <w:tblPr>
        <w:tblStyle w:val="18"/>
        <w:tblW w:w="6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160" w:type="dxa"/>
            <w:shd w:val="clear" w:color="auto" w:fill="auto"/>
            <w:vAlign w:val="center"/>
          </w:tcPr>
          <w:p>
            <w:pPr>
              <w:pStyle w:val="2"/>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专栏14  传统村落保护工程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0" w:hRule="atLeast"/>
          <w:jc w:val="center"/>
        </w:trPr>
        <w:tc>
          <w:tcPr>
            <w:tcW w:w="6160"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传统村落名单（29个）</w:t>
            </w:r>
            <w:r>
              <w:rPr>
                <w:rFonts w:hint="eastAsia" w:asciiTheme="minorEastAsia" w:hAnsiTheme="minorEastAsia" w:eastAsiaTheme="minorEastAsia" w:cstheme="minorEastAsia"/>
                <w:color w:val="000000" w:themeColor="text1"/>
                <w:sz w:val="18"/>
                <w:szCs w:val="18"/>
                <w14:textFill>
                  <w14:solidFill>
                    <w14:schemeClr w14:val="tx1"/>
                  </w14:solidFill>
                </w14:textFill>
              </w:rPr>
              <w:t>：靛房镇中心村、信地村、百型村、万龙村，洛塔乡泽果村、猛西村、烈坝村，苗儿滩镇东风村、惹巴拉村、捞车村、六合村，农车镇天桥村、塔泥村，茅坪乡长兴村，里耶镇双坪村、兔吐村、双树村、长春村、巴沙村、树比村、街上村，洗车河镇天井村、耳洞村、老洞村；召市镇神州社区马洛沟，内溪乡五官村，桂塘镇前丰村，咱果乡脉龙村，红岩溪镇大字沟村。</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保护建设内容：</w:t>
            </w:r>
            <w:r>
              <w:rPr>
                <w:rFonts w:hint="eastAsia" w:asciiTheme="minorEastAsia" w:hAnsiTheme="minorEastAsia" w:eastAsiaTheme="minorEastAsia" w:cstheme="minorEastAsia"/>
                <w:color w:val="000000" w:themeColor="text1"/>
                <w:sz w:val="18"/>
                <w:szCs w:val="18"/>
                <w14:textFill>
                  <w14:solidFill>
                    <w14:schemeClr w14:val="tx1"/>
                  </w14:solidFill>
                </w14:textFill>
              </w:rPr>
              <w:t>基础设施的全面建设和改造，包括道路、给水、排水、消防、供电、通讯、环卫等工程建设；传统建筑保护与修缮，包括对历史建筑和传统风貌建筑的结构维修（维修木构架、更换糟朽木构建，缺损夯土墙、柱基、墙体维护等），建筑周边环境的整治和改善，以及完善建筑功能，配套服务设施；历史环境要素保护与修复，对规划范围内古道、古桥、古河道和古树名木等进行保护与修复；文物和非物质文化遗产保护，加强对村内文物和非物质文化遗产的认定、保护和传承。</w:t>
            </w:r>
          </w:p>
        </w:tc>
      </w:tr>
    </w:tbl>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积极推动时代乡风文明建设。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将乡风文明建设所需经费纳入县级财政预算，设立专项资金，促进乡风文明建设工作开展，将以人民为中心的发展思路融入到乡风文明建设全过程。保护传承我县优秀农村文化的古迹、古色、古韵，对农村优秀传统文化进行创造性转化、创新性发展。推动农村传统文化与现代化的对接，推动乡村文明与城市文明及外来文化的对接。加强农村思想道德建设，深化民族团结进步教育，广泛开展文明村镇、星级文明户、文明家庭等群众性精神文明创建活动，丰富群众精神文化生活。组织动员本县农民外出务工、经商，让他们接受城市生活、市场经济的冲击和洗礼，融入新的生产和生活方式，形成乡村振兴的积极主体精神。</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color w:val="000000" w:themeColor="text1"/>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创建民族团结进步示范。</w:t>
      </w:r>
      <w:r>
        <w:rPr>
          <w:rFonts w:hint="eastAsia" w:ascii="方正书宋简体" w:hAnsi="方正书宋简体" w:eastAsia="方正书宋简体" w:cs="方正书宋简体"/>
          <w:color w:val="000000" w:themeColor="text1"/>
          <w:sz w:val="24"/>
          <w:szCs w:val="24"/>
          <w14:textFill>
            <w14:solidFill>
              <w14:schemeClr w14:val="tx1"/>
            </w14:solidFill>
          </w14:textFill>
        </w:rPr>
        <w:t>举全县之力抓好全国民族团结进步示范县创建工作。加强民族团结进步宣传教育，引导各族群众树立正确的祖国观、民族观、文化观、历史观，巩固和发展平等团结互助和谐的社会主义民族关系。通过举办大型宣传活动、主要媒体刊发相关新闻报道等，大力宣传民族团结进步事业，营造关心和支持民族工作的氛围；扎实开展民族团结进步示范县、示范单位、示范乡镇、示范村等创建活动，加大资金支持力度，推动创建活动进机关、社区、学校、企业、连队、乡村、景区、社会组织和宗教活动场所；组织开展推荐、评选全县民族团结进步模范集体和先进个人表彰活动，使民族团结进步表彰活动制度化。依托茨岩塘镇湘鄂川黔革命根据地优势，打造全国民族团结进步教育基地，让红色文化与民族文化融合发展，谱写中国共产党与土家群众风雨同舟、</w:t>
      </w:r>
      <w:r>
        <w:rPr>
          <w:rFonts w:hint="eastAsia" w:ascii="方正书宋简体" w:hAnsi="方正书宋简体" w:eastAsia="方正书宋简体" w:cs="方正书宋简体"/>
          <w:color w:val="000000" w:themeColor="text1"/>
          <w:spacing w:val="-11"/>
          <w:sz w:val="24"/>
          <w:szCs w:val="24"/>
          <w14:textFill>
            <w14:solidFill>
              <w14:schemeClr w14:val="tx1"/>
            </w14:solidFill>
          </w14:textFill>
        </w:rPr>
        <w:t>血肉相连、命运与共、团结奋斗的历史篇章。</w:t>
      </w:r>
    </w:p>
    <w:tbl>
      <w:tblPr>
        <w:tblStyle w:val="18"/>
        <w:tblW w:w="605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6058" w:type="dxa"/>
            <w:tcBorders>
              <w:bottom w:val="single" w:color="auto" w:sz="4" w:space="0"/>
            </w:tcBorders>
            <w:vAlign w:val="center"/>
          </w:tcPr>
          <w:p>
            <w:pPr>
              <w:widowControl/>
              <w:snapToGrid w:val="0"/>
              <w:jc w:val="center"/>
              <w:rPr>
                <w:rFonts w:hint="eastAsia" w:asciiTheme="minorEastAsia" w:hAnsiTheme="minorEastAsia" w:eastAsiaTheme="minorEastAsia" w:cstheme="minorEastAsia"/>
                <w:b/>
                <w:color w:val="000000" w:themeColor="text1"/>
                <w:kern w:val="0"/>
                <w:sz w:val="18"/>
                <w:szCs w:val="18"/>
                <w14:textFill>
                  <w14:solidFill>
                    <w14:schemeClr w14:val="tx1"/>
                  </w14:solidFill>
                </w14:textFill>
              </w:rPr>
            </w:pPr>
            <w:r>
              <w:rPr>
                <w:rFonts w:hint="eastAsia" w:ascii="楷体" w:hAnsi="楷体" w:eastAsia="楷体" w:cs="楷体"/>
                <w:b/>
                <w:bCs w:val="0"/>
                <w:color w:val="000000" w:themeColor="text1"/>
                <w:kern w:val="0"/>
                <w:sz w:val="24"/>
                <w:szCs w:val="24"/>
                <w14:textFill>
                  <w14:solidFill>
                    <w14:schemeClr w14:val="tx1"/>
                  </w14:solidFill>
                </w14:textFill>
              </w:rPr>
              <w:t>专栏15  民族团结建设工程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6058" w:type="dxa"/>
            <w:shd w:val="clear" w:color="auto" w:fill="FFFFFF"/>
          </w:tcPr>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1.龙山县文化场馆项目：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1.新建文化馆、青少年宫、老年文化活动中心、图书馆、民族文化艺术中心，面积2.9万平方米；2.21个乡镇（街道）文化站、文化活动广场提质改造，增加体育娱乐设施设备、展览厅活动展台，舞蹈、美术、书法、农业科普知识培训室设施，图书阅览室资料陈列柜等设备，新增美术作品保管室，地方工艺美术展厅、阅览室等功能室建设；3.提质改造21个乡镇文化活动广场等。4.新建6个非遗传习所（土家族梯玛歌，土家族打溜子，土家族咚咚喹，土家族摆手舞，湘西土家族毛古斯舞，土家族织锦技艺），主要包括土家传统图案实物及古老生产工具等陈列展示室、现场体验场所、研发文创产品工作室、代表性传承人工作室等。</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2.龙山县烈士纪念设施改扩建项目：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烈士纪念碑修缮、烈士纪念墓、纪念雕塑、纪念广场等主体建筑物及其排水设施改造，总投资1.5亿元。</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3.龙山县惹巴拉土家文化山水实景剧演艺项目：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反映土家文化特色的“民族文化大戏”，在惹巴拉景区常年演出。</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4.龙山县民族博物馆项目：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新建龙山县土家族文化遗产博物馆、民俗文化表演场，占地10000㎡；土家织锦传习所，含主体建筑及设施设备，面积3800㎡。</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5.龙山县土家织锦博物馆项目：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收集陈列展示土家织锦传统图案实物及古老的生产工具；现场体验场所；展示土家织锦新研发的文创产品；代表性传承人工作室；面积900㎡（三层楼），投入资金1000万元。</w:t>
            </w:r>
          </w:p>
        </w:tc>
      </w:tr>
    </w:tbl>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248" w:name="_Toc60048933"/>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49" w:name="_Toc13314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发展壮大民族文化产业</w:t>
      </w:r>
      <w:bookmarkEnd w:id="248"/>
      <w:bookmarkEnd w:id="249"/>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积极挖掘民族传统文化资源，依托产业化、市场化手段丰富文化产品供给类型和供给方式。鼓励“两民”企业创品夺牌，争创民族产业商标、专利。大力发展民族民间工艺产业，建设民族产业发展示范街、示范路、示范园，打造民族产业集群。出台扶持政策措施，多措并举开发利用土陶、竹雕、织锦、土家族服饰等工艺品，培育一批从事工艺产品生产、销售企业，使其发展壮大，带动地方经济发展。推动民族文化节庆会展产业，采取“政府引导、民间组织、社会参与”模式，利用土家族舍巴日等活动积极将服饰展演展示、工艺品展销、风情民俗、民族歌舞表演等融入其中，吸引了大量游客观光体验，活跃了当地商业文化，拉动内需，促进消费。高度重视民族歌舞，发展民族歌舞演艺产业，充分利用非物质文化遗产（土家摆手歌、湘西三棒鼓、龙山木偶戏、土家梯玛歌、土家咚咚喹等）组建文艺院团，编排土家民族风情歌舞剧。发展民族特色饮食和医药产业，面向市场开发打造土家腊肉、土家糍粑等系列食品，积极挖掘开发土家族特色中药材。</w:t>
      </w:r>
    </w:p>
    <w:p>
      <w:pPr>
        <w:pageBreakBefore w:val="0"/>
        <w:widowControl/>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keepLines/>
        <w:pageBreakBefore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250" w:name="_Toc26335_WPSOffice_Level2"/>
      <w:bookmarkStart w:id="251" w:name="_Toc60048925"/>
      <w:r>
        <w:rPr>
          <w:rFonts w:hint="eastAsia" w:ascii="黑体" w:hAnsi="黑体" w:eastAsia="黑体" w:cs="黑体"/>
          <w:b w:val="0"/>
          <w:bCs w:val="0"/>
          <w:color w:val="000000" w:themeColor="text1"/>
          <w:sz w:val="30"/>
          <w:szCs w:val="30"/>
          <w14:textFill>
            <w14:solidFill>
              <w14:schemeClr w14:val="tx1"/>
            </w14:solidFill>
          </w14:textFill>
        </w:rPr>
        <w:t>第十五章  深化改革创新，促进改革开放</w:t>
      </w:r>
      <w:bookmarkEnd w:id="250"/>
    </w:p>
    <w:p>
      <w:pPr>
        <w:keepNext/>
        <w:keepLines/>
        <w:pageBreakBefore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252" w:name="_Toc25087_WPSOffice_Level2"/>
      <w:r>
        <w:rPr>
          <w:rFonts w:hint="eastAsia" w:ascii="黑体" w:hAnsi="黑体" w:eastAsia="黑体" w:cs="黑体"/>
          <w:b w:val="0"/>
          <w:bCs w:val="0"/>
          <w:color w:val="000000" w:themeColor="text1"/>
          <w:sz w:val="30"/>
          <w:szCs w:val="30"/>
          <w14:textFill>
            <w14:solidFill>
              <w14:schemeClr w14:val="tx1"/>
            </w14:solidFill>
          </w14:textFill>
        </w:rPr>
        <w:t>迈出新步伐</w:t>
      </w:r>
      <w:bookmarkEnd w:id="251"/>
      <w:bookmarkEnd w:id="25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坚持全面深化改革，坚持扩大开放，深入实施创新驱动发展战略，推动改革开放创新实现更大突破。</w:t>
      </w:r>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53" w:name="_Toc60048926"/>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方正书宋简体" w:hAnsi="方正书宋简体" w:eastAsia="方正书宋简体" w:cs="方正书宋简体"/>
          <w:color w:val="000000" w:themeColor="text1"/>
          <w:sz w:val="30"/>
          <w:szCs w:val="30"/>
          <w14:textFill>
            <w14:solidFill>
              <w14:schemeClr w14:val="tx1"/>
            </w14:solidFill>
          </w14:textFill>
        </w:rPr>
      </w:pPr>
      <w:bookmarkStart w:id="254" w:name="_Toc14591_WPSOffice_Level3"/>
      <w:r>
        <w:rPr>
          <w:rFonts w:hint="eastAsia" w:ascii="方正书宋简体" w:hAnsi="方正书宋简体" w:eastAsia="方正书宋简体" w:cs="方正书宋简体"/>
          <w:color w:val="000000" w:themeColor="text1"/>
          <w:sz w:val="30"/>
          <w:szCs w:val="30"/>
          <w14:textFill>
            <w14:solidFill>
              <w14:schemeClr w14:val="tx1"/>
            </w14:solidFill>
          </w14:textFill>
        </w:rPr>
        <w:t>第一节  坚持全面深化改革</w:t>
      </w:r>
      <w:bookmarkEnd w:id="253"/>
      <w:bookmarkEnd w:id="254"/>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全面深化改革是新时期坚持和发展中国特色社会主义的基本方略，加快破除深层次体制机制障碍，建立和完善全社会信用体，推进“放管服”改革向基层延伸，大力支持鼓励民营经济发展，充分发挥市场在资源配置中的决定性作用，实现有效市场和有为政府的有机统一。</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实现有效市场与有为政府有机统一。</w:t>
      </w:r>
      <w:r>
        <w:rPr>
          <w:rFonts w:hint="eastAsia" w:ascii="方正书宋简体" w:hAnsi="方正书宋简体" w:eastAsia="方正书宋简体" w:cs="方正书宋简体"/>
          <w:color w:val="000000" w:themeColor="text1"/>
          <w:sz w:val="24"/>
          <w:szCs w:val="24"/>
          <w14:textFill>
            <w14:solidFill>
              <w14:schemeClr w14:val="tx1"/>
            </w14:solidFill>
          </w14:textFill>
        </w:rPr>
        <w:t>实施“2021—2025年度全国科普示范县创建工程，坚持把科学普及放在与科技创新同等重要的位置，出台科协系统深化改革实施方案。大力推动行政审批制度改革，清理和压缩工商登记现有前置审批事项，逐步由“先证后照”改为“先照后证”，分批次取消和下放行政审批事项，不断降低市场准入，向市场和社会放权；在金融领域，通过设立县级中小企业发展基金、加快融资租赁和金融租赁行业发展、加快融资担保行业改革发展等举措，不断加大金融对实体经济的支持力度；在财税方面，逐步实行结构性减税，特别是针对小微企业和三农加大减税降费的力度，为市场主体减轻负担等。建立“权力清单”制度，将权力关进制度“笼子”，让政府“法无授权不可为”；坚持政务公开，广泛接受公众和社会的监督。“责任清单”将所有法律、法规赋予各级政府的职责统一整理、归纳为一张清单，向社会公布，接受社会监督，体现“法定职责必须为”的法治政府原则。“负面清单”将法律、法规和政策不允许市场主体进入的行业、领域和经济活动均以一张统一清单的形式公布，明确“法无禁止皆可为”，给予市场主体在法治框架内最大限度的经营自由。</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建立和完善全社会信用体系。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建立较为完善的社会信用体系。健全信用法规制度和标准规范体系，建成全社会成员的信用档案，实现公共信用信息全覆盖，深度广泛应用信用大数据，保障多层次、全方位的守信激励和失信惩戒机制运行顺畅。全县构建诚信政务、诚信商务、诚信社会和公信司法的新格局，营造“守信得益、失信惩戒、诚信自律”的社会环境，以及诚实、自律、守信、互信的信用环境。</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推进“放管服”改革向基层延伸。</w:t>
      </w:r>
      <w:r>
        <w:rPr>
          <w:rFonts w:hint="eastAsia" w:ascii="方正书宋简体" w:hAnsi="方正书宋简体" w:eastAsia="方正书宋简体" w:cs="方正书宋简体"/>
          <w:color w:val="000000" w:themeColor="text1"/>
          <w:sz w:val="24"/>
          <w:szCs w:val="24"/>
          <w14:textFill>
            <w14:solidFill>
              <w14:schemeClr w14:val="tx1"/>
            </w14:solidFill>
          </w14:textFill>
        </w:rPr>
        <w:t>推进智慧龙山建设，抓好市民之家的公开、阳光、规范运行，适时推进行政审批相对集中改革试点。按照“五全五办五公开”要求，全面推行“马上办、网上办、就近办、一次办、帮代办”服务机制，全面推行跨部门“双随机一公开”监管。完善“互联网+政务服务”一体化平台，推进政务服务线上线下融合发展，努力实现70%以上事项可全程“不见面审批”。强化乡镇主体责任，加强基础设施建设，配齐满足工作所需的设施配备。实施乡村便民服务中心标准化建设，平台与县政务服务中心互联互通、纳入行政审批电子监察系统监察范围，缩短服务群众最后一公里距离。足额配备乡级便民服务中心编制内人员，同时统筹“三支一扶”人员到乡镇及行政村工作，采取政府购买服务的方式确保乡镇级便民服务中心专职工作人员稳定在6名以上，行政村便民服务中心专兼职人员稳定在2名左右，积极向乡村下放行政权力，做到应放尽放，并结合实际适时调整，编制事项目录清单和办事指南，方便群众办理查询。</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加强现代金融体系顶层设计。</w:t>
      </w:r>
      <w:r>
        <w:rPr>
          <w:rFonts w:hint="eastAsia" w:ascii="方正书宋简体" w:hAnsi="方正书宋简体" w:eastAsia="方正书宋简体" w:cs="方正书宋简体"/>
          <w:color w:val="000000" w:themeColor="text1"/>
          <w:sz w:val="24"/>
          <w:szCs w:val="24"/>
          <w14:textFill>
            <w14:solidFill>
              <w14:schemeClr w14:val="tx1"/>
            </w14:solidFill>
          </w14:textFill>
        </w:rPr>
        <w:t>进一步创优金融发展环境，积极引进专业银行、国有银行等金融企业，积极引进互联网金融企业，推动“金融+创新创业”“金融+龙山智造”等新金融业态发展。深化投融资体制改革，进一步优化全县的投融资环境。完善金融产品功能。创新银行储蓄类理财和信托、国债、基金、居民商业性社会保险等金融产品，方便居民投资和消费，吸纳更多的社会闲散资金。完善金融人才结构。进一步创优人才发展环境，大力引进复合型高端金融人才，努力走出一条金融先行先导的路子，加快县金融产业发展。</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大力支持鼓励民营经济发展。</w:t>
      </w:r>
      <w:r>
        <w:rPr>
          <w:rFonts w:hint="eastAsia" w:ascii="方正书宋简体" w:hAnsi="方正书宋简体" w:eastAsia="方正书宋简体" w:cs="方正书宋简体"/>
          <w:color w:val="000000" w:themeColor="text1"/>
          <w:sz w:val="24"/>
          <w:szCs w:val="24"/>
          <w14:textFill>
            <w14:solidFill>
              <w14:schemeClr w14:val="tx1"/>
            </w14:solidFill>
          </w14:textFill>
        </w:rPr>
        <w:t>健全民营经济政策体系。制定更加宽松的发展政策，在拓展民营企业发展空间、健全民营经济服务体系、营造良好发展环境、缓解民营企业发展难题、加快民营经济结构调整等方面为民营经济发展提供政策支持。进一步追加县级民营经济发展专项资金，用于民营经济发展结构调整、产业升级、贷款贴息、表彰奖励以及民营企业社会化服务建设等，积极争取国家、省、州扶持的政策性资金，引导支持民营经济健康发展。拓宽民营经济发展领域。支持民营企业参与政策性住房建设、社会福利、教育和社会培训等事业，增强公共服务行业经营活力，鼓励支持民营企业建设粮食生产基地和农产品深加工项目，加快发展农技推广、农机服务等农业生产性服务业，培育农业产业化龙头企业，有效吸纳农村劳动力。推进民营企业集聚发展。加快我县产业园区建设，加大人才队伍建设和招商引资力度，加速税收优惠政策落地，加强工业外连通道建设；搭建民营企业发展平台，鼓励、引导和推动民营企业向产业园区发展，逐步实现企业集中布局、产业集群发展、资源集约利用、环境准入政策、功能集合构建，人口向城镇转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深化农村体制机制改革创新。</w:t>
      </w:r>
      <w:r>
        <w:rPr>
          <w:rFonts w:hint="eastAsia" w:ascii="方正书宋简体" w:hAnsi="方正书宋简体" w:eastAsia="方正书宋简体" w:cs="方正书宋简体"/>
          <w:color w:val="000000" w:themeColor="text1"/>
          <w:sz w:val="24"/>
          <w:szCs w:val="24"/>
          <w14:textFill>
            <w14:solidFill>
              <w14:schemeClr w14:val="tx1"/>
            </w14:solidFill>
          </w14:textFill>
        </w:rPr>
        <w:t>探索土地流转新机制，推进征地制度改革，提高农民在土地增值收益中的分配比例，建立完善土地市场交易规则和土地交易平台。巩固完善农村承包地“三权分置”制度，健全集体资产管理制度，激发农村发展活力。健全农业农村财政支出优先保障和稳定增长机制，新增财力重点向“三农”倾斜，确保财政投入与乡村振兴目标任务相适应。全面建立新型职业农民培训制度，完善配套政策体系，实施农民技能培育工程，让更多人才留在农村、扎根农业、服务农民。实施好边远贫困地区人才支持、“三支一扶”、特岗教师、高校毕业生基层成长工作，为农村发展培养专业化人才。</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深入实施质量强县。</w:t>
      </w:r>
      <w:r>
        <w:rPr>
          <w:rFonts w:hint="eastAsia" w:ascii="方正书宋简体" w:hAnsi="方正书宋简体" w:eastAsia="方正书宋简体" w:cs="方正书宋简体"/>
          <w:color w:val="000000" w:themeColor="text1"/>
          <w:sz w:val="24"/>
          <w:szCs w:val="24"/>
          <w14:textFill>
            <w14:solidFill>
              <w14:schemeClr w14:val="tx1"/>
            </w14:solidFill>
          </w14:textFill>
        </w:rPr>
        <w:t>开展专项整治，净化市场环境；加强环境质量安全监管监察；全面提升质量执法能力和水平；加强12315、12365、12316、12331平台建设；实施标准化战略，打牢品牌发展基础；加强计量标准及量传溯源体系建设；严格质量检验和计量检测；加快企业质量技术创新。到2025年，建设质量强县取得明显成效，质量基础进一步夯实，质量安全得到有效保障，质量发展成果惠及全县人民。“以质取胜，追求卓越”成为主流质量文化，质量总体水平显著提升，形成一批拥有核心竞争力和知名品牌的优势企业。建立完善食品质量安全和重点产品质量检测体系，质量工作对提高经济发展质量和效益的作用显著增强，经济和社会发展走向科学发展轨道。</w:t>
      </w:r>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55" w:name="_Toc60048927"/>
      <w:bookmarkStart w:id="256" w:name="_Toc253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坚持扩大开放</w:t>
      </w:r>
      <w:bookmarkEnd w:id="255"/>
      <w:bookmarkEnd w:id="256"/>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充分发挥市场在资源配置中的决定性作用，以内需为发展着力点，把实施扩大内需战略同供给侧结构性改革有机结合，以渝长厦通道经济发展带为纽带，主动融入湖南省、西部大开发以及国家对外开放大格局，全方位拓展开放型经济新空间。</w:t>
      </w:r>
      <w:bookmarkStart w:id="257" w:name="_Toc58274606"/>
      <w:r>
        <w:rPr>
          <w:rFonts w:hint="eastAsia" w:ascii="方正书宋简体" w:hAnsi="方正书宋简体" w:eastAsia="方正书宋简体" w:cs="方正书宋简体"/>
          <w:color w:val="000000" w:themeColor="text1"/>
          <w:sz w:val="24"/>
          <w:szCs w:val="24"/>
          <w14:textFill>
            <w14:solidFill>
              <w14:schemeClr w14:val="tx1"/>
            </w14:solidFill>
          </w14:textFill>
        </w:rPr>
        <w:t>积极发挥产业园区在对外开放中的载体、纽带和渠道作用，加快完善开放平台功能，促进开放型经济水平提升。</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主动融入国内大循环</w:t>
      </w:r>
      <w:bookmarkEnd w:id="257"/>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继续推进供给侧结构性改革，培育壮大农村新产业、新业态，促进农村一、二、三产业融合发展；巩固“三去一降一补”成果，推动资源配置效率、生产率和潜在增长率的提升。加强金融支持，缓解企业的融资困境，为企业提供可持续发展的金融市场环境。进一步深化国资国企改革，支持民营企业发展，发挥企业和企业家的主观能动性，培育和发展优质企业，破除妨碍生产要素流动的壁垒。畅通实体经济,推动互联网和实体经济深度融合。坚持扩大内需，全面促进消费。坚持扩大内需这个战略基点，加快培育完善内需体系。积极组织商贸企业参加各类展销会，重点将龙山美食一条街打造为展示龙山民俗和地方特色文化以及集“网红打卡”、游乐、休闲、购物、美食等为一体化的地标性平台,在提升线上线下知名度的同时吸引更多客流，将“夜间经济”打造成经济社会发展的新亮点，不断释放消费潜力，提升县城品位，有力推动消费转型升级。拓展投资空间。做大做强龙山县城投集团、龙山县文旅集团、里耶旅投公司、龙山县工业园区投资公司等平台建设。推进新型基础设施、新型城镇化、水利交通等重大工程建设，支持有利于城乡区域协调发展的重大项目建设。推进重大科研设施、重大生态系统修复、公共卫生应急保障等一批强基础、增功能、利长远的重大项目建设。鼓励政府和社会资本合作，发挥政府投资撬动作用，激发民间资本投资活力，引导社会资本参与全县经济建设。</w:t>
      </w:r>
      <w:bookmarkStart w:id="258" w:name="_Toc58274607"/>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抢抓对外开放新机遇</w:t>
      </w:r>
      <w:bookmarkEnd w:id="258"/>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推进与长株潭、粤港澳大湾区、长三角、成渝地区区域合作，推动智慧城市建设，积极参与湖南-粤港澳大湾区投资贸易洽谈周、长三角经贸合作洽谈周、湖南异地商会等合作平台，推进对接合作。深化长株潭、粤港澳大湾区、长三角、成渝地区在教育科技领域合作，做好对接长株潭、粤港澳大湾区、长三角、成渝地区等科技创新资源溢出工作。以承接产业转移和产业合作为引进技术的主要形式，以科技园区共建和高校合作作为对接技术转移的重要载体，搭建科技转移平台，开展重大技术联合攻关，强化人才交流合作，建立科技成果转移转化长效机制。建设农副产品供应基地。通过种好“菜园子”，打造“果盘子”，抢占长株潭、粤港澳大湾区、长三角、成渝地区的大市场，指导开发百合等一批受消费者喜爱的农副产品，提升农产品附加值，重点从长株潭、粤港澳大湾区、长三角、成渝地区引进和培育一批农副产品加工企业，带动农业企业抱团发展，实现产业链向下游发展、价值链向高端攀升。</w:t>
      </w:r>
      <w:bookmarkStart w:id="259" w:name="_Toc58274608"/>
    </w:p>
    <w:bookmarkEnd w:id="259"/>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bookmarkStart w:id="260" w:name="_Toc58274609"/>
      <w:r>
        <w:rPr>
          <w:rFonts w:hint="eastAsia" w:ascii="楷体" w:hAnsi="楷体" w:eastAsia="楷体" w:cs="楷体"/>
          <w:b/>
          <w:bCs/>
          <w:color w:val="000000" w:themeColor="text1"/>
          <w:sz w:val="24"/>
          <w:szCs w:val="24"/>
          <w14:textFill>
            <w14:solidFill>
              <w14:schemeClr w14:val="tx1"/>
            </w14:solidFill>
          </w14:textFill>
        </w:rPr>
        <w:t>形成全面开放新局面</w:t>
      </w:r>
      <w:bookmarkEnd w:id="260"/>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积极融入中国（湖南）自由贸易试验区和成渝都市圈。积极争取开通渝长厦货运专线，推动中欧班列早日在龙山开行，并逐步加密开行频次。加大招商力度。充分利用“引老乡、回故乡、建家乡”招商引资等成果，瞄准龙山籍企业家招商，开展“一对一”专业对接洽谈，招引一批产业带动性强、技术含量高的项目。重点围绕龙山的优势产业和战略性新兴产业，实施“点对点”的精准招商。提升长沙、济南对口帮扶龙山成色，着力推动对外贸易发展，让龙山民族服饰和手工艺品、中药材、生态绿色食品等特色产品等走出国门、走向世界。抓开放、稳外贸、增外资、促外经，不断培育外贸出口主体，指导企业积极开拓国际市场，充分利用外资，扎实做好外经工作，积极创建省级外派劳务输出基地，“十四五”期末，实现有外贸实绩的企业6家，累计引进外资500万美元，外派劳务达100人以上，完成对外合作营业额1000万美元以上。</w:t>
      </w:r>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61" w:name="_Toc60048928"/>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62" w:name="_Toc19954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推动创新驱动发展</w:t>
      </w:r>
      <w:bookmarkEnd w:id="261"/>
      <w:bookmarkEnd w:id="262"/>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坚持创新在全县现代化建设全局中的核心地位，把科技创新作为全县发展战略支撑，实施全民科学素质建设。</w:t>
      </w:r>
      <w:bookmarkStart w:id="263" w:name="_Toc58274555"/>
      <w:r>
        <w:rPr>
          <w:rFonts w:hint="eastAsia" w:ascii="方正书宋简体" w:hAnsi="方正书宋简体" w:eastAsia="方正书宋简体" w:cs="方正书宋简体"/>
          <w:color w:val="000000" w:themeColor="text1"/>
          <w:sz w:val="24"/>
          <w:szCs w:val="24"/>
          <w14:textFill>
            <w14:solidFill>
              <w14:schemeClr w14:val="tx1"/>
            </w14:solidFill>
          </w14:textFill>
        </w:rPr>
        <w:t>到2025年，科技研发取得显著成绩，全社会R&amp;D强度达到1.2%，新增高新技术企业15个、创新型企业8个、产业技术创新战略联盟5个、各类企业研发机构8个，高新技术产业增加值年均增长20%以上，组织实施星火计划、农业科技和成果转化项目20项。</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培育创新主体</w:t>
      </w:r>
      <w:bookmarkEnd w:id="263"/>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引导企业加大研发投入，加快企业质量技术创新，支持湖南双沐药业申报省级工程技术研究中心，龙山县惹巴妹手工织品公司创建申报省级科普基地；依托龙山职校，探索建立“双轨制”职业教育，助力实体经济发展。完善科技特派员工作制度，推动县域产业高质量发展。</w:t>
      </w:r>
      <w:bookmarkStart w:id="264" w:name="_Toc58274556"/>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推动产学研合作</w:t>
      </w:r>
      <w:bookmarkEnd w:id="264"/>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搭建产学研创新平台，建立与高校、科研机构和高水平科技人才合作机制，形成“政产学研用”五位一体合作体系。扶持县域企业与高校、科研院所联合开展技术创新，建立各类科技创新平台，促进科技成果转移转化，重点推进百合、油茶技术中心，百合、油茶研究院以及创新创业孵化器建设。</w:t>
      </w:r>
      <w:bookmarkStart w:id="265" w:name="_Toc58274557"/>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激发人才创新活力</w:t>
      </w:r>
      <w:bookmarkEnd w:id="265"/>
      <w:r>
        <w:rPr>
          <w:rFonts w:hint="eastAsia" w:ascii="楷体" w:hAnsi="楷体" w:eastAsia="楷体" w:cs="楷体"/>
          <w:b/>
          <w:bCs/>
          <w:color w:val="000000" w:themeColor="text1"/>
          <w:sz w:val="24"/>
          <w:szCs w:val="24"/>
          <w14:textFill>
            <w14:solidFill>
              <w14:schemeClr w14:val="tx1"/>
            </w14:solidFill>
          </w14:textFill>
        </w:rPr>
        <w:t>。</w:t>
      </w:r>
      <w:r>
        <w:rPr>
          <w:rFonts w:hint="eastAsia" w:ascii="方正书宋简体" w:hAnsi="方正书宋简体" w:eastAsia="方正书宋简体" w:cs="方正书宋简体"/>
          <w:color w:val="000000" w:themeColor="text1"/>
          <w:sz w:val="24"/>
          <w:szCs w:val="24"/>
          <w14:textFill>
            <w14:solidFill>
              <w14:schemeClr w14:val="tx1"/>
            </w14:solidFill>
          </w14:textFill>
        </w:rPr>
        <w:t>加大人才工作资金投入，建立县级人才发展专项资金。建立龙山县引进急需紧缺人才引进岗位目录，设立人才引进编制专户，进一步完善县委党校各项基础设施建设，建设“人才公寓”，优化人才引进的环境。完善人才引进绿色通道，转变人才引进方式，对急需紧缺专业特殊人才采取直接考核方式公开招聘，围绕重点产业、重点工作、重点项目需求，引育一批专业性人才、急需紧缺型人才。对接乡村振兴，大力支持职业农民和农技特岗生培养，建立与农业扶持项目相挂钩的职业农民培养激励机制。坚持以人为本，推动人才的收入与岗位职责、工作绩效、实际贡献直接挂钩，建立责、权、利相挂钩的人才激励机制。</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keepNext/>
        <w:keepLines/>
        <w:pageBreakBefore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266" w:name="_Toc60048934"/>
      <w:bookmarkStart w:id="267" w:name="_Toc8086_WPSOffice_Level2"/>
      <w:r>
        <w:rPr>
          <w:rFonts w:hint="eastAsia" w:ascii="黑体" w:hAnsi="黑体" w:eastAsia="黑体" w:cs="黑体"/>
          <w:b w:val="0"/>
          <w:bCs w:val="0"/>
          <w:color w:val="000000" w:themeColor="text1"/>
          <w:w w:val="100"/>
          <w:sz w:val="30"/>
          <w:szCs w:val="30"/>
          <w14:textFill>
            <w14:solidFill>
              <w14:schemeClr w14:val="tx1"/>
            </w14:solidFill>
          </w14:textFill>
        </w:rPr>
        <w:t>第十六章  改善人民生活品质，促进民生福祉达到新水平</w:t>
      </w:r>
      <w:bookmarkEnd w:id="266"/>
      <w:bookmarkEnd w:id="267"/>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以人民为中心的发展思想，着力解决好群众各项“急难愁盼”问题，突出抓重点、补短板、强弱项，扎实推动共同富裕，改善人民生活品质，实现基本公共服务均等化、资源配置合理化、民生保障广覆盖，促进人的全面发展和社会全面进步，增进龙山人民福祉，打造湘西北重要民生标杆。到2025年，民生支出占财政支出比重达65%。</w:t>
      </w:r>
    </w:p>
    <w:p>
      <w:pPr>
        <w:keepNext/>
        <w:keepLines/>
        <w:pageBreakBefore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68" w:name="_Toc60048935"/>
    </w:p>
    <w:p>
      <w:pPr>
        <w:pageBreakBefore w:val="0"/>
        <w:kinsoku/>
        <w:wordWrap/>
        <w:overflowPunct/>
        <w:topLinePunct w:val="0"/>
        <w:autoSpaceDE/>
        <w:autoSpaceDN/>
        <w:bidi w:val="0"/>
        <w:spacing w:line="420" w:lineRule="exact"/>
        <w:jc w:val="center"/>
        <w:textAlignment w:val="auto"/>
        <w:rPr>
          <w:rFonts w:hint="eastAsia" w:ascii="方正书宋简体" w:hAnsi="方正书宋简体" w:eastAsia="方正书宋简体" w:cs="方正书宋简体"/>
          <w:color w:val="000000" w:themeColor="text1"/>
          <w:sz w:val="30"/>
          <w:szCs w:val="30"/>
          <w14:textFill>
            <w14:solidFill>
              <w14:schemeClr w14:val="tx1"/>
            </w14:solidFill>
          </w14:textFill>
        </w:rPr>
      </w:pPr>
      <w:bookmarkStart w:id="269" w:name="_Toc6707_WPSOffice_Level3"/>
      <w:r>
        <w:rPr>
          <w:rFonts w:hint="eastAsia" w:ascii="方正书宋简体" w:hAnsi="方正书宋简体" w:eastAsia="方正书宋简体" w:cs="方正书宋简体"/>
          <w:color w:val="000000" w:themeColor="text1"/>
          <w:sz w:val="30"/>
          <w:szCs w:val="30"/>
          <w14:textFill>
            <w14:solidFill>
              <w14:schemeClr w14:val="tx1"/>
            </w14:solidFill>
          </w14:textFill>
        </w:rPr>
        <w:t>第一节  实施就业创业优先政策</w:t>
      </w:r>
      <w:bookmarkEnd w:id="268"/>
      <w:bookmarkEnd w:id="269"/>
    </w:p>
    <w:p>
      <w:pPr>
        <w:pageBreakBefore w:val="0"/>
        <w:kinsoku/>
        <w:wordWrap/>
        <w:overflowPunct/>
        <w:topLinePunct w:val="0"/>
        <w:autoSpaceDE/>
        <w:autoSpaceDN/>
        <w:bidi w:val="0"/>
        <w:spacing w:line="420" w:lineRule="exact"/>
        <w:ind w:firstLine="600" w:firstLineChars="200"/>
        <w:textAlignment w:val="auto"/>
        <w:rPr>
          <w:rFonts w:hint="eastAsia" w:asciiTheme="minorEastAsia" w:hAnsiTheme="minorEastAsia" w:eastAsiaTheme="minorEastAsia" w:cstheme="minorEastAsia"/>
          <w:bCs/>
          <w:color w:val="000000" w:themeColor="text1"/>
          <w:sz w:val="30"/>
          <w:szCs w:val="30"/>
          <w14:textFill>
            <w14:solidFill>
              <w14:schemeClr w14:val="tx1"/>
            </w14:solidFill>
          </w14:textFill>
        </w:rPr>
      </w:pPr>
    </w:p>
    <w:p>
      <w:pPr>
        <w:pageBreakBefore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把稳就业摆在更加突出的位置，落实就业优先政策，突出做好高校毕业生、退役军人、农民工、城镇困难人员等重点群体就业工作，推动实现更加充分更高质量就业。到2025年，全县累计城镇新增就业稳定在1.8万人以上，新增农村劳动力转移就业稳定在2.8万人以上，城镇登记失业率控制在4.5%以内。</w:t>
      </w:r>
    </w:p>
    <w:p>
      <w:pPr>
        <w:pageBreakBefore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千方百计稳定和扩大就业。</w:t>
      </w:r>
      <w:r>
        <w:rPr>
          <w:rFonts w:hint="eastAsia" w:ascii="方正书宋简体" w:hAnsi="方正书宋简体" w:eastAsia="方正书宋简体" w:cs="方正书宋简体"/>
          <w:color w:val="000000" w:themeColor="text1"/>
          <w:sz w:val="24"/>
          <w:szCs w:val="24"/>
          <w14:textFill>
            <w14:solidFill>
              <w14:schemeClr w14:val="tx1"/>
            </w14:solidFill>
          </w14:textFill>
        </w:rPr>
        <w:t>实施就业优先战略，坚持经济发展就业导向，健全就业政策体系，扩大就业容量，稳定就业总量，提升就业质量，促进充分就业，保障劳动者待遇和权益，确保全县就业基本盘。深入挖掘内需，重点支持文化旅游、现代农业、健康养老、电子商务、家政服务业等发展，支持相关机构、企业向重点人群提供更多就业服务。加强经济政策和就业政策协调，着力增强经济发展创造就业的能力，千方百计增加就业岗位。加强人力资源市场培育和监管，支持和规范发展新就业形态，健全就业需求调查和失业监测预警机制。</w:t>
      </w:r>
    </w:p>
    <w:p>
      <w:pPr>
        <w:pageBreakBefore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统筹重点人群就业。</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外出就业和就地就业、集中组织就业和社会引导就业、公岗安置和安排临时就业相结合，突出抓好农民工、高校毕业生、就业困难人员等重点群体就业。全面实施高校毕业生基层成长计划、青年见习计划、就业起航计划等专项计划，多渠道促进高校毕业生就业创业。扩大公益性岗位安置，帮扶相对贫困户、残疾人、零就业家庭成员就业。发挥失业保险社会稳定器作用，全面落实失业保险保障政策，努力让失业保险金、失业补助金、临时生活补助应发尽发，扶持对象应享尽享。</w:t>
      </w:r>
    </w:p>
    <w:p>
      <w:pPr>
        <w:pageBreakBefore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加强职业技能培训。</w:t>
      </w:r>
      <w:r>
        <w:rPr>
          <w:rFonts w:hint="eastAsia" w:ascii="方正书宋简体" w:hAnsi="方正书宋简体" w:eastAsia="方正书宋简体" w:cs="方正书宋简体"/>
          <w:color w:val="000000" w:themeColor="text1"/>
          <w:sz w:val="24"/>
          <w:szCs w:val="24"/>
          <w14:textFill>
            <w14:solidFill>
              <w14:schemeClr w14:val="tx1"/>
            </w14:solidFill>
          </w14:textFill>
        </w:rPr>
        <w:t>健全终身职业技能培训制度，更加注重缓解结构性就业矛盾，大规模开展职业技能培训，加快建设知识型、技能型、创新型劳动者大军。坚持需求导向，围绕市场急需紧缺职业开展家政、养老服务、托幼、保安、电商、汽修、电工、妇女手工等就业技能培训，围绕促进创业开展经营管理、品牌建设、市场拓展、风险防控等创业指导培训。大力实施农民工“春潮行动”、新生代农民工职业技能提升计划和返乡创业培训计划等专项培训，持续开展职业技能提升行动，全面提升劳动者职业技能水平和就业创业能力。坚持线上培训和线下培训相结合，做好企业职工、农民工、贫困劳动力等重点群体的专项培训。深化职业资格改革，大力推行专项职业能力考核制度，加快建立技能人才多元评价体系。</w:t>
      </w:r>
    </w:p>
    <w:p>
      <w:pPr>
        <w:pageBreakBefore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做实就业创业服务。</w:t>
      </w:r>
      <w:r>
        <w:rPr>
          <w:rFonts w:hint="eastAsia" w:ascii="方正书宋简体" w:hAnsi="方正书宋简体" w:eastAsia="方正书宋简体" w:cs="方正书宋简体"/>
          <w:color w:val="000000" w:themeColor="text1"/>
          <w:sz w:val="24"/>
          <w:szCs w:val="24"/>
          <w14:textFill>
            <w14:solidFill>
              <w14:schemeClr w14:val="tx1"/>
            </w14:solidFill>
          </w14:textFill>
        </w:rPr>
        <w:t>认真研究制定新一轮稳就业政策，全面调整和完善就业补助资金稳定就业政策，完善促进创业带动就业、多渠道灵活就业的保障制度，完善重点群体就业支持体系。积极探索创投资金风险补偿机制，不断优化企业融资模式和渠道，发挥创业担保贷款扶助初创企业良好效应。实施基层公共就业服务平台建设提升行动计划，加快乡镇（街道）和行政村（社区）公共就业服务平台建设，积极构建覆盖城乡的公共就业服务体系。建设一批各具特色、高水平的创新创业服务载体，提升创业服务能力。</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70" w:name="_Toc60048936"/>
      <w:bookmarkStart w:id="271" w:name="_Toc30292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推进教育与体育高质量发展</w:t>
      </w:r>
      <w:bookmarkEnd w:id="270"/>
      <w:bookmarkEnd w:id="271"/>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全面贯彻党的教育方针，落实立德树人根本任务，深化教育改革，推进依法治教，提高教育质量，统筹推进城乡义务教育一体化改革发展。到2025年，有效消除“大校额”，实现义务教育优质均衡发展，完善学前教育、高中教育、职业教育、特殊教育体系，教师队伍建设不断加强，教育信息化水平稳步提升，体育运动事业进一步发展，全力把龙山教育打造成湘鄂渝边区一张亮丽的名片。</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加快发展教育事业。</w:t>
      </w:r>
      <w:r>
        <w:rPr>
          <w:rFonts w:hint="eastAsia" w:ascii="方正书宋简体" w:hAnsi="方正书宋简体" w:eastAsia="方正书宋简体" w:cs="方正书宋简体"/>
          <w:color w:val="000000" w:themeColor="text1"/>
          <w:sz w:val="24"/>
          <w:szCs w:val="24"/>
          <w14:textFill>
            <w14:solidFill>
              <w14:schemeClr w14:val="tx1"/>
            </w14:solidFill>
          </w14:textFill>
        </w:rPr>
        <w:t>落实立德树人根本任务。进一步加强学校党的基层组织建设，充分发挥学校党组织在立德树人中的领导地位，提高党的基层组织引领思想政治工作的能力；推进德智体美劳全面发展，加强学生思想政治教育，丰富和完善德育课程体系，建立科学的教育评价体系；加强教师思想政治工作和师德建设，鼓励党政干部、名师名家讲思政课，发挥各类课程的育人功能；加强教师队伍建设，培养“四有”好老师，给学生心灵埋下真善美的种子，引导学生扣好人生第一粒扣子。</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着力改善办学条件。</w:t>
      </w:r>
      <w:r>
        <w:rPr>
          <w:rFonts w:hint="eastAsia" w:ascii="方正书宋简体" w:hAnsi="方正书宋简体" w:eastAsia="方正书宋简体" w:cs="方正书宋简体"/>
          <w:color w:val="000000" w:themeColor="text1"/>
          <w:sz w:val="24"/>
          <w:szCs w:val="24"/>
          <w14:textFill>
            <w14:solidFill>
              <w14:schemeClr w14:val="tx1"/>
            </w14:solidFill>
          </w14:textFill>
        </w:rPr>
        <w:t>统筹规划学前教育，规划新建幼儿园9所。分两期实施幼儿园建设，第一期启动规划新建龙山县第一、第四、第五、第六幼儿园，第二期规划新建第七、第八、第九、第十幼儿园和新城幼儿园。优质发展义务教育，加强义务教育特别是寄宿制学校建设。新建华塘芙蓉学校、龙山县第七小学（新城）、龙山县第八小学（水泥厂）、螺蛳滩小学、石羔街道高铁新区小学、石羔街道高铁新区中学。继续实施城区义教阶段白岩书院、龙山六小、龙山三中、龙山一小、龙山二小、龙山四小、龙山五小等7所学校和乡镇义务教育阶段石牌、水田2所学校达标建设。加大里耶民中等中心乡镇（街道）的中小学教育教学条件改善力度和教师队伍建设力度，尽早实现城乡义教优质均衡发展。合理布局高中教育，新建龙山一中。加快发展职业教育，新建高铁新城龙凤职业学院，以加快就业技能培训、岗位技能培训、创业培训等。积极推进特殊教育，新建或改扩建一所特殊教育学校。同时，加强专业化特教教师队伍建设，加大对特教教师的补充力度，加强普特结合，落实随班就读。打造民族文化传承基地，规划建设靛房土家族语言传承教育基地学校；在石羔街道高铁新城规划建设文化、艺术、科技、劳动等校外活动中心，推动和规范中小学生研学旅行、研学基地（营地）、研学产业发展；持续性加快推进教育信息化，计划建设千兆教育城域网、大数据资源中心、智慧校园、校园监控全覆盖、城区校园录播室及校园电视台，全面提升我县教育发展水平。</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切实加强教师队伍建设。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进一步完善教师培养培训体系，逐渐理顺教师管理体制，教师队伍素质能力明显提升，“县管校聘”管理体制基本建立，教师资源配置显著改善，教师待遇依法得到保障,教师职业吸引力明显增强。努力造就一支素质优良、结构合理、甘于奉献、热爱教育事业的教师队伍。</w:t>
      </w:r>
    </w:p>
    <w:p>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努力提高教育教学质量。</w:t>
      </w:r>
      <w:r>
        <w:rPr>
          <w:rFonts w:hint="eastAsia" w:ascii="方正书宋简体" w:hAnsi="方正书宋简体" w:eastAsia="方正书宋简体" w:cs="方正书宋简体"/>
          <w:color w:val="000000" w:themeColor="text1"/>
          <w:sz w:val="24"/>
          <w:szCs w:val="24"/>
          <w14:textFill>
            <w14:solidFill>
              <w14:schemeClr w14:val="tx1"/>
            </w14:solidFill>
          </w14:textFill>
        </w:rPr>
        <w:t>大力推进教育教学改革，抓实教学常规，扎实推进课程改革，注重教师专业发展，完善教研协作区制度。推进教育信息化建设，实施教育信息化2.0工程，到2022年基本实现三个全覆盖：教学应用覆盖全体教师、学习应用覆盖全体适龄学生、数字校园建设覆盖全体学校。积极推动城乡协同发展，建立城区学校帮扶农村学校的“一对一”或者“一对多”帮扶机制，推动各中小学校与济南市和长沙市对口学校形成“一对一”或者“一对多”帮扶关系。优化农村学校布局，加强农村小规模学校、教学点和山村幼儿园管理，实现农村教学点网络联校全覆盖。推进教育集团化办学，实现教育资源共享，破解学生“择校热”。推进学前教育普惠安全优质发展，科学规划布局，扩大公办幼儿园资源，规范城镇小区配套幼儿园建设使用,大力发展农村学前教育，扶持普惠性民办幼儿园发展。大力推进普通高中多样化特色发展，持续推进高考综合改革，切实抓好普通高中“走班选课制”和学生生涯规划指导，积极支持高级中学办好省级示范性高中，皇仓中学办好州级示范性高中，里耶民中创建特色高中，着力提高整体水平，逐步扩大全县优质普通高中教育资源。重视发展特殊教育，积极开展残疾儿童学前教育和高中、职业教育，依托县特殊教育学校建设特殊教育康复中心，对县域内学前残疾儿童进行康复教育，保障县域内智障儿童接受义务教育。加快发展现代职业教育，积极开展“双师型”教师培养培训，提升职业教育教师队伍建设，提升职业学校办学水平，加快完善龙山县职教中心建设的实训设施，加强行业企业和职业院校的共同合作，完善现代职业教育体系，深化职普融合、产教融合、校企合作，大力提高职业教育水平。</w:t>
      </w:r>
    </w:p>
    <w:tbl>
      <w:tblPr>
        <w:tblStyle w:val="18"/>
        <w:tblpPr w:leftFromText="180" w:rightFromText="180" w:vertAnchor="text" w:horzAnchor="page" w:tblpX="1146" w:tblpY="160"/>
        <w:tblOverlap w:val="never"/>
        <w:tblW w:w="6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6360" w:type="dxa"/>
            <w:shd w:val="clear" w:color="auto" w:fill="auto"/>
            <w:vAlign w:val="center"/>
          </w:tcPr>
          <w:p>
            <w:pPr>
              <w:keepNext w:val="0"/>
              <w:keepLines w:val="0"/>
              <w:pageBreakBefore w:val="0"/>
              <w:kinsoku/>
              <w:wordWrap/>
              <w:overflowPunct/>
              <w:topLinePunct w:val="0"/>
              <w:autoSpaceDE/>
              <w:autoSpaceDN/>
              <w:bidi w:val="0"/>
              <w:adjustRightInd/>
              <w:spacing w:line="260" w:lineRule="exact"/>
              <w:jc w:val="center"/>
              <w:textAlignment w:val="auto"/>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专栏16  教育事业重点工程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0" w:hRule="atLeast"/>
        </w:trPr>
        <w:tc>
          <w:tcPr>
            <w:tcW w:w="6360" w:type="dxa"/>
            <w:shd w:val="clear" w:color="auto" w:fill="auto"/>
          </w:tcPr>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1.龙山县公办幼儿园办学能力达标项目：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龙山县第一、四、五、六、七、八、九、十幼儿园、新城幼儿园，建设教学综合楼8栋，建筑面积24510平方米，屋顶活动场5920平方米，地面活动场6080平方米、道路及停车场4620平方米，教学设备及幼儿玩教具等设备购置，21个乡镇学前教育（公办）幼儿园，户外活动场地、生活服务设施100800平方米。</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2.龙山县义务教育提升项目：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新建华塘芙蓉学校、第七小学(新城小学）、官渡小学、高铁新区小学、宝塔小学等小学6所，总建筑面积16.2万平方米；2.新建官渡中学、宝塔中学、高铁新区中学等中学3所，总建筑面积5.4万平方米；3.建设特色学校1所，建筑面积8000平方米；4.水田坝、石牌学校提质改造，城区7所学校达标建设；4.龙山县茨岩小学、里耶小学劳动实训基地建设；5.教育信息化建设（智慧校园、校园监控等）；6.华鑫学校改扩建；7.里耶民中迁建。</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3.龙山县高级中学迁建项目：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占地面积约150亩，100班型，建筑面积约29000平方米，教学楼、艺体综合楼、科技实验楼、后勤生活服务用房、学生宿舍、运动场、地下停车场等附属设施（心里健康室）及教学设备。</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4.龙山县职业中学迁建项目项目：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建设校舍6.4万平方米，实训基地2万平方米，购置图书、仪器设备等。</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5.龙山县教师培训中心项目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：教师队伍系统培训、全县中小学生研学。</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6.龙山县土家族苗族语言传承教育基地学校（靛房九年制学校）项目：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新建土家族苗族语言传承教育基地及相关文化，手工艺配套教室设施。</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7.龙山县中小学集中改厕项目：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改扩建农村义务教育学校厕所1000个，面积40000平方米，蹲位12000个。</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8.龙山县里耶职业中学项目：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教学楼、办公楼、学生宿舍、运动场，等关设施设备。</w:t>
            </w:r>
          </w:p>
          <w:p>
            <w:pPr>
              <w:keepNext w:val="0"/>
              <w:keepLines w:val="0"/>
              <w:pageBreakBefore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9.龙山县职校实训基地项目：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实习实训基地、实训楼等相关设施设备。</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10.龙山县教师周转房项目项目：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三元学校周转房，新建教师公租房48套及配套设施，建筑面积2160平方米2.咱果学校周转房，新建教师公租房40套及配套设施，建筑面积1800平方米3.石牌学校周转房，新建教师公租房60套及配套设施，建筑面积2700平方米。</w:t>
            </w:r>
          </w:p>
        </w:tc>
      </w:tr>
    </w:tbl>
    <w:p>
      <w:pPr>
        <w:pStyle w:val="2"/>
      </w:pP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积极发展体育运动事业。加强项目建设。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实施体育公园、全民健身中心、社会足球场地、业余体校和青少年活动中心、后备人才基地、户外运动基础设施建设项目。到2025年，基本建成县乡村三级公共体育设施网络，公共体育设施开放率达100%，人均拥有体育场地面积达到2平方米以上，学校体育场地设施与器材配置达标率达到全覆盖。完成山水龙城、皇仓坪公园健身步道，乌龙山大峡谷健身步道、团结至三元沿河健身步道，兴隆街道至茨岩塘苏区红军路建设，大安翻身村风力发电旅游区游道建设、茨岩塘红军广场—红岩溪—洗车河—惹巴拉景区骑行路线建设；完成里耶八面山滑翔伞基地、龙山登山基地、八面山攀岩基地建设；完成举重、跆拳道、摔跤、羽毛球训练基地及社区足球场项目建设；完成乡镇篮球场项目建设。</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推广群体活动。</w:t>
      </w:r>
      <w:r>
        <w:rPr>
          <w:rFonts w:hint="eastAsia" w:ascii="方正书宋简体" w:hAnsi="方正书宋简体" w:eastAsia="方正书宋简体" w:cs="方正书宋简体"/>
          <w:color w:val="000000" w:themeColor="text1"/>
          <w:sz w:val="24"/>
          <w:szCs w:val="24"/>
          <w14:textFill>
            <w14:solidFill>
              <w14:schemeClr w14:val="tx1"/>
            </w14:solidFill>
          </w14:textFill>
        </w:rPr>
        <w:t>落实《全民健身条例》，全面推动“五纳入”工作，建立县级专项体育协会或社团10个以上，民间体育俱乐部20个以上，全民健身站点数40个以上，80%以上的城市街道社区、60%以上的农村乡镇设有体育组织；城市街道社区普遍设立体育健身站（点），60%以上的乡镇设立体育健身站（点）。开展全民健身活动，组织户外健步行（跑）、登山、骑行、广场舞、游泳、乒乓球、羽毛球、足球、篮球、排球、摆手舞、武术、健身气功、太极拳、跳绳、踢毽、门球等健身活动，打造区域和民族特色群体活动品牌，进一步完善体教融合机制，探索政府购买服务等方式，引进专业教练员、退役运动员、体育培训机构等为学校体育课外训练和竞赛提供指导。完善学校体育教学、训练和竞赛体系，探索中小学运动员协同培养机制。</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开展竞技体育。</w:t>
      </w:r>
      <w:r>
        <w:rPr>
          <w:rFonts w:hint="eastAsia" w:ascii="方正书宋简体" w:hAnsi="方正书宋简体" w:eastAsia="方正书宋简体" w:cs="方正书宋简体"/>
          <w:color w:val="000000" w:themeColor="text1"/>
          <w:sz w:val="24"/>
          <w:szCs w:val="24"/>
          <w14:textFill>
            <w14:solidFill>
              <w14:schemeClr w14:val="tx1"/>
            </w14:solidFill>
          </w14:textFill>
        </w:rPr>
        <w:t>强化青少年业余训练体系，加强县级业余体校管理，结合县域特色，发挥传统优势，合理规划布局。完善青少年体育竞赛体系，新建龙山县青少年活动中心，积极开展青少年体育竞赛，加强教练员队伍建设，多渠道配备好业余体校教练，实施“精英”教练培养计划，重点打造夺金项目青少年训练“领军型”教练。加强青少年体育组织建设，开展青少年体育俱乐部创建活动，建立青少年体育俱乐部服务质量标准制度，开展各类示范型青少年体育俱乐部创建活动，完善青少年体育俱乐部联赛制度和管理人员培训制度。办好体育传统项目学校，完善项目结构和学段结构，做好重点项目、优势项目和民族特色项目布局，营造校园体育传统项目文化。支持青少年校外活动中心建设，为青少年搭建具有强体验性、实践性、参与性的体育、艺术等综合平台。努力办好龙山县业余体校，“十四五”期间，新建龙山县业余体校，3年内努力办成全州的品牌体校，5年内创建为省后备人才基地。根据我县竞技项目布局，围绕项目布局重点，积极引进高水平教练员，打造举重、摔跤、跆拳道、攀岩等重点项目，在资金和政策上给予倾斜，把举重、摔跤、跆拳道、攀岩作为提高我县竞技体育的突破点，做强金牌项目，坚持精品战略。抓好“四强”工程，搞好人才输送，体校常年业训总人数达120人以上，重点培养30名以上后备人才。每年向省级体校输送2名以上优秀苗子，向州体校、古丈玉玲举重学校输送20名以上优秀学生。认真备战2024年全州第十五届运动会，争取团体总分、金牌总数有新突破。</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72" w:name="_Toc60048937"/>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73" w:name="_Toc16759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推动健康龙山建设</w:t>
      </w:r>
      <w:bookmarkEnd w:id="272"/>
      <w:bookmarkEnd w:id="273"/>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实施健康中国战略，完善国民健康政策，为人民群众提供全方位全周期健康服务，鼓励发展大健康产业。引导人们从关心治疗逐渐转向关心预防、养生及整体健康管理。聚焦解决“看病难、看病贵”问题，深化公立医院改革，加强县级医院综合能力建设，加强标准化村卫生室和城市社区卫生机构建设，健全公共卫生和疾病预防控制体系。启动公共卫生医疗保障及应急体系建设。</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深化医疗保障体制改革。</w:t>
      </w:r>
      <w:r>
        <w:rPr>
          <w:rFonts w:hint="eastAsia" w:ascii="方正书宋简体" w:hAnsi="方正书宋简体" w:eastAsia="方正书宋简体" w:cs="方正书宋简体"/>
          <w:color w:val="000000" w:themeColor="text1"/>
          <w:sz w:val="24"/>
          <w:szCs w:val="24"/>
          <w14:textFill>
            <w14:solidFill>
              <w14:schemeClr w14:val="tx1"/>
            </w14:solidFill>
          </w14:textFill>
        </w:rPr>
        <w:t>持续深化医疗、医保、医药联动改革。深化公立医院综合改革，健全医疗卫生机构和医务人员绩效考核机制，建立和完善医疗服务价格动态调整机制，深化薪酬制度和编制管理改革。建立健全现代医院管理制度和全民医疗保障制度，打造县、乡、村医护人员一体化新格局。加快“互联网+医疗健康”发展，促进医药卫生管理和服务模式的重塑，健全完善分级诊疗体系。深化医疗保障制度改革，提高基本医疗保障水平，推进医保实行“总额付费，加强监督考核，结余留用、合理超支分担”的支付方式改革，扩大按疾病诊断相关分组付费和按病种付费覆盖面，加强医保基金管理，建立智能监控系统，健全监管机制。建立科学合理的医药价格形成机制，推进医药服务供给侧改革。健全药品供应保障体系，深化药品、医用耗材集中带量采购制度改革，完善药品耗材采购政策，促进科学合理用药，加强药品耗材使用监管。完善药品配送企业诚信记录和“进出”机制，确保县域内同药同价，着力破解群众看病难、看病贵问题。构建优质高效的整合型医疗卫生服务体系，全面推进紧密型县域医共体建设，促进“县乡一体、乡村一体”。推进县级医疗卫生机构对口支援基层医疗卫生机构，加强业务指导和技术支持，增强紧缺人才定向培养和引进力度，建立乡镇卫生院全科医生人才培养、储备，不断提升基层医疗卫生机构服务与管理水平。</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健全公共医疗服务体系。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医疗布局调整，提高县城综合服务能力，加强县城医疗分中心建设，快速推进建制乡镇中心卫生院建设。启动公共卫生医疗保障及应急体系建设，加快补齐薄弱县级医院（含中医类医院）能力短板，扩大急诊部、住院部、医技科室等业务用房规模，全面加强床位达标和医疗装备，重症急救，信息化等建设，及县级医院提标扩能建设，实施疾控中心、妇幼保健院、传染病大楼、第二人民医院（里耶）、中医院迁建、兴隆社区医院等项目，加强中医院能力提升项目，加大投放、改善条件，聚焦传承、创新机制，打造健康生活目的地，巩固传染病监测预警和联防联控，做好农村适龄妇女“两癌”免费筛查和孕产妇免费产前筛查等工作。深入推进“平安医院建设”，不断规范诊疗护理行为，坚决依法打击医闹。加强优生优育服务，提高出生人口素质。深入实施优生促进和优生“两免”政策，多途径加强出生缺陷干预，综合治理出生人口性别比偏高问题。完善家庭扶助政策，妥善解决生活资料、养老保障、大病医疗、精神慰藉等问题。实施《国务院办公厅关于促进3岁以下婴幼儿照护服务发展的指导意见》，充分发挥中央预算内投资示范带动作用和地方政府引导作用，激发社会力量参与积极性，建成一批具有带动效应、承担一定指导功能的示范性托育服务机构。坚持社会化发展托育服务，围绕“政府引导、多方参与、社会运营、普惠可及”，深入开展城企合作。支持和引导县级人民政府系统规划建设托育服务体系。县级人民政府提供全方位政策支持清单。企业（含企业、事业单位、社会组织等）提供普惠托育服务清单，向社会公开、接受监督。规范政企托育合作机制。到2025年，科学有序的分级诊疗实现城市居民15分钟、农村居民30分钟就医圈，每千常住人口执业（助理）医师数达到3.5人，注册护士数达到4.5人。</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完善公共卫生服务体系。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建设完善以疾病预防控制、应急救治、妇幼健康、卫生监督等专业公共卫生机构为骨干，以各级各类医疗机构为依托，以基层医疗卫生机构为网底，以全民参与为支撑，覆盖全民的公共卫生服务体系。改革完善疾病预防控制体系，建立稳定的公共卫生事业投入机制，加强各级疾控机构基础设施、人才队伍、科研力量和服务能力建设，强化监测预警、风险评估、流行病学调查、检验检测、应急处置等职能，形成多层次、广覆盖的城乡疾病预防控制网络。健全完善重大疫情防控机制建设，进一步健全整合资源，加快建立统分结合、职责清晰、协调有力、运转高效的公共卫生应急管理运行体系，从应急响应、领导指挥、救助治疗、舆情应对等方面全方位优化应急管理机制，提高应对突发公共卫生事件能力。全面加强应急医疗救治体系建设，提升应急救治能力与水平。落实医疗机构公共卫生责任，全面加强公立医院传染病救治能力建设，重点加强医院发热门诊、重症监护、感染性疾病科和相对独立的传染病病区（可转换病区）建设，切实加强实验室检测网络建设，提升传染病检测能力。实施龙山县医疗洗消一体化中心项目。建立公共卫生机构和医疗机构协同监测机制，全面提升基层医疗卫生机构公共卫生服务、监测预警和应急反应能力。完善妇幼健康服务体系，加强各级妇幼保健机构规范化建设。创新卫生监督执法体制，推进综合监督行政执法。</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积极推进健康龙山行动。</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实施包含健康知识普及、合理膳食、全民健身、控烟、心理健康促进、健康环境促进、妇幼健康促进、中小学健康促进、职业健康保护、老年健康促进、残疾人健康促进、心脑血管疾病防治、癌症防治、慢性呼吸系统疾病防治、糖尿病防治、传染病、地方病防控、民族医药和全民健康信息化推进等18项专项行动的健康龙山行动，强化政府、社会、个人责任，推动卫生健康工作理念、服务方式从以治病为中心转变为以人民健康为中心，完善全民健康促进政策，建立健全健康教育体系，加强早期干预，预防和控制重大疾病，形成有利于健康的生活方式、生态环境和社会环境，实现健康和经济社会良性协调发展。深入开展爱国卫生运动，促进全民养成文明健康生活方式。</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大力发展互联网+医疗健康。</w:t>
      </w:r>
      <w:r>
        <w:rPr>
          <w:rFonts w:hint="eastAsia" w:ascii="方正书宋简体" w:hAnsi="方正书宋简体" w:eastAsia="方正书宋简体" w:cs="方正书宋简体"/>
          <w:color w:val="000000" w:themeColor="text1"/>
          <w:sz w:val="24"/>
          <w:szCs w:val="24"/>
          <w14:textFill>
            <w14:solidFill>
              <w14:schemeClr w14:val="tx1"/>
            </w14:solidFill>
          </w14:textFill>
        </w:rPr>
        <w:t>建设完善全县全民智慧健康信息平台，实现县、乡、村三医疗机构互联互通，畅通卫健、医保等相关部门、区域、行业间的数据共享交换，深化人口、公共卫生、医疗服务、医疗保障、药品供应、综合监管等有关业务信息系统协同应用。进一步完善远程医疗制度建设，推动互联网诊疗服务和互联网医院健康、快速发展。不断完善以电子病历为核心的医疗机构信息化建设，建立医疗、服务、管理“三位一体”的智慧医院系统，不断提高医院治理现代化水平，形成线上线下一体化的现代医院服务与管理模式。</w:t>
      </w:r>
    </w:p>
    <w:tbl>
      <w:tblPr>
        <w:tblStyle w:val="18"/>
        <w:tblW w:w="62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200" w:type="dxa"/>
            <w:shd w:val="clear" w:color="auto" w:fill="auto"/>
            <w:vAlign w:val="center"/>
          </w:tcPr>
          <w:p>
            <w:pPr>
              <w:spacing w:line="360" w:lineRule="auto"/>
              <w:jc w:val="center"/>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专栏17  医疗卫生服务重点工程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jc w:val="center"/>
        </w:trPr>
        <w:tc>
          <w:tcPr>
            <w:tcW w:w="6200" w:type="dxa"/>
            <w:shd w:val="clear" w:color="auto" w:fill="auto"/>
          </w:tcPr>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1.龙山县妇幼保健和计划生育服务中心项目：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总建筑面积6.3万平方米，主要包括妇儿保健中心、综合楼、门急诊部、医技楼、保障用房、住院部、地下室等。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2.龙山县中医院门（急）诊、医技、住院综合楼项目：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总建筑面积4.9万平方米，主要建设门诊、医技、住院综合大楼、药剂楼、生活用房、120急救中心等。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3.龙山县乡镇中心（社区）医院达标项目：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兴隆社区、石羔社区、民安社区、桂塘镇、召市镇、洛洛乡、洗洛镇、茨岩镇等乡镇及社区中心医院项目迁建、，改造，总用地面积62662.65平方米，，总建筑面积5471.96平方米，包括综合楼、食堂、配套用房、地下设备用房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4.龙山县第二人民医院门急诊综合楼、住院楼项目：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总建筑面积2.3万平方米，新建住院楼、门急诊综合楼、地下车库、行政综合楼，食堂及保障性用房等。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5.龙山县人民医院传染病区住院楼项目：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总建筑面积1.2万平方米，建设含传染病综合楼1栋、配套污水处理设施、垃圾暂存处、设备用房、车库及室外工程等。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6.龙山县里耶、惹巴拉、茨岩塘中医（土家医）康养中心项目：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里耶康养中心建筑面积5000平方米，惹巴拉康养中心建筑面积5600平方米，茨岩塘康养中心建筑面积5600平方米，新建康养中心大楼，内部设置康复室、医办室、活动室、餐厅、厨房、洗衣房、卫生间、浴室、远程诊疗室、心理咨询室等，配套道路、广场、地面停车位、绿化、给排水等附属设施。</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7.龙山县疾病预防控制中心迁建项目：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总建筑面积为8020平方米，新建主体建筑疾病预防控制中心综合业务用房、实验用房、应急医疗物资储备库，配套建设路面硬化、绿化、给排水、供电、消防、大门、围墙等附属设施，实验室设备购置。</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8.龙山县优抚医院项目：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建设面积2.2万平方米，床位500张，</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9.龙山县月子中心项目：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项目占地4000平方米，建筑面积3000平方米，打造一个以月子护理服务为核心的，集产后护理、形体塑身、营养保健、育婴、早教为一体的综合性、专业性月子中心。</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10.龙山县医疗洗消一体化中心项目：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建设县级医疗洗消一体化中心，满足县内及周边地区医疗单位床位及手术所需的诊疗器械、器具、洁净手术衣、手术盖单等物品清洗、消毒、灭菌以及无菌物品日供应量。</w:t>
            </w:r>
          </w:p>
        </w:tc>
      </w:tr>
    </w:tbl>
    <w:p>
      <w:pPr>
        <w:pStyle w:val="2"/>
        <w:rPr>
          <w:color w:val="000000" w:themeColor="text1"/>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val="0"/>
          <w:bCs w:val="0"/>
          <w:color w:val="000000" w:themeColor="text1"/>
          <w:sz w:val="30"/>
          <w:szCs w:val="30"/>
          <w14:textFill>
            <w14:solidFill>
              <w14:schemeClr w14:val="tx1"/>
            </w14:solidFill>
          </w14:textFill>
        </w:rPr>
      </w:pPr>
      <w:bookmarkStart w:id="274" w:name="_Toc60048938"/>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75" w:name="_Toc688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完善社会保障体系</w:t>
      </w:r>
      <w:bookmarkEnd w:id="274"/>
      <w:bookmarkEnd w:id="275"/>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实施全民参保计划，健全以社会保险、社会救助、社会福利为基础覆盖城乡居民的社会保障体系，完善社会保障参保扩面激励机制，提高统筹层次，稳步提高社会保障待遇水平和保障能力。</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建成多层次社会保障体系。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建成覆盖全民、城乡统筹、权责清晰、保障适度、可持续的多层次社会保障体系。全面实施全民参保计划，对各类人员参加社会保险情况进行登记补充完善，建立完整、准确的社会保险参保基础数据库，实现全县联网和动态更新。采取有效措施，促进中小微企业和重点群体积极参保、持续缴费，促进和引导各类单位和符合条件的人员长期持续参保。完善城镇职工和城乡居民基本养老保险制度。完善统一的城乡居民基本医疗保险制度和大病保险制度，保障群众就医需求、减轻群众医药费用负担、提高群众健康水平。完善失业保险、工伤保险制度，积极实施工伤保险基金统筹，全面推开工伤预防工作，促进待遇调整机制科学化、规范化。统筹城乡社会救助体系，完善最低生活保障制度，完善社会救助、社会福利、慈善事业、优抚安置等制度，解除困难群体生存危机、维护社会底线公平。</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重点扶持农村低收入群体。</w:t>
      </w:r>
      <w:r>
        <w:rPr>
          <w:rFonts w:hint="eastAsia" w:ascii="方正书宋简体" w:hAnsi="方正书宋简体" w:eastAsia="方正书宋简体" w:cs="方正书宋简体"/>
          <w:color w:val="000000" w:themeColor="text1"/>
          <w:sz w:val="24"/>
          <w:szCs w:val="24"/>
          <w14:textFill>
            <w14:solidFill>
              <w14:schemeClr w14:val="tx1"/>
            </w14:solidFill>
          </w14:textFill>
        </w:rPr>
        <w:t>加大财政投入力度，安排资金重点扶持低收入村、低收入农户产业发展项目，鼓励有条件的乡镇，充分挖掘财力、物力、人力潜能，通过异地联建、联购经营性物业等多种形式，增加低收入村集体资产和物业经营收入；全县安排的各项惠民政策和工程，最大限度地向低收入村和低收入农户倾斜；各乡镇根据工作任务，切实加大资金投入。以低收入村为平台，建立健全帮扶工作多部门协调的长效机制，整合目标相近、方向类同的涉农资金，提高资金使用效益。按照权责一致原则，支持各乡镇以重点项目为平台，把各类资金捆绑集中使用。在促进低收入农户增收工作中，鼓励推广应用政府与社会资本合作、政府购买服务等模式。各乡镇要建立帮扶公告公示制度，强化社会监督，保障资金在阳光下运行。</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健全社会救助体系。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健全以最低生活保障、特困人员供养为基础，以医疗、教育、住房、就业等专项救助为支柱的社会救助体系，加大临时救助力度。统筹城乡社会救助，缩小城乡社会救助差距。统筹推进扶老、助残、救孤、济困等福利事业，拓宽社会福利保障范围。规范各类慈善组织，完善行业规范和行业标准，加强基层慈善组织建设，培育一批慈善人才，加强慈善教育和慈善知识宣传普及，推进慈善事业健康发展。完善退役军人事务组织管理体系、工作运行体系、政策制度体系，健全退役军人保障制度，维护军人军属合法权益，共同营造全社会拥军优属、尊重尊崇退役军人的浓厚氛围。</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保障弱势群体权益。</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男女平等基本国策，促使妇女儿童合法权益保护实现全覆盖。维护“12338”妇女维权公益服务热线，积极推动“妇女儿童之家”建设，到2025年，建有“妇女儿童之家”的建制村占比达到100%。加强保障力度，按照人均一元的标准将妇女儿童事业发展专项经费纳入财政预算。强化妇儿工委及其办公室职能，加强妇女、儿童工作智库建设，依托高校、研究机构、社会组织等建设妇女、儿童发展研究基地，培育专业研究力量，通过课题招标、联合科研基地、组织专业力量、开展实地调研等方式开展理论与实践研究，促进成果转化。打造巾帼示范基地和儿童教育基地，推动妇女儿童各项规划落到实处。建设一所集教育培训、娱乐健身、文化传播一体的妇女儿童活动中心，推介妇女儿童发展成果。鼓励企事业单位、社会组织、慈善机构和公益人士参与妇女儿童事业发展工作。继续抓好残疾人“两项补贴”政策落实，按时足额发放补贴资金。逐步建立困难残疾人生活补贴和重度残疾人护理补贴标准动态调整机制，不断提高残疾人生活保障水平。健全养老服务体系，支持公办养老机构服务能力提升和普惠养老政企联动，完善社会福利服务体系、退役军人褒扬优抚服务体系、残疾人服务体系建设，实施荣誉军人休养院、县城养老中心、里耶镇康养中心、惹巴拉康养中心、茨岩塘康养中心等项目，启动洛塔、苗儿滩、靛房等中心敬老院建设。健全社会保障服务体系，实施救助管理站、未成年人救助保护等项目。重视妇女、儿童和青少年身心健康，建立健全农村留守儿童、妇女、老人关爱服务体系，切实保障妇女儿童合法权益。健全残疾人社会保障和服务体系，完善残疾人扶助政策，提升残疾人服务水平。对县域内残疾人数量、分布状况、康复需求等情况，制定康复机构设置规划，举办公益性康复机构，将康复机构设置纳入基本公共服务体系规划，支持社会力量投资康复机构建设，鼓励多种形式举办康复机构。加强流动人口管理和服务，鼓励来龙人员参与社区的公共事务和管理，创造条件促进来龙人员全面融入城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积极应对人口老龄化。</w:t>
      </w:r>
      <w:r>
        <w:rPr>
          <w:rFonts w:hint="eastAsia" w:ascii="方正书宋简体" w:hAnsi="方正书宋简体" w:eastAsia="方正书宋简体" w:cs="方正书宋简体"/>
          <w:color w:val="000000" w:themeColor="text1"/>
          <w:sz w:val="24"/>
          <w:szCs w:val="24"/>
          <w14:textFill>
            <w14:solidFill>
              <w14:schemeClr w14:val="tx1"/>
            </w14:solidFill>
          </w14:textFill>
        </w:rPr>
        <w:t>大力宣传《中华人民共和国老年人权益保障法》，提高全县全民保障老年人权益的法律意识，打造出浓厚的“敬老、养老”氛围。大力表彰孝顺老人的先进事迹，在全社会形成尊重、关心、帮助老年人的社会新风尚。完善老年人服务体系建设，加快老干部活动中心建设，统筹安排老年大学等涉老组织。坚持以人为本，充分考虑到农村老年人的生活保障、医疗保制度体系障和日常护理存在的问题，研究制定符合县情的地方性政策。解决贫困老年人现状，让广大农村老年人权益得到保障。加大对老龄事业的经费投入，资金实行社会化筹集、社会化发放，保障老年人基本生活补助金、护理金、医疗补助金等。建立社会化养老机构，培训从业服务人员，让城乡老年人真正享受到改革发展的成果，使老人实现老有所养。民政部门加强与卫健部门、社保部门、财政部门协调合作，鼓励、引导床位闲置较多的一、二级医疗机构转型为养老护理院，倡导医疗、养老相融合的“医养结合”养老模式。</w:t>
      </w:r>
    </w:p>
    <w:p>
      <w:pPr>
        <w:pStyle w:val="2"/>
        <w:rPr>
          <w:rFonts w:hint="eastAsia" w:ascii="方正书宋简体" w:hAnsi="方正书宋简体" w:eastAsia="方正书宋简体" w:cs="方正书宋简体"/>
          <w:color w:val="000000" w:themeColor="text1"/>
          <w:sz w:val="24"/>
          <w:szCs w:val="24"/>
          <w14:textFill>
            <w14:solidFill>
              <w14:schemeClr w14:val="tx1"/>
            </w14:solidFill>
          </w14:textFill>
        </w:rPr>
      </w:pPr>
    </w:p>
    <w:tbl>
      <w:tblPr>
        <w:tblStyle w:val="18"/>
        <w:tblpPr w:leftFromText="180" w:rightFromText="180" w:vertAnchor="text" w:horzAnchor="page" w:tblpX="1235" w:tblpY="122"/>
        <w:tblOverlap w:val="never"/>
        <w:tblW w:w="6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628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outlineLvl w:val="9"/>
              <w:rPr>
                <w:rFonts w:hint="eastAsia" w:asciiTheme="minorEastAsia" w:hAnsiTheme="minorEastAsia" w:eastAsiaTheme="minorEastAsia" w:cstheme="minorEastAsia"/>
                <w:b/>
                <w:color w:val="000000" w:themeColor="text1"/>
                <w:sz w:val="18"/>
                <w:szCs w:val="18"/>
                <w14:textFill>
                  <w14:solidFill>
                    <w14:schemeClr w14:val="tx1"/>
                  </w14:solidFill>
                </w14:textFill>
              </w:rPr>
            </w:pPr>
            <w:r>
              <w:rPr>
                <w:rFonts w:hint="eastAsia" w:ascii="楷体" w:hAnsi="楷体" w:eastAsia="楷体" w:cs="楷体"/>
                <w:b/>
                <w:bCs w:val="0"/>
                <w:color w:val="000000" w:themeColor="text1"/>
                <w:sz w:val="24"/>
                <w:szCs w:val="24"/>
                <w14:textFill>
                  <w14:solidFill>
                    <w14:schemeClr w14:val="tx1"/>
                  </w14:solidFill>
                </w14:textFill>
              </w:rPr>
              <w:t>专栏18  民生保障重点工程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3" w:hRule="atLeast"/>
          <w:jc w:val="center"/>
        </w:trPr>
        <w:tc>
          <w:tcPr>
            <w:tcW w:w="6280" w:type="dxa"/>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1.龙山县老旧小区改造项目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对2005年前建成小区的道路、供排水、供电、供气、供热、绿化、照明、围墙、电梯、消防等基础设施的更新改造；小区内配套养老抚幼、无障碍设施、便民市场等服务设施的建设；小区内房屋公共区域修缮、建筑节能改造等，改造面积约100万平方米。</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2.龙山县殡葬体系建设项目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改扩建龙山县殡仪馆，新建悼念厅、停车场、综合楼等附属设施，新增环保火化设备3套，新建县级骨灰寄存设施，新开发节地生态公墓山1处；每个乡镇增设6个农村公益性公墓（民安、华塘街道除外），共114个：洗洛、石牌、茨岩塘、水田坝、红岩溪、农车、洗车河、苗儿滩、靛房、里耶、召市、桂塘、大安、茅坪、洛塔、咱果、内溪、石羔、兴隆等19处乡镇集中治丧场所建设。</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3</w:t>
            </w:r>
            <w:r>
              <w:rPr>
                <w:rFonts w:hint="eastAsia" w:asciiTheme="minorEastAsia" w:hAnsiTheme="minorEastAsia" w:eastAsiaTheme="minorEastAsia" w:cstheme="minorEastAsia"/>
                <w:color w:val="000000" w:themeColor="text1"/>
                <w:sz w:val="18"/>
                <w:szCs w:val="18"/>
                <w14:textFill>
                  <w14:solidFill>
                    <w14:schemeClr w14:val="tx1"/>
                  </w14:solidFill>
                </w14:textFill>
              </w:rPr>
              <w:t>.</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龙山县示范性托幼院建设项目：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总用地面积5500m²，总建筑面积3000m²，新建幼儿生活用房、服务用房、供应用房和室外活动场所等。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4.龙山县水库移民后期扶持基金项目：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项目覆盖库区移民后期扶持；移民直补到人、产业开发、产业道路、基础设施配套、美丽乡村建设、美丽家园及生产开发及配套设施建设等。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5.龙山县棚户区改造项目：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1.民安街道集贸街棚户区改造项目:货币化安置50户，拆除房屋建筑面积13000平方米。2.民安街道春景社区棚户区改造项目:货币化安置130户，拆除房屋建筑面积14000平方米。</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6.龙山县城公租房项目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：建设公租房1400套，建设面积70000平方米。</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7.龙山县乡镇（街道）中心敬老院新（扩）建项目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桂塘镇、里耶镇、苗儿滩镇、新城街道、农车镇、大安乡、召市镇、红岩溪镇、洗车河镇、华塘街道、石羔、靛房镇等12个乡镇（街道）中心敬老院建设，主要建设养护楼、厨房及管理用房、绿化、活动场所、道路等，建设总面积5.7万平方米，建设床位总数1900张。</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8</w:t>
            </w:r>
            <w:r>
              <w:rPr>
                <w:rFonts w:hint="eastAsia" w:asciiTheme="minorEastAsia" w:hAnsiTheme="minorEastAsia" w:eastAsiaTheme="minorEastAsia" w:cstheme="minorEastAsia"/>
                <w:color w:val="000000" w:themeColor="text1"/>
                <w:sz w:val="18"/>
                <w:szCs w:val="18"/>
                <w14:textFill>
                  <w14:solidFill>
                    <w14:schemeClr w14:val="tx1"/>
                  </w14:solidFill>
                </w14:textFill>
              </w:rPr>
              <w:t>.</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龙山县养老中心项目：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总建筑面积42552平方米，建设综合楼1栋、老年养护楼2栋、医疗保健楼1栋,附属配套房、室外活动场所、停车场、衣物晾晒场、绿化、道路、以及消防。给排水、电力、环保工程、配套设备购置等。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9.龙山县日间照料中心项目：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每个日间照料中心新建一楼医养、康养中心，内设养老床位80张，老年学习娱乐中心，功能性恢复康养中心。</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10.龙山县残疾人康复中心项目：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总建设面积13500平方米，其中中心楼6100平方米，康复训练场600平方米，其他配套功能区6800平方米。</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11.龙山县精神障碍社区康复服务中心项目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：新建综合楼1栋，包括活动室、接待访谈室、行政办公室、餐厅、休息室、库房、公共卫生间。及其配套的停车场、设备场地等。</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12.龙山县妇女儿童活动中心项目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建筑面积5000平方米，主要建设技能培训室、流动妇女之家、巧娘民间手工室、亲子活动中心、托幼中心、多功能厅、会议室、音乐教室、服装设计室、老年课堂、语音教室、计算机室、健身房、接待室、餐厅等。配套地下停车场、排水、消防、垃圾和污水处理、绿化等设施。</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13</w:t>
            </w:r>
            <w:r>
              <w:rPr>
                <w:rFonts w:hint="eastAsia" w:asciiTheme="minorEastAsia" w:hAnsiTheme="minorEastAsia" w:eastAsiaTheme="minorEastAsia" w:cstheme="minorEastAsia"/>
                <w:color w:val="000000" w:themeColor="text1"/>
                <w:sz w:val="18"/>
                <w:szCs w:val="18"/>
                <w14:textFill>
                  <w14:solidFill>
                    <w14:schemeClr w14:val="tx1"/>
                  </w14:solidFill>
                </w14:textFill>
              </w:rPr>
              <w:t>.</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龙山县救助管理站项目：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救助管理用房以及其他附属设施建设。</w:t>
            </w:r>
          </w:p>
          <w:p>
            <w:pPr>
              <w:keepNext w:val="0"/>
              <w:keepLines w:val="0"/>
              <w:pageBreakBefore w:val="0"/>
              <w:widowControl w:val="0"/>
              <w:kinsoku/>
              <w:wordWrap/>
              <w:overflowPunct/>
              <w:topLinePunct w:val="0"/>
              <w:autoSpaceDE/>
              <w:autoSpaceDN/>
              <w:bidi w:val="0"/>
              <w:adjustRightInd/>
              <w:snapToGrid w:val="0"/>
              <w:spacing w:line="300" w:lineRule="exact"/>
              <w:textAlignment w:val="auto"/>
              <w:outlineLvl w:val="9"/>
              <w:rPr>
                <w:rFonts w:hint="eastAsia" w:asciiTheme="minorEastAsia" w:hAnsiTheme="minorEastAsia" w:eastAsiaTheme="minorEastAsia" w:cstheme="minorEastAsia"/>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14.龙山县未成年人救助保护中心项目：</w:t>
            </w:r>
            <w:r>
              <w:rPr>
                <w:rFonts w:hint="eastAsia" w:asciiTheme="minorEastAsia" w:hAnsiTheme="minorEastAsia" w:eastAsiaTheme="minorEastAsia" w:cstheme="minorEastAsia"/>
                <w:color w:val="000000" w:themeColor="text1"/>
                <w:sz w:val="18"/>
                <w:szCs w:val="18"/>
                <w14:textFill>
                  <w14:solidFill>
                    <w14:schemeClr w14:val="tx1"/>
                  </w14:solidFill>
                </w14:textFill>
              </w:rPr>
              <w:t>改扩建6500平方米，床位数200张。</w:t>
            </w:r>
          </w:p>
        </w:tc>
      </w:tr>
    </w:tbl>
    <w:p>
      <w:pPr>
        <w:widowControl/>
        <w:jc w:val="left"/>
        <w:rPr>
          <w:rFonts w:ascii="黑体" w:hAnsi="黑体" w:eastAsia="黑体" w:cs="Times New Roman"/>
          <w:b/>
          <w:bCs/>
          <w:color w:val="000000" w:themeColor="text1"/>
          <w:kern w:val="44"/>
          <w:sz w:val="32"/>
          <w:szCs w:val="32"/>
          <w14:textFill>
            <w14:solidFill>
              <w14:schemeClr w14:val="tx1"/>
            </w14:solidFill>
          </w14:textFill>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276" w:name="_Toc6809_WPSOffice_Level2"/>
      <w:bookmarkStart w:id="277" w:name="_Toc60048939"/>
      <w:r>
        <w:rPr>
          <w:rFonts w:hint="eastAsia" w:ascii="黑体" w:hAnsi="黑体" w:eastAsia="黑体" w:cs="黑体"/>
          <w:b w:val="0"/>
          <w:bCs w:val="0"/>
          <w:color w:val="000000" w:themeColor="text1"/>
          <w:w w:val="100"/>
          <w:sz w:val="30"/>
          <w:szCs w:val="30"/>
          <w14:textFill>
            <w14:solidFill>
              <w14:schemeClr w14:val="tx1"/>
            </w14:solidFill>
          </w14:textFill>
        </w:rPr>
        <w:t>第十七章  建设更高水平的平安龙山，推动</w:t>
      </w:r>
      <w:bookmarkEnd w:id="276"/>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1"/>
        <w:rPr>
          <w:rFonts w:hint="eastAsia" w:ascii="黑体" w:hAnsi="黑体" w:eastAsia="黑体" w:cs="黑体"/>
          <w:b w:val="0"/>
          <w:bCs w:val="0"/>
          <w:color w:val="000000" w:themeColor="text1"/>
          <w:w w:val="100"/>
          <w:sz w:val="30"/>
          <w:szCs w:val="30"/>
          <w14:textFill>
            <w14:solidFill>
              <w14:schemeClr w14:val="tx1"/>
            </w14:solidFill>
          </w14:textFill>
        </w:rPr>
      </w:pPr>
      <w:bookmarkStart w:id="278" w:name="_Toc3115_WPSOffice_Level2"/>
      <w:r>
        <w:rPr>
          <w:rFonts w:hint="eastAsia" w:ascii="黑体" w:hAnsi="黑体" w:eastAsia="黑体" w:cs="黑体"/>
          <w:b w:val="0"/>
          <w:bCs w:val="0"/>
          <w:color w:val="000000" w:themeColor="text1"/>
          <w:w w:val="100"/>
          <w:sz w:val="30"/>
          <w:szCs w:val="30"/>
          <w14:textFill>
            <w14:solidFill>
              <w14:schemeClr w14:val="tx1"/>
            </w14:solidFill>
          </w14:textFill>
        </w:rPr>
        <w:t>县域治理效能得到新提升</w:t>
      </w:r>
      <w:bookmarkEnd w:id="277"/>
      <w:bookmarkEnd w:id="278"/>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全面落实总体国家安全观，强化“大平安”理念，有效防范和化解各种风险，更好维护社会和谐稳定。统筹发展和安全，加快推进更高水平的“平安龙山”建设，加强和创新社会治理，确保人民安居乐业、社会安定有序。</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79" w:name="_Toc60048940"/>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80" w:name="_Toc4537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第一节  全面推进法治龙山建设</w:t>
      </w:r>
      <w:bookmarkEnd w:id="279"/>
      <w:bookmarkEnd w:id="280"/>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以习近平总书记法治思想为指导，全面贯彻落实党中央关于全面推进依法治国、建设“法治社会、法治国家、法治政府”的决策和精神，推进全民守法、严格执法、公正司法，营造良好法治环境，加快法治龙山建设。</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增强全社会法治意识。</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公共法律服务体系建设，加大普法力度，做好《宪法》《民法典》等法律法规的宣传贯彻落实工作，推动领导干部带头尊法学法守法用法，增强全民法治观念，有效发挥法治固根本、稳预期、利长远的保障作用，推进法治社会建设。支持各类媒体办好普法节目和专栏，推广运用政务网站、新媒体、手机报、户外广告等宣传载体推进普法工作。加强普法宣讲团、普法志愿者组织和法律人才库建设。协同推进农村法治建设，加强村民治法学校建设，深化社会综合治理，提高农民群众法治意识。</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加快建设法治政府。</w:t>
      </w:r>
      <w:r>
        <w:rPr>
          <w:rFonts w:hint="eastAsia" w:ascii="方正书宋简体" w:hAnsi="方正书宋简体" w:eastAsia="方正书宋简体" w:cs="方正书宋简体"/>
          <w:color w:val="000000" w:themeColor="text1"/>
          <w:sz w:val="24"/>
          <w:szCs w:val="24"/>
          <w14:textFill>
            <w14:solidFill>
              <w14:schemeClr w14:val="tx1"/>
            </w14:solidFill>
          </w14:textFill>
        </w:rPr>
        <w:t>法治政府建设是全面依法治国的重点任务和主体工程，深入落实国家、省、州关于法治政府建设各项工作任务。加快政府职能转变，推进依法行政。严格执行重大行政决策程序规定，构建职责明确、依法行政的政府治理体系。依法全面履行政府职能，实施权力清单、责任清单制度，推进机构、职能、权限、程序、责任法定化，使政府工作全面纳入法治轨道，建立行政职权目录，依法公开权力运行流程。深化行政审批制度改革，创新公共服务提供方式，优化法治化营商环境。健全依法决策机制，促进行政决策科学化、民主化、法治化。全面推行行政规范性文件和行政执法合法性审查机制，坚持严格规范公正文明执法，深入推进行政执法体制改革，推进食品药品、生态环境、安全生产、道路交通安全等关系群众切身利益的重点领域执法，提高行政执法权威和效率，切实维护人民群众合法权益，努力提高政府公信力。进一步加大政府信息公开力度，全面推进政务公开，加强对行政权力的制约与监督，自觉接受党内监督、人大监督、监察监督、民主监督、司法监督。依法治理民族事务，确保各族公民在法律面前人人平等。全面贯彻落实民族区域自治法，依法保障各民族合法权益。健全保障宪法实施和执法、司法、守法及法律服务工作体制机制，加快形成高效的法治实施体系。</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加强司法公正。</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深化司法体制综合配套改革，有效保障法院、检察院依法独立公正行使审判权、检察权，全面落实司法责任制，统一执法司法标准，完善律师制度，加强对司法活动的监督，确保司法公正高效权威。引导和鼓励司法鉴定机构积极开展司法鉴定实验室认证认可工作，选调专业水平较高的人员进入司法鉴定人队伍，提高专职司法鉴定人比例，推动司法鉴定人队伍职业化。狠抓司法鉴定网络信息化建设，及时发布司法鉴定相关信息，公开司法鉴定相关程序，建立并完善司法鉴定机构、司法鉴定人诚信档案，在网站上进行公示，全面接受社会监督。大力开展司法鉴定法律援助，减低困难弱势群体诉讼成本。</w:t>
      </w:r>
    </w:p>
    <w:p>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outlineLvl w:val="9"/>
        <w:rPr>
          <w:rFonts w:hint="eastAsia"/>
        </w:rPr>
      </w:pP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81" w:name="_Toc60048941"/>
      <w:bookmarkStart w:id="282" w:name="_Toc18633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第二节  加强和创新社会治理</w:t>
      </w:r>
      <w:bookmarkEnd w:id="281"/>
      <w:bookmarkEnd w:id="282"/>
    </w:p>
    <w:p>
      <w:pPr>
        <w:keepNext w:val="0"/>
        <w:keepLines w:val="0"/>
        <w:pageBreakBefore w:val="0"/>
        <w:widowControl w:val="0"/>
        <w:kinsoku/>
        <w:wordWrap/>
        <w:overflowPunct/>
        <w:topLinePunct w:val="0"/>
        <w:autoSpaceDE/>
        <w:autoSpaceDN/>
        <w:bidi w:val="0"/>
        <w:adjustRightInd/>
        <w:snapToGrid/>
        <w:spacing w:line="360" w:lineRule="exact"/>
        <w:ind w:firstLine="600" w:firstLineChars="200"/>
        <w:textAlignment w:val="auto"/>
        <w:outlineLvl w:val="9"/>
        <w:rPr>
          <w:rFonts w:hint="eastAsia" w:ascii="方正书宋简体" w:hAnsi="方正书宋简体" w:eastAsia="方正书宋简体" w:cs="方正书宋简体"/>
          <w:color w:val="000000" w:themeColor="text1"/>
          <w:sz w:val="30"/>
          <w:szCs w:val="30"/>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扎实推进社会治理体制创新，优化社会治理结构，完善党委领导、政府负责、民主协商、社会协同、公众参与、法治保障、科技支撑的社会治理体系，不断提升社会治理现代化水平。</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创新基层治理模式。</w:t>
      </w:r>
      <w:r>
        <w:rPr>
          <w:rFonts w:hint="eastAsia" w:ascii="方正书宋简体" w:hAnsi="方正书宋简体" w:eastAsia="方正书宋简体" w:cs="方正书宋简体"/>
          <w:color w:val="000000" w:themeColor="text1"/>
          <w:sz w:val="24"/>
          <w:szCs w:val="24"/>
          <w14:textFill>
            <w14:solidFill>
              <w14:schemeClr w14:val="tx1"/>
            </w14:solidFill>
          </w14:textFill>
        </w:rPr>
        <w:t>加快推进县域社会治理现代化，健全党组织领导的自治、法治、德治相结合的城乡基层治理体系，完善基层民主协商制度，实现政府治理同社会调节、居民自治良性互动，建设人人有责、人人尽责、人人享有的社会治理共同体。推动社会治理和服务重心向基层下移，向基层放权赋能，推行“党建引领、互助五兴”“五进小区”“社区吹哨、三个报到”等基层治理模式。健全农村、社区组织体系，推行网格化社会服务管理，加强基层社会治理队伍建设，运用信息技术构建网格化管理、精细化服务、信息化支撑、开放共享的基层管理服务平台，构建全民共建共享的社会治理格局。</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激发社会组织活力。</w:t>
      </w:r>
      <w:r>
        <w:rPr>
          <w:rFonts w:hint="eastAsia" w:ascii="方正书宋简体" w:hAnsi="方正书宋简体" w:eastAsia="方正书宋简体" w:cs="方正书宋简体"/>
          <w:color w:val="000000" w:themeColor="text1"/>
          <w:sz w:val="24"/>
          <w:szCs w:val="24"/>
          <w14:textFill>
            <w14:solidFill>
              <w14:schemeClr w14:val="tx1"/>
            </w14:solidFill>
          </w14:textFill>
        </w:rPr>
        <w:t>强化社会组织工作指导，提升群众自我管理、自我服务能力。</w:t>
      </w:r>
      <w:r>
        <w:rPr>
          <w:rFonts w:hint="eastAsia" w:ascii="方正书宋简体" w:hAnsi="方正书宋简体" w:eastAsia="方正书宋简体" w:cs="方正书宋简体"/>
          <w:bCs/>
          <w:color w:val="000000" w:themeColor="text1"/>
          <w:sz w:val="24"/>
          <w:szCs w:val="24"/>
          <w14:textFill>
            <w14:solidFill>
              <w14:schemeClr w14:val="tx1"/>
            </w14:solidFill>
          </w14:textFill>
        </w:rPr>
        <w:t>畅通和规范市场主体、新社会阶层、社会工作者和志愿者、乡贤等各类主体参与社会治理的途径。加强社会组织培育，分类放宽社会组织准入门槛，重点培育发展科技类、艺体活动类、文化教育类、公益慈善类、法律服务类、城乡社区服务类社会组织。支持和规范社会组织参与政府购买服务，提升社会组织管理和服务水平。鼓励优秀人才投身社会组织创业发展，加强社会工作人才队伍建设。建立社会组织常态监管机制，完善社会组织信息披露、重大事项报告和公众投诉制度，形成对社会组织的有效舆论监督和社会监督。加强物业管理，完善物业管理市场机制，积极推进智慧物业标准化建设，新建住宅小区物业管理覆盖率达到100%。规范社会组织登记管理和志愿服务。</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健全服务管理平台。</w:t>
      </w:r>
      <w:r>
        <w:rPr>
          <w:rFonts w:hint="eastAsia" w:ascii="方正书宋简体" w:hAnsi="方正书宋简体" w:eastAsia="方正书宋简体" w:cs="方正书宋简体"/>
          <w:color w:val="000000" w:themeColor="text1"/>
          <w:sz w:val="24"/>
          <w:szCs w:val="24"/>
          <w14:textFill>
            <w14:solidFill>
              <w14:schemeClr w14:val="tx1"/>
            </w14:solidFill>
          </w14:textFill>
        </w:rPr>
        <w:t>构建地域清晰、覆盖全面、归属明确、综合服务管理到位、基层自治的县乡网格化管理格局，整合基层综治、维稳、信访、公安、司法行政、法庭、民政、社保等工作力量，搭建一厅式办公、一站式服务的基层综合服务管理平台，完善镇(街道)综治维稳工作中心和村(社区)综治工作站的基层设施配套，加快推进基层法庭、公安派出所、公安检查站、司法所等执法办案场所和业务技术用房建设，落实社区民警专职化要求。</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提升社会治理水平。</w:t>
      </w:r>
      <w:r>
        <w:rPr>
          <w:rFonts w:hint="eastAsia" w:ascii="方正书宋简体" w:hAnsi="方正书宋简体" w:eastAsia="方正书宋简体" w:cs="方正书宋简体"/>
          <w:color w:val="000000" w:themeColor="text1"/>
          <w:sz w:val="24"/>
          <w:szCs w:val="24"/>
          <w14:textFill>
            <w14:solidFill>
              <w14:schemeClr w14:val="tx1"/>
            </w14:solidFill>
          </w14:textFill>
        </w:rPr>
        <w:t>建立健全县（区）、镇（街道）、村（社区）三级综治信息化体系，重点建设信息数据系统和视频指挥调度系统。推进管理网格化、信息化、智能化由城区向中心镇延伸。以交通问题顽瘴痼疾、农贸市场、背街小巷、老旧小区、殡葬改革等专项整治为重点，提升社会治理规范化水平。加快公安强戒场所等基础设施建设，加强对吸毒、刑满释放、易感染艾滋病病毒危险等特殊群体的服务管理工作，落实教育、矫治、管理以及综合干预措施。全面做好统计、审计、民族宗教等各项事业。</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推进智慧服务型政府建设。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全力推进“智慧政务”工程，加强互联网政务信息数据服务平台和便民服务平台建设，提高政务公开信息化、集中化水平。积极推进基层社会治理“一张网”建设，探索“网格化+智慧化”社会治理模式，构建现代化智慧型社会治理体系，打造共建共治共享的社会治理格局。以市民之家、智慧城市为大脑，持续深化“放管服”改革，完善“互联网+政务服务”平台，探索“网格化+智慧化”社会治理模式，提升社会治理科学化水平。</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构建智慧乡村治理新体系。</w:t>
      </w:r>
      <w:r>
        <w:rPr>
          <w:rFonts w:hint="eastAsia" w:ascii="方正书宋简体" w:hAnsi="方正书宋简体" w:eastAsia="方正书宋简体" w:cs="方正书宋简体"/>
          <w:color w:val="000000" w:themeColor="text1"/>
          <w:sz w:val="24"/>
          <w:szCs w:val="24"/>
          <w14:textFill>
            <w14:solidFill>
              <w14:schemeClr w14:val="tx1"/>
            </w14:solidFill>
          </w14:textFill>
        </w:rPr>
        <w:t>以基层党组织为核心，切实整顿软弱涣散基层党组织，实行县级领导、县直单位联系制度，全面推行城区“五进小区”、农村“互助五兴”治理模式，打造老旧市场、老旧居民点改造示范样板，实施亮化工程和网格化服务入万家工程，提升社会治理精细化水平。基层服务体系建设不断完善，村（社区）组织体系、便民服务阵地建设等进一步增强。落实村（社区）法律顾问制度，矛盾纠纷调解制度，全县设立18个行业专业性调解机构，397个村（社区）调委会，实现调解机构全覆盖。全面推行“一核心三组织五基本”的“135”治理模式，以村党组织为核心，充分发挥村民委员会、村民议事会、村务监督委员会作用，全面落实岗位承诺制、村干部值班和周例会制、为民服务全程代理制、党员管理积分制、“四议两公开”制(“四议”：党支部会提议、“两委”会商议、党员大会审议、村民代表会议或村民会议决议；“两公开”：决议公开、实施结果公开）等五项制度，真正把基层党组织建设成为推动科学发展、带领群众致富、密切联系群众、维护农村稳定的坚强核心。按照“十有”要求，建设功能实用的村级组织活动场所，将多功能活动室、村卫生室、农家书屋、农村党员干部现代远程教育等服务机构同规划、同设计、同施工，真正让村级组织活动场所成为村民议事、便民服务、教育培训、文体娱乐的中心。大力推进“四网合一”，搭建现代农村党员教育平台，实现广播网、互联网、“e信通”、电视网络全覆盖，增强双培双带能力。健全监查方式，转变工作作风。积极推进县、乡、村三级网络巡查系统建设，逐步实现县党务服务中心、乡镇党务服务站、村党务服务便民点三级服务网络视频监控三位一体化，最终形成全方位、立体式的视频监控网络，全力推进作风转变，提升便民服务水平，切实解决服务群众“最后一公里”的问题。</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bCs/>
          <w:color w:val="000000" w:themeColor="text1"/>
          <w:sz w:val="24"/>
          <w:szCs w:val="24"/>
          <w14:textFill>
            <w14:solidFill>
              <w14:schemeClr w14:val="tx1"/>
            </w14:solidFill>
          </w14:textFill>
        </w:rPr>
      </w:pPr>
      <w:bookmarkStart w:id="283" w:name="_Toc60048942"/>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84" w:name="_Toc8771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第三节  维护社会稳定和安全</w:t>
      </w:r>
      <w:bookmarkEnd w:id="283"/>
      <w:bookmarkEnd w:id="284"/>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坚持底线思维，统筹传统安全和非传统安全，把安全发展贯穿发展各领域和全过程，健全公共安全体系，全面加强经济安全，保障人民生命安全，维护社会稳定和安全。</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加强安全体系和能力建设。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深入贯彻总体国家安全观，加强国家安全宣传教育，增强全民国家安全意识，巩固国家安全人民防线。坚决捍卫国家政治安全，高度警惕、坚决防范和严厉打击敌对势力渗透、破坏、颠覆、分裂活动，防范和打击宗教渗透和邪教破坏活动。加强意识形态安全，加强网络安全保障体系和能力建设，全面推进“平安网络”建设，严打网络违法犯罪活动，保障网络社会安全秩序。完善国防动员体系，健全全民国防教育，做好“双拥共建”工作，推进军地资源共享和双向支撑拉动，促进军民融合深度发展，巩固军政军民团结。</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确保经济安全。</w:t>
      </w:r>
      <w:r>
        <w:rPr>
          <w:rFonts w:hint="eastAsia" w:ascii="方正书宋简体" w:hAnsi="方正书宋简体" w:eastAsia="方正书宋简体" w:cs="方正书宋简体"/>
          <w:color w:val="000000" w:themeColor="text1"/>
          <w:sz w:val="24"/>
          <w:szCs w:val="24"/>
          <w14:textFill>
            <w14:solidFill>
              <w14:schemeClr w14:val="tx1"/>
            </w14:solidFill>
          </w14:textFill>
        </w:rPr>
        <w:t>加强经济安全风险预警、防控机制和能力建设，确保产业安全、科技安全、信息安全、生态安全、资源安全等。牢固树立安全生产红线意识，完善和落实安全生产责任和管理制度，强化安全生产监管，抓好矿山、危险化学品、道路交通、建筑等重点行业领域安全生产监管，建立公共安全隐患排查和安全预防控制体系，坚决遏制重特大安全事故。强化省州县协同、政银企联动，坚决守住不发生区域性经济金融风险的底线。加强产业链供应链安全保障，常态化开展断链断供风险排查。加强城市安全保障，维护水利、电力、供水、交通、通信等重要基础设施安全，维护新型领域安全。</w:t>
      </w:r>
    </w:p>
    <w:p>
      <w:pPr>
        <w:pageBreakBefore w:val="0"/>
        <w:widowControl w:val="0"/>
        <w:kinsoku/>
        <w:wordWrap/>
        <w:overflowPunct/>
        <w:topLinePunct w:val="0"/>
        <w:autoSpaceDE/>
        <w:autoSpaceDN/>
        <w:bidi w:val="0"/>
        <w:spacing w:line="420" w:lineRule="exact"/>
        <w:ind w:firstLine="64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保障人民生命安全。</w:t>
      </w:r>
      <w:r>
        <w:rPr>
          <w:rFonts w:hint="eastAsia" w:ascii="方正书宋简体" w:hAnsi="方正书宋简体" w:eastAsia="方正书宋简体" w:cs="方正书宋简体"/>
          <w:color w:val="000000" w:themeColor="text1"/>
          <w:sz w:val="24"/>
          <w:szCs w:val="24"/>
          <w14:textFill>
            <w14:solidFill>
              <w14:schemeClr w14:val="tx1"/>
            </w14:solidFill>
          </w14:textFill>
        </w:rPr>
        <w:t>坚持人民至上、生命至上，把保护人民生命安全摆在首位，全面提高公共安全保障能力。加强食品安全领域治理体系和治理能力现代化建设，全面完善食品安全责任、监管执法、风险防控、技术支撑、投入保障、社会共治、产业发展、配套服务六大体系建设。持续推动食品安全示范城市创建。加强药品安全体系建设，深入推进药品安全治理行动，完善基层监管技术支撑能力，筑牢药品质量安全风险防控体系。加强洪涝干旱、森林火灾、地质灾害等自然灾害防御工程建设，加快病险水库除险加固，推进堤防和蓄滞洪区建设。建立完善行业消防安全标准化管理、安全生产行政问责和火灾事故责任追究等机制，全面落实行业部门的监管职责和社会单位的主体责任。强化农村、社区消防管理工作，完善基层消防安全管理网络，落实“网格化”管理措施。加强公共消防基础设施建设，逐步完善消防车通道规划和消防供水系统，建设火灾监测预警预报平台和消防物联网监控系统，实施“全民消防宣传教育计划”，加强消防科普教育设施建设。完善应急管理体系，构建统一指挥、专常兼备、反应灵敏、上下联动的应急管理体制，推进应急救援队伍战斗力建设，建设区域应急救援中心，培育和发展社会救援力量，提高应急救援能力。完善应急救灾物资储备体系和信息管理，强化应急物资装备配送能力，健全应急管理市场参与机制，加强应急通讯保障能力建设。完善人民防空应急体系，继续深入开展人防知识进校园、进社区、进机关等宣教活动，推进人防地面指挥中心和地下指挥所建设，完善人防指挥通讯设施设备和应急避难场所，进一步规范人防工程设计、监理和建设行为，按照应建尽建、应征尽征原则，加大人防工程建设力度，充分发挥人防平时指挥和应急救援、处置公共突发事件的双重功能。</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推进平安龙山建设。</w:t>
      </w:r>
      <w:r>
        <w:rPr>
          <w:rFonts w:hint="eastAsia" w:ascii="方正书宋简体" w:hAnsi="方正书宋简体" w:eastAsia="方正书宋简体" w:cs="方正书宋简体"/>
          <w:color w:val="000000" w:themeColor="text1"/>
          <w:sz w:val="24"/>
          <w:szCs w:val="24"/>
          <w14:textFill>
            <w14:solidFill>
              <w14:schemeClr w14:val="tx1"/>
            </w14:solidFill>
          </w14:textFill>
        </w:rPr>
        <w:t>全力维护政治安全，落实社会稳定风险评估机制。围绕重点时段、重点路段开展常态化巡防。强化“天网”工程，整合社会层面视频监控资源，改造升级技防设施，实现公共区域视频监控全覆盖，全面提升技防水平。持续开展扫黑除恶专项斗争，建立长效常治工作机制，保持对黑恶势力的严打高压态势，不断加大深挖彻查、“打伞打财”工作力度，坚决铲除黑恶势力滋生土壤。持续深入开展黄赌毒犯罪、侵财性犯罪、非法集资等专项打击行动。深入开展全民禁毒宣传教育，不断加大制毒防控监管力度，强化吸毒人员管控，进一步巩固禁毒工作成效。强化消防装备和人才队伍，全面提升灭火与应急救援能力。加快推进龙山县第二消防站建设项目，提升消防救援队伍专业化水平；提升消防装备水平，根据本地灭火救援任务需要，配备贴近实战、科技含量高、技术性能好、适应处置现代灾害事故的消防车辆装备。逐步完善多种形式消防队伍，全面提升自防自救水平。进一步强化网格员管理，不断提升网格化工作水平。切实提升社区治理水平和治理能力，完善社区矫正工作，贯彻落实《社区矫正法》，健全和完善社区矫正工作机制，形成政法机关、乡镇政府、村（社区）、社会组织等共同参与的社区矫正工作模式。建立村（社区）重点人群管理制度，实现社区矫正人员管理率达100%，安置帮教人员帮教率达100%，实现重点管理对象一人一档。推进“雪亮工程”向农村延伸，继续加强“一村一辅警”“城市快警”建设，严厉打击各类违法犯罪行为。深化基层和行业平安创建，全面推进平安乡镇（街道）、平安社区（村）、平安贫困村、平安家庭等基层平安创建以及平安行业创建，实现创建活动全覆盖。</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预防和化解社会矛盾。</w:t>
      </w:r>
      <w:r>
        <w:rPr>
          <w:rFonts w:hint="eastAsia" w:ascii="方正书宋简体" w:hAnsi="方正书宋简体" w:eastAsia="方正书宋简体" w:cs="方正书宋简体"/>
          <w:color w:val="000000" w:themeColor="text1"/>
          <w:sz w:val="24"/>
          <w:szCs w:val="24"/>
          <w14:textFill>
            <w14:solidFill>
              <w14:schemeClr w14:val="tx1"/>
            </w14:solidFill>
          </w14:textFill>
        </w:rPr>
        <w:t>正确处理新形势下人民内部矛盾，坚持和发展新时代“枫桥经验”，构建源头防控、排查梳理、纠纷化解、应急处置的社会矛盾综合治理机制。健全诉求表达机制，畅通拓宽群众诉求表达渠道，依法按照政策及时稳妥处理群众的合理诉求，并及时反馈处理结果。健全多元化矛盾纠纷调处机制，建立健全县、乡镇、村多层次纵向人民调解网络和行政调解工作机制，及时有效地把矛盾化解在基层。坚持“三到位一处理”工作要求，建立县、乡、村三级网上信访信息平台，畅通群众信访渠道；健全和完善领导干部接访下访、联合接访等长效机制；集中推进“治理重复信访、化解信访积案”专项工作，依法及时就地解决群众合理诉求和实际困难，实现群众“最多访一次”目标。健全权益保障机制。健全行政复议案件审理机制，纠正违法或不当行政行为，维护好群众的切身利益。</w:t>
      </w:r>
    </w:p>
    <w:p>
      <w:pPr>
        <w:pageBreakBefore w:val="0"/>
        <w:widowControl w:val="0"/>
        <w:kinsoku/>
        <w:wordWrap/>
        <w:overflowPunct/>
        <w:topLinePunct w:val="0"/>
        <w:autoSpaceDE/>
        <w:autoSpaceDN/>
        <w:bidi w:val="0"/>
        <w:spacing w:line="420" w:lineRule="exact"/>
        <w:ind w:firstLine="482" w:firstLineChars="200"/>
        <w:textAlignment w:val="auto"/>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扎实做好民族宗教工作。</w:t>
      </w:r>
      <w:r>
        <w:rPr>
          <w:rFonts w:hint="eastAsia" w:ascii="方正书宋简体" w:hAnsi="方正书宋简体" w:eastAsia="方正书宋简体" w:cs="方正书宋简体"/>
          <w:color w:val="000000" w:themeColor="text1"/>
          <w:sz w:val="24"/>
          <w:szCs w:val="24"/>
          <w14:textFill>
            <w14:solidFill>
              <w14:schemeClr w14:val="tx1"/>
            </w14:solidFill>
          </w14:textFill>
        </w:rPr>
        <w:t>全面贯彻党的宗教工作基本方针，坚持宗教中国化方向，积极引导宗教与社会主义社会相适应。坚持依法管理宗教事务基本原则，全面落实《宗教事务条例》《宗教团体管理办法》，保护合法、制止非法、遏制极端、抵御渗透、打击犯罪。加强爱国宗教人士思想和队伍建设，建立爱国宗教人士的培养培训工作长效机制，加大培训力度，着力提高宗教界人士综合素质。</w:t>
      </w:r>
      <w:r>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t>持续开展“五进五好”和和谐宗教寺观教堂创评活动，积极引导宗教与社会主义社会相适应，确保宗教事务和谐稳定。</w:t>
      </w:r>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bookmarkStart w:id="285" w:name="_Toc60048943"/>
    </w:p>
    <w:p>
      <w:pPr>
        <w:keepNext/>
        <w:keepLines/>
        <w:pageBreakBefore w:val="0"/>
        <w:widowControl w:val="0"/>
        <w:kinsoku/>
        <w:wordWrap/>
        <w:overflowPunct/>
        <w:topLinePunct w:val="0"/>
        <w:autoSpaceDE/>
        <w:autoSpaceDN/>
        <w:bidi w:val="0"/>
        <w:adjustRightInd w:val="0"/>
        <w:snapToGrid w:val="0"/>
        <w:spacing w:line="420" w:lineRule="exact"/>
        <w:jc w:val="center"/>
        <w:textAlignment w:val="auto"/>
        <w:outlineLvl w:val="2"/>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pPr>
      <w:bookmarkStart w:id="286" w:name="_Toc26188_WPSOffice_Level3"/>
      <w:r>
        <w:rPr>
          <w:rFonts w:hint="eastAsia" w:ascii="方正书宋简体" w:hAnsi="方正书宋简体" w:eastAsia="方正书宋简体" w:cs="方正书宋简体"/>
          <w:b w:val="0"/>
          <w:bCs w:val="0"/>
          <w:color w:val="000000" w:themeColor="text1"/>
          <w:sz w:val="30"/>
          <w:szCs w:val="30"/>
          <w14:textFill>
            <w14:solidFill>
              <w14:schemeClr w14:val="tx1"/>
            </w14:solidFill>
          </w14:textFill>
        </w:rPr>
        <w:t>第四节  强化债务风险防控</w:t>
      </w:r>
      <w:bookmarkEnd w:id="285"/>
      <w:bookmarkEnd w:id="286"/>
    </w:p>
    <w:p>
      <w:pPr>
        <w:pageBreakBefore w:val="0"/>
        <w:widowControl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bCs/>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20" w:lineRule="exact"/>
        <w:ind w:firstLine="456" w:firstLineChars="200"/>
        <w:textAlignment w:val="auto"/>
        <w:rPr>
          <w:color w:val="000000" w:themeColor="text1"/>
          <w14:textFill>
            <w14:solidFill>
              <w14:schemeClr w14:val="tx1"/>
            </w14:solidFill>
          </w14:textFill>
        </w:rPr>
      </w:pPr>
      <w:r>
        <w:rPr>
          <w:rFonts w:hint="eastAsia" w:ascii="方正书宋简体" w:hAnsi="方正书宋简体" w:eastAsia="方正书宋简体" w:cs="方正书宋简体"/>
          <w:color w:val="000000" w:themeColor="text1"/>
          <w:spacing w:val="-6"/>
          <w:sz w:val="24"/>
          <w:szCs w:val="24"/>
          <w14:textFill>
            <w14:solidFill>
              <w14:schemeClr w14:val="tx1"/>
            </w14:solidFill>
          </w14:textFill>
        </w:rPr>
        <w:t>始终坚持底线思维、增强忧患意识，努力平衡好稳增长和防风险的关系，精准有效处置重点领域风险，坚定不移打好防范化解金融风险攻坚战，提高债务风险防控能力。全面规范政府举债融资行为，杜绝低效无效项目融资，加大地方政府债券申报力度，解决基础设施及公共设施建设资金短板问题。严厉打击非法集资等违法违规金融活动，坚决查处金融领域腐败问题，推进金融安全区建设。按照中央和省州政策要求进一步推进平台转型，逐步提升市场化经营程度，提高企业自身造血能力，减少企业对政府的过度依赖。</w:t>
      </w:r>
    </w:p>
    <w:p>
      <w:pPr>
        <w:pStyle w:val="2"/>
        <w:rPr>
          <w:color w:val="000000" w:themeColor="text1"/>
          <w14:textFill>
            <w14:solidFill>
              <w14:schemeClr w14:val="tx1"/>
            </w14:solidFill>
          </w14:textFill>
        </w:rPr>
      </w:pPr>
    </w:p>
    <w:tbl>
      <w:tblPr>
        <w:tblStyle w:val="18"/>
        <w:tblW w:w="6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6100" w:type="dxa"/>
            <w:vAlign w:val="center"/>
          </w:tcPr>
          <w:p>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eastAsia"/>
              </w:rPr>
            </w:pPr>
            <w:r>
              <w:rPr>
                <w:rFonts w:hint="eastAsia" w:ascii="楷体" w:hAnsi="楷体" w:eastAsia="楷体" w:cs="楷体"/>
                <w:b/>
                <w:bCs/>
              </w:rPr>
              <w:t>专栏19  基层治理能力现代化工程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100" w:type="dxa"/>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围绕乡村振兴，创新社区治理，推进基层治理能力现代化。</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1.龙山县地质灾害工程治理项目：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建设内容包含里耶镇、红岩镇、农车镇、茅坪乡、靛房镇、兴隆街道、苗儿滩镇、洗车河镇、洛塔乡、洗洛镇、桂塘镇、召市镇、内溪乡、咱果乡、石牌镇、水田坝乡、大安乡、茨岩塘镇、民安街道、石羔街道、华塘街道21个乡镇（街道）28个重点地质灾害隐患点工程治理，总投资40000万元。</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2.龙山县粮食及应急物资储备一体化项目：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建设粮食储备4万吨仓容，军粮成品仓3500吨，食用油油罐1000立方米，年产3万吨大米加工车间及配套仓容，防洪救灾物资成品仓库2000立方米，应急物资成品仓库2000米及电力、给排水、消防等配套设施。</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3.龙山县人民防空指挥中心（15147）项目：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总建筑面积6926.47平方米，其中地上建筑面积2541.05平方米、地下建筑面积4385.42平方米，停车位82个，配套道路和场地硬化、给排水、通暖、电气、通讯、消防等设施建设。投资7532.12万元。</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4.龙山县公安所队站项目：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华塘、石羔、兴隆、民安、石牌、桂塘、洗车7个派出所及高速、华塘、桂塘3个毒品治安检查站及交警大队、洗车中队、桂塘中队业务用房及森林公安业务用房建设，总建筑面积18712平方米，总投资5200万元。</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5.龙山县乡村振兴气象保障工程项目：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中小尺度雨量监测系统34个监测站点进行更换升级，备件物资储备。农用气象精细化监测系统、农用气象数据综合处理系统、农业气象预报预警系统、为农公共气象服务平台、为农气象服务效益评估平台、农村雷电防御。</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6.龙山县“法治龙山”文化阵地建设项目：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县、乡镇（街道）公园(广场、长廊)等公共场所的户外LED大型彩屏、法治雕塑、仿古法治宣传栏、法治元素标识牌等建设。项目计划总投资约820万。</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7.龙山县乡镇司法所修缮整修项目：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修缮整修乡镇司法所约 1129.4平米，项目计划总投资约230万元。</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8.龙山县社区矫正中心搬迁项目：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搬迁社区矫正中心，项目计划总投资约200万元。</w:t>
            </w:r>
          </w:p>
          <w:p>
            <w:pPr>
              <w:keepNext w:val="0"/>
              <w:keepLines w:val="0"/>
              <w:pageBreakBefore w:val="0"/>
              <w:widowControl/>
              <w:kinsoku/>
              <w:wordWrap/>
              <w:overflowPunct/>
              <w:topLinePunct w:val="0"/>
              <w:autoSpaceDE/>
              <w:autoSpaceDN/>
              <w:bidi w:val="0"/>
              <w:adjustRightInd/>
              <w:snapToGrid w:val="0"/>
              <w:spacing w:line="300" w:lineRule="exact"/>
              <w:jc w:val="left"/>
              <w:textAlignment w:val="auto"/>
              <w:outlineLvl w:val="9"/>
              <w:rPr>
                <w:rFonts w:hint="eastAsia" w:asciiTheme="minorEastAsia" w:hAnsiTheme="minorEastAsia" w:eastAsiaTheme="minorEastAsia" w:cstheme="minorEastAsia"/>
                <w:color w:val="000000" w:themeColor="text1"/>
                <w:kern w:val="0"/>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9.龙山县警务技能和警犬训练基地项目：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警务技能训练基地及警犬训练基地，总建筑面积20724平方米，总投资3400万元</w:t>
            </w:r>
          </w:p>
          <w:p>
            <w:pPr>
              <w:pStyle w:val="3"/>
              <w:keepNext w:val="0"/>
              <w:keepLines w:val="0"/>
              <w:pageBreakBefore w:val="0"/>
              <w:kinsoku/>
              <w:wordWrap/>
              <w:overflowPunct/>
              <w:topLinePunct w:val="0"/>
              <w:autoSpaceDE/>
              <w:autoSpaceDN/>
              <w:bidi w:val="0"/>
              <w:adjustRightInd/>
              <w:spacing w:line="300" w:lineRule="exact"/>
              <w:ind w:left="0" w:leftChars="0" w:firstLine="0" w:firstLineChars="0"/>
              <w:textAlignment w:val="auto"/>
              <w:rPr>
                <w:rFonts w:hint="eastAsia"/>
              </w:rPr>
            </w:pPr>
            <w:r>
              <w:rPr>
                <w:rFonts w:hint="eastAsia" w:asciiTheme="minorEastAsia" w:hAnsiTheme="minorEastAsia" w:eastAsiaTheme="minorEastAsia" w:cstheme="minorEastAsia"/>
                <w:b/>
                <w:bCs/>
                <w:color w:val="000000" w:themeColor="text1"/>
                <w:kern w:val="0"/>
                <w:sz w:val="18"/>
                <w:szCs w:val="18"/>
                <w14:textFill>
                  <w14:solidFill>
                    <w14:schemeClr w14:val="tx1"/>
                  </w14:solidFill>
                </w14:textFill>
              </w:rPr>
              <w:t>10.龙山县地质灾害基础调查及群测群防能力建设项目：</w:t>
            </w:r>
            <w:r>
              <w:rPr>
                <w:rFonts w:hint="eastAsia" w:asciiTheme="minorEastAsia" w:hAnsiTheme="minorEastAsia" w:eastAsiaTheme="minorEastAsia" w:cstheme="minorEastAsia"/>
                <w:color w:val="000000" w:themeColor="text1"/>
                <w:kern w:val="0"/>
                <w:sz w:val="18"/>
                <w:szCs w:val="18"/>
                <w14:textFill>
                  <w14:solidFill>
                    <w14:schemeClr w14:val="tx1"/>
                  </w14:solidFill>
                </w14:textFill>
              </w:rPr>
              <w:t>建设内容包含里耶镇、红岩镇、农车镇、茅坪乡、靛房镇、兴隆街道、苗儿滩镇、洗车河镇、洛塔乡、洗洛镇、桂塘镇、召市镇、内溪乡、咱果乡、石牌镇、水田坝镇、大安乡、茨岩塘镇、民安街道、石羔街道、华塘街道21个乡镇（街道）地质灾害成因调查和地质灾害隐患点的群防群测及综合能力防治建设。</w:t>
            </w:r>
          </w:p>
          <w:p>
            <w:pPr>
              <w:rPr>
                <w:rFonts w:hint="eastAsia"/>
              </w:rPr>
            </w:pPr>
          </w:p>
        </w:tc>
      </w:tr>
    </w:tbl>
    <w:p>
      <w:pPr>
        <w:pStyle w:val="3"/>
        <w:rPr>
          <w:color w:val="000000" w:themeColor="text1"/>
          <w14:textFill>
            <w14:solidFill>
              <w14:schemeClr w14:val="tx1"/>
            </w14:solidFill>
          </w14:textFill>
        </w:rPr>
      </w:pPr>
    </w:p>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bookmarkStart w:id="287" w:name="_Toc60048944"/>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p>
    <w:p>
      <w:pPr>
        <w:pStyle w:val="2"/>
        <w:rPr>
          <w:rFonts w:hint="eastAsia"/>
        </w:rPr>
      </w:pPr>
    </w:p>
    <w:p>
      <w:pPr>
        <w:keepNext/>
        <w:keepLines/>
        <w:pageBreakBefore w:val="0"/>
        <w:widowControl w:val="0"/>
        <w:kinsoku/>
        <w:wordWrap/>
        <w:overflowPunct/>
        <w:topLinePunct w:val="0"/>
        <w:autoSpaceDE/>
        <w:autoSpaceDN/>
        <w:bidi w:val="0"/>
        <w:adjustRightInd/>
        <w:snapToGrid/>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24"/>
          <w:szCs w:val="24"/>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42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24"/>
          <w:szCs w:val="24"/>
          <w14:textFill>
            <w14:solidFill>
              <w14:schemeClr w14:val="tx1"/>
            </w14:solidFill>
          </w14:textFill>
        </w:rPr>
      </w:pPr>
    </w:p>
    <w:p>
      <w:pPr>
        <w:keepNext/>
        <w:keepLines/>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bookmarkStart w:id="288" w:name="_Toc7815_WPSOffice_Level1"/>
      <w:r>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t>第五篇  全县人民团结起来，为实现“十四五”规划和二〇三五年远景目标而奋斗</w:t>
      </w:r>
      <w:bookmarkEnd w:id="287"/>
      <w:bookmarkEnd w:id="288"/>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kinsoku/>
        <w:wordWrap/>
        <w:overflowPunct/>
        <w:topLinePunct w:val="0"/>
        <w:autoSpaceDE/>
        <w:autoSpaceDN/>
        <w:bidi w:val="0"/>
        <w:spacing w:line="42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加强党对经济社会发展的领导，充分调动一切积极因素，广泛团结一切可以团结的力量，最大限度凝聚全社会推进改革发展稳定的共识和力量，为实现“十四五”规划和二〇三五年远景目标提供坚强保证。</w:t>
      </w:r>
    </w:p>
    <w:p>
      <w:pPr>
        <w:keepNext/>
        <w:keepLines/>
        <w:pageBreakBefore w:val="0"/>
        <w:kinsoku/>
        <w:wordWrap/>
        <w:overflowPunct/>
        <w:topLinePunct w:val="0"/>
        <w:autoSpaceDE/>
        <w:autoSpaceDN/>
        <w:bidi w:val="0"/>
        <w:adjustRightInd w:val="0"/>
        <w:snapToGrid w:val="0"/>
        <w:spacing w:line="420" w:lineRule="exact"/>
        <w:jc w:val="center"/>
        <w:textAlignment w:val="auto"/>
        <w:outlineLvl w:val="1"/>
        <w:rPr>
          <w:rFonts w:hint="eastAsia" w:ascii="方正书宋简体" w:hAnsi="方正书宋简体" w:eastAsia="方正书宋简体" w:cs="方正书宋简体"/>
          <w:b w:val="0"/>
          <w:bCs w:val="0"/>
          <w:color w:val="000000" w:themeColor="text1"/>
          <w:sz w:val="24"/>
          <w:szCs w:val="24"/>
          <w14:textFill>
            <w14:solidFill>
              <w14:schemeClr w14:val="tx1"/>
            </w14:solidFill>
          </w14:textFill>
        </w:rPr>
      </w:pPr>
      <w:bookmarkStart w:id="289" w:name="_Toc60048945"/>
    </w:p>
    <w:p>
      <w:pPr>
        <w:pageBreakBefore w:val="0"/>
        <w:kinsoku/>
        <w:wordWrap/>
        <w:overflowPunct/>
        <w:topLinePunct w:val="0"/>
        <w:autoSpaceDE/>
        <w:autoSpaceDN/>
        <w:bidi w:val="0"/>
        <w:spacing w:line="420" w:lineRule="exact"/>
        <w:ind w:firstLine="600" w:firstLineChars="200"/>
        <w:textAlignment w:val="auto"/>
        <w:rPr>
          <w:rFonts w:hint="eastAsia" w:ascii="黑体" w:hAnsi="黑体" w:eastAsia="黑体" w:cs="黑体"/>
          <w:color w:val="000000" w:themeColor="text1"/>
          <w:sz w:val="30"/>
          <w:szCs w:val="30"/>
          <w14:textFill>
            <w14:solidFill>
              <w14:schemeClr w14:val="tx1"/>
            </w14:solidFill>
          </w14:textFill>
        </w:rPr>
      </w:pPr>
      <w:bookmarkStart w:id="290" w:name="_Toc21971_WPSOffice_Level2"/>
      <w:r>
        <w:rPr>
          <w:rFonts w:hint="eastAsia" w:ascii="黑体" w:hAnsi="黑体" w:eastAsia="黑体" w:cs="黑体"/>
          <w:color w:val="000000" w:themeColor="text1"/>
          <w:sz w:val="30"/>
          <w:szCs w:val="30"/>
          <w14:textFill>
            <w14:solidFill>
              <w14:schemeClr w14:val="tx1"/>
            </w14:solidFill>
          </w14:textFill>
        </w:rPr>
        <w:t>第十八章  坚持和加强党的全面领导</w:t>
      </w:r>
      <w:bookmarkEnd w:id="289"/>
      <w:bookmarkEnd w:id="290"/>
    </w:p>
    <w:p>
      <w:pPr>
        <w:pageBreakBefore w:val="0"/>
        <w:kinsoku/>
        <w:wordWrap/>
        <w:overflowPunct/>
        <w:topLinePunct w:val="0"/>
        <w:autoSpaceDE/>
        <w:autoSpaceDN/>
        <w:bidi w:val="0"/>
        <w:spacing w:line="420" w:lineRule="exact"/>
        <w:ind w:firstLine="560" w:firstLineChars="200"/>
        <w:textAlignment w:val="auto"/>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0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贯彻党把方向、谋大局、定政策、促改革的要求，完善上下贯通、执行有力的组织体系，健全研究经济发展战略、定期分析经济形势、研究重大方针政策的工作机制，确保党中央决策部署有效落实。坚持马克思主义在意识形态领域的指导地位，严格落实意识形态工作责任制，强化阵地建设和管理。全面贯彻新时代党的组织路线，持续深入用习近平新时代中国特色社会主义思想武装党员干部头脑，加强理想信念教育，深化拓展政治建设考察，落实好干部标准，提高各级领导班子和干部适应新时代新要求抓改革、促发展、保稳定水平和专业化能力，加强对敢担当善作为干部的激励保护，以正确用人导向引领干事创业导向。完善人才工作体系，培养造就大批德才兼备的高素质人才。以组织体系建设为重点，以推进党支部“五化”提质工程为抓手，加强基层党组织和基层政权建设，加大基层基础保障力度，减轻基层特别是村级组织负担，不断增强基层党组织政治功能和组织功能。</w:t>
      </w:r>
    </w:p>
    <w:p>
      <w:pPr>
        <w:keepNext/>
        <w:keepLines/>
        <w:pageBreakBefore w:val="0"/>
        <w:widowControl w:val="0"/>
        <w:kinsoku/>
        <w:wordWrap/>
        <w:overflowPunct/>
        <w:topLinePunct w:val="0"/>
        <w:autoSpaceDE/>
        <w:autoSpaceDN/>
        <w:bidi w:val="0"/>
        <w:adjustRightInd w:val="0"/>
        <w:snapToGrid w:val="0"/>
        <w:spacing w:line="400" w:lineRule="exact"/>
        <w:jc w:val="center"/>
        <w:textAlignment w:val="auto"/>
        <w:outlineLvl w:val="1"/>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bookmarkStart w:id="291" w:name="_Toc60048946"/>
    </w:p>
    <w:p>
      <w:pPr>
        <w:keepNext/>
        <w:keepLines/>
        <w:pageBreakBefore w:val="0"/>
        <w:widowControl w:val="0"/>
        <w:kinsoku/>
        <w:wordWrap/>
        <w:overflowPunct/>
        <w:topLinePunct w:val="0"/>
        <w:autoSpaceDE/>
        <w:autoSpaceDN/>
        <w:bidi w:val="0"/>
        <w:adjustRightInd w:val="0"/>
        <w:snapToGrid w:val="0"/>
        <w:spacing w:line="400" w:lineRule="exact"/>
        <w:jc w:val="center"/>
        <w:textAlignment w:val="auto"/>
        <w:outlineLvl w:val="1"/>
        <w:rPr>
          <w:rFonts w:hint="eastAsia" w:ascii="黑体" w:hAnsi="黑体" w:eastAsia="黑体" w:cs="黑体"/>
          <w:b w:val="0"/>
          <w:bCs w:val="0"/>
          <w:color w:val="000000" w:themeColor="text1"/>
          <w:sz w:val="30"/>
          <w:szCs w:val="30"/>
          <w14:textFill>
            <w14:solidFill>
              <w14:schemeClr w14:val="tx1"/>
            </w14:solidFill>
          </w14:textFill>
        </w:rPr>
      </w:pPr>
      <w:bookmarkStart w:id="292" w:name="_Toc2868_WPSOffice_Level2"/>
      <w:r>
        <w:rPr>
          <w:rFonts w:hint="eastAsia" w:ascii="黑体" w:hAnsi="黑体" w:eastAsia="黑体" w:cs="黑体"/>
          <w:b w:val="0"/>
          <w:bCs w:val="0"/>
          <w:color w:val="000000" w:themeColor="text1"/>
          <w:sz w:val="30"/>
          <w:szCs w:val="30"/>
          <w14:textFill>
            <w14:solidFill>
              <w14:schemeClr w14:val="tx1"/>
            </w14:solidFill>
          </w14:textFill>
        </w:rPr>
        <w:t>第十九章  推进社会主义民主政治建设</w:t>
      </w:r>
      <w:bookmarkEnd w:id="291"/>
      <w:bookmarkEnd w:id="292"/>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pageBreakBefore w:val="0"/>
        <w:widowControl w:val="0"/>
        <w:kinsoku/>
        <w:wordWrap/>
        <w:overflowPunct/>
        <w:topLinePunct w:val="0"/>
        <w:autoSpaceDE/>
        <w:autoSpaceDN/>
        <w:bidi w:val="0"/>
        <w:spacing w:line="40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推进法治龙山建设，加快法治政府建设，深入贯彻以宪法为核心的中国特色社会主义法律体系，开展法治宣传教育活动，提升依法行政水平，促进司法公正。坚持和完善人民代表大会制度，加强人大对“一府一委两院”的监督，保障各族人民群众依法通过各种途径和形式管理国家事务、管理经济文化事业、管理社会事务。坚持和完善中国共产党领导的多党合作和政治协商制度，加强人民政协专门协商机构建设，发挥社会主义协商民主独特优势，提高建言资政和凝聚共识水平。深入实施“凝心聚力新时代”行动，完善大统战工作格局，健全同党外知识分子、非公有制经济人士、新的社会阶层人士的沟通联络机制，促进政党关系、民族关系、宗教关系、阶层关系、海内外同胞关系和谐，巩固和发展最广泛的爱国统一战线。发挥工会、共青团、妇联等人民团体作用，把各自联系的群众紧紧凝聚在党的周围。</w:t>
      </w:r>
      <w:bookmarkStart w:id="293" w:name="_Toc60048947"/>
    </w:p>
    <w:p>
      <w:pPr>
        <w:keepNext w:val="0"/>
        <w:keepLines w:val="0"/>
        <w:pageBreakBefore w:val="0"/>
        <w:kinsoku/>
        <w:wordWrap/>
        <w:overflowPunct/>
        <w:topLinePunct w:val="0"/>
        <w:autoSpaceDE/>
        <w:autoSpaceDN/>
        <w:bidi w:val="0"/>
        <w:adjustRightInd/>
        <w:snapToGrid/>
        <w:spacing w:line="420" w:lineRule="exact"/>
        <w:jc w:val="center"/>
        <w:textAlignment w:val="auto"/>
        <w:outlineLvl w:val="9"/>
        <w:rPr>
          <w:rFonts w:hint="eastAsia" w:ascii="黑体" w:hAnsi="黑体" w:eastAsia="黑体" w:cs="黑体"/>
          <w:b w:val="0"/>
          <w:bCs w:val="0"/>
          <w:color w:val="000000" w:themeColor="text1"/>
          <w:sz w:val="30"/>
          <w:szCs w:val="30"/>
          <w14:textFill>
            <w14:solidFill>
              <w14:schemeClr w14:val="tx1"/>
            </w14:solidFill>
          </w14:textFill>
        </w:rPr>
      </w:pPr>
      <w:bookmarkStart w:id="294" w:name="_Toc11188_WPSOffice_Level2"/>
      <w:r>
        <w:rPr>
          <w:rFonts w:hint="eastAsia" w:ascii="黑体" w:hAnsi="黑体" w:eastAsia="黑体" w:cs="黑体"/>
          <w:b w:val="0"/>
          <w:bCs w:val="0"/>
          <w:color w:val="000000" w:themeColor="text1"/>
          <w:sz w:val="30"/>
          <w:szCs w:val="30"/>
          <w14:textFill>
            <w14:solidFill>
              <w14:schemeClr w14:val="tx1"/>
            </w14:solidFill>
          </w14:textFill>
        </w:rPr>
        <w:t>第二十章  推进清廉龙山建设</w:t>
      </w:r>
      <w:bookmarkEnd w:id="293"/>
      <w:bookmarkEnd w:id="294"/>
    </w:p>
    <w:p>
      <w:pPr>
        <w:keepNext w:val="0"/>
        <w:keepLines w:val="0"/>
        <w:pageBreakBefore w:val="0"/>
        <w:widowControl/>
        <w:kinsoku/>
        <w:wordWrap/>
        <w:overflowPunct/>
        <w:topLinePunct w:val="0"/>
        <w:autoSpaceDE/>
        <w:autoSpaceDN/>
        <w:bidi w:val="0"/>
        <w:adjustRightInd/>
        <w:snapToGrid/>
        <w:spacing w:line="420" w:lineRule="exact"/>
        <w:ind w:firstLine="560" w:firstLineChars="200"/>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bookmarkStart w:id="295" w:name="_Toc60048948"/>
    </w:p>
    <w:p>
      <w:pPr>
        <w:pageBreakBefore w:val="0"/>
        <w:widowControl w:val="0"/>
        <w:kinsoku/>
        <w:wordWrap/>
        <w:overflowPunct/>
        <w:topLinePunct w:val="0"/>
        <w:autoSpaceDE/>
        <w:autoSpaceDN/>
        <w:bidi w:val="0"/>
        <w:spacing w:line="400" w:lineRule="exact"/>
        <w:ind w:firstLine="480" w:firstLineChars="200"/>
        <w:textAlignment w:val="auto"/>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坚决维护党中央集中统一领导，加强政治监督，督促各级各部门和党员干部深入学习贯彻习近平新时代中国特色社会主义思想，增强“四个意识”、坚定“四个自信”、做到“两个维护”,确保党中央决策部署有效落实。深入推进全面从严治党，把严的主基调长期坚持下去，落实党委主体责任和纪委监督责任，持续纠治形式主义、官僚主义，不断增强党自我净化、自我革新、自我提高的能力。完善党和国家监督体系，推进纪律监督、监察监督、派驻监督、巡察监督“四个全覆盖”。主动服务保障“三高四新”战略，保持反腐败斗争高压态势，紧盯不收敛不收手，加强重点领域、关键事、关键人、关键环节监督执纪，坚决纠治“四风”、坚决惩治发生在群众身边的腐败问题、坚决打掉黑恶势力“保护伞”、坚决开展专项治理、坚决构建亲清政商关系、坚决严肃换届纪律。坚持“一案一警示”，充分利用典型贪腐案例、忏悔录等开展警示教育，让广大党员、干部知敬畏、存戒惧、守底线，筑牢崇廉拒腐的思想防线。主动适应新时代新任务新要求，运用法治思维法治方式正风反腐，一体推进不敢腐、不想腐、不能腐体制机制建设，营造干部清正、政府清廉、政治清明、社会清朗的政治生态和发展环境。将全面从严治党贯穿至“十四五”规划整个实施过程，保障规划各个环节、各项措施顺利推进。</w:t>
      </w:r>
    </w:p>
    <w:p>
      <w:pPr>
        <w:keepNext w:val="0"/>
        <w:keepLines w:val="0"/>
        <w:pageBreakBefore w:val="0"/>
        <w:kinsoku/>
        <w:wordWrap/>
        <w:overflowPunct/>
        <w:topLinePunct w:val="0"/>
        <w:autoSpaceDE/>
        <w:autoSpaceDN/>
        <w:bidi w:val="0"/>
        <w:adjustRightInd/>
        <w:snapToGrid/>
        <w:spacing w:line="420" w:lineRule="exact"/>
        <w:jc w:val="center"/>
        <w:textAlignment w:val="auto"/>
        <w:outlineLvl w:val="9"/>
        <w:rPr>
          <w:rFonts w:hint="eastAsia" w:ascii="黑体" w:hAnsi="黑体" w:eastAsia="黑体" w:cs="黑体"/>
          <w:b w:val="0"/>
          <w:bCs w:val="0"/>
          <w:color w:val="000000" w:themeColor="text1"/>
          <w:sz w:val="30"/>
          <w:szCs w:val="30"/>
          <w14:textFill>
            <w14:solidFill>
              <w14:schemeClr w14:val="tx1"/>
            </w14:solidFill>
          </w14:textFill>
        </w:rPr>
      </w:pPr>
      <w:bookmarkStart w:id="296" w:name="_Toc24895_WPSOffice_Level2"/>
      <w:r>
        <w:rPr>
          <w:rFonts w:hint="eastAsia" w:ascii="黑体" w:hAnsi="黑体" w:eastAsia="黑体" w:cs="黑体"/>
          <w:b w:val="0"/>
          <w:bCs w:val="0"/>
          <w:color w:val="000000" w:themeColor="text1"/>
          <w:sz w:val="30"/>
          <w:szCs w:val="30"/>
          <w14:textFill>
            <w14:solidFill>
              <w14:schemeClr w14:val="tx1"/>
            </w14:solidFill>
          </w14:textFill>
        </w:rPr>
        <w:t>第二十一章  强化要素保障</w:t>
      </w:r>
      <w:bookmarkEnd w:id="295"/>
      <w:bookmarkEnd w:id="296"/>
    </w:p>
    <w:p>
      <w:pPr>
        <w:keepNext w:val="0"/>
        <w:keepLines w:val="0"/>
        <w:pageBreakBefore w:val="0"/>
        <w:kinsoku/>
        <w:wordWrap/>
        <w:overflowPunct/>
        <w:topLinePunct w:val="0"/>
        <w:autoSpaceDE/>
        <w:autoSpaceDN/>
        <w:bidi w:val="0"/>
        <w:adjustRightInd/>
        <w:snapToGrid/>
        <w:spacing w:line="420" w:lineRule="exact"/>
        <w:ind w:firstLine="560" w:firstLineChars="200"/>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方正书宋简体" w:hAnsi="方正书宋简体" w:eastAsia="方正书宋简体" w:cs="方正书宋简体"/>
          <w:color w:val="000000" w:themeColor="text1"/>
          <w:sz w:val="24"/>
          <w:szCs w:val="24"/>
          <w14:textFill>
            <w14:solidFill>
              <w14:schemeClr w14:val="tx1"/>
            </w14:solidFill>
          </w14:textFill>
        </w:rPr>
        <w:t>按照节约集约、优化配置的原则，强化土地、资金、人才等供给保障，确保满足“十四五”发展需求。</w:t>
      </w:r>
    </w:p>
    <w:p>
      <w:pPr>
        <w:keepNext w:val="0"/>
        <w:keepLines w:val="0"/>
        <w:pageBreakBefore w:val="0"/>
        <w:kinsoku/>
        <w:wordWrap/>
        <w:overflowPunct/>
        <w:topLinePunct w:val="0"/>
        <w:autoSpaceDE/>
        <w:autoSpaceDN/>
        <w:bidi w:val="0"/>
        <w:adjustRightInd/>
        <w:snapToGri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强化土地保障。</w:t>
      </w:r>
      <w:r>
        <w:rPr>
          <w:rFonts w:hint="eastAsia" w:ascii="方正书宋简体" w:hAnsi="方正书宋简体" w:eastAsia="方正书宋简体" w:cs="方正书宋简体"/>
          <w:color w:val="000000" w:themeColor="text1"/>
          <w:sz w:val="24"/>
          <w:szCs w:val="24"/>
          <w14:textFill>
            <w14:solidFill>
              <w14:schemeClr w14:val="tx1"/>
            </w14:solidFill>
          </w14:textFill>
        </w:rPr>
        <w:t>确保土地供求平衡，缓解供需矛盾，依法使用土地，坚持在国土空间规划确定的建设用地范围内安排建设项目。盘活存量土地，加快旧城区改造，挖掘用地潜力，强化土地批后管理，处置闲置土地。完善土地利用机制，实行土地集约化、市场化运作，健全土地资源保护、储备、使用机制，合理有序地开发利用土地资源。通过充分利用现有存量土地和低效土地、节约集约利用土地以及城乡建设用地增减挂钩等方式解决并积极争取国家支持。</w:t>
      </w:r>
    </w:p>
    <w:p>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创新资金投入机制。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加大全社会投入力度，切实改善投资环境，最大限度地激活民间投资，充分发挥直接融资的高效率和低成本优势，用好用足资本市场融资功能，扩大直接融资规模。充分发挥间接融资的规模化和多样化效应，加强与银行等金融机构的沟通协作，争取信贷资金支持。大幅提高内联引资水平，扩大外商投资规模。充分发挥财政资金的引导作用，优先投向社会事业、基础设施、公共安全和民生保障等领域，最大限度提高财政资金使用效益。</w:t>
      </w:r>
    </w:p>
    <w:p>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加强人才保障。</w:t>
      </w:r>
      <w:r>
        <w:rPr>
          <w:rFonts w:hint="eastAsia" w:ascii="方正书宋简体" w:hAnsi="方正书宋简体" w:eastAsia="方正书宋简体" w:cs="方正书宋简体"/>
          <w:color w:val="000000" w:themeColor="text1"/>
          <w:sz w:val="24"/>
          <w:szCs w:val="24"/>
          <w14:textFill>
            <w14:solidFill>
              <w14:schemeClr w14:val="tx1"/>
            </w14:solidFill>
          </w14:textFill>
        </w:rPr>
        <w:t>严格实行人才工作目标责任制，完善人才引进绿色通道。加强政策联动，围绕政府职能转变和规划落实制定相应实施细则。创新人才引进、培养和激励机制，积极搭建人才发展平台，围绕重点产业、重点工作、重点项目需求，引育一批专业性人才、急需紧缺性人才。对接巩固脱贫成果同乡村振兴有效衔接示范区建设，大力支持职业农民和农技特岗生培养，建立与农业扶持项目相挂钩的职业农民培养激励机制。</w:t>
      </w:r>
    </w:p>
    <w:p>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outlineLvl w:val="9"/>
        <w:rPr>
          <w:rFonts w:hint="eastAsia" w:ascii="方正书宋简体" w:hAnsi="方正书宋简体" w:eastAsia="方正书宋简体" w:cs="方正书宋简体"/>
          <w:b/>
          <w:bCs/>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加强政策保障。</w:t>
      </w:r>
      <w:r>
        <w:rPr>
          <w:rFonts w:hint="eastAsia" w:ascii="方正书宋简体" w:hAnsi="方正书宋简体" w:eastAsia="方正书宋简体" w:cs="方正书宋简体"/>
          <w:color w:val="000000" w:themeColor="text1"/>
          <w:sz w:val="24"/>
          <w:szCs w:val="24"/>
          <w14:textFill>
            <w14:solidFill>
              <w14:schemeClr w14:val="tx1"/>
            </w14:solidFill>
          </w14:textFill>
        </w:rPr>
        <w:t>从“坚持应用创新、加强项目储备；坚持融合创新、做好项目申报；坚持平台创新，加强项目”三个方面，强化政策引导。优化营商环境，围绕经济社会发展的重点领域，制订有效的激励扶持政策，激发市场主体的主动性和创造力，促进县域经济社会发展，坚持目标导向、问题导向、结果导向，进一步完善扶持政策，强化政策的科学性、有效性、针对性，充分调动全民出力的积极性，确保规划实施取得实实在在的成效。</w:t>
      </w:r>
    </w:p>
    <w:p>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健全推进机制。</w:t>
      </w:r>
      <w:r>
        <w:rPr>
          <w:rFonts w:hint="eastAsia" w:ascii="方正书宋简体" w:hAnsi="方正书宋简体" w:eastAsia="方正书宋简体" w:cs="方正书宋简体"/>
          <w:color w:val="000000" w:themeColor="text1"/>
          <w:sz w:val="24"/>
          <w:szCs w:val="24"/>
          <w14:textFill>
            <w14:solidFill>
              <w14:schemeClr w14:val="tx1"/>
            </w14:solidFill>
          </w14:textFill>
        </w:rPr>
        <w:t>强化发展规划的统领作用，坚持下位规划服从上位规划、下级规划服务上级规划、等位规划相互协调，建立以国民经济和社会发展规划纲要为统领，以国土空间规划为基础，以专项规划、区域规划为支撑的规划体系。突出“多规合一”，加强全县“十四五”规划与城乡建设、自然资源、生态环境、文物保护、林地保护、综合交通、水资源、文化、社会事业等专项规划的衔接。各有关部门切实履行职责，加快编制实施重点专项规划，加强与本规划的衔接，特别是加强重大战略、重大布局和约束性指标的衔接。根据本规划提出的各项目标任务，细化各领域（行业）的发展目标、重点任务和政策措施，研究制定具体实施方案，提出具体工作的目标要求和年度计划，确保规划纲要定目标有序实施、如期实现。</w:t>
      </w:r>
    </w:p>
    <w:p>
      <w:pPr>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outlineLvl w:val="9"/>
        <w:rPr>
          <w:rFonts w:hint="eastAsia" w:ascii="方正书宋简体" w:hAnsi="方正书宋简体" w:eastAsia="方正书宋简体" w:cs="方正书宋简体"/>
          <w:color w:val="000000" w:themeColor="text1"/>
          <w:sz w:val="24"/>
          <w:szCs w:val="24"/>
          <w14:textFill>
            <w14:solidFill>
              <w14:schemeClr w14:val="tx1"/>
            </w14:solidFill>
          </w14:textFill>
        </w:rPr>
      </w:pPr>
      <w:r>
        <w:rPr>
          <w:rFonts w:hint="eastAsia" w:ascii="楷体" w:hAnsi="楷体" w:eastAsia="楷体" w:cs="楷体"/>
          <w:b/>
          <w:bCs/>
          <w:color w:val="000000" w:themeColor="text1"/>
          <w:sz w:val="24"/>
          <w:szCs w:val="24"/>
          <w14:textFill>
            <w14:solidFill>
              <w14:schemeClr w14:val="tx1"/>
            </w14:solidFill>
          </w14:textFill>
        </w:rPr>
        <w:t>加强监督考核。</w:t>
      </w:r>
      <w:r>
        <w:rPr>
          <w:rFonts w:hint="eastAsia" w:ascii="方正书宋简体" w:hAnsi="方正书宋简体" w:eastAsia="方正书宋简体" w:cs="方正书宋简体"/>
          <w:color w:val="000000" w:themeColor="text1"/>
          <w:sz w:val="24"/>
          <w:szCs w:val="24"/>
          <w14:textFill>
            <w14:solidFill>
              <w14:schemeClr w14:val="tx1"/>
            </w14:solidFill>
          </w14:textFill>
        </w:rPr>
        <w:t>强化实施监督，切实加强人大及其常委会对规划实施的工作监督，政协的民主监督，着重强化司法、审计、新闻舆论监督和社会监督。拓展政府与企业、居民的信息沟通渠道与反馈途径，鼓励公民为规划实施建言献策，并进行有效监督。建立考核机制，完善规划实施考核评价指标体系，突出对政府履行社会管理、改善民生和公共服务职责方面的评价。建立部门间联动机制和联席会议制度，完善考核评价机制，督促相关部门切实落实规划提出的任务，保证规划目标得以如期实现。</w:t>
      </w:r>
    </w:p>
    <w:p>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outlineLvl w:val="9"/>
        <w:rPr>
          <w:rFonts w:hint="eastAsia" w:ascii="方正书宋简体" w:hAnsi="方正书宋简体" w:eastAsia="方正书宋简体" w:cs="方正书宋简体"/>
          <w:color w:val="000000" w:themeColor="text1"/>
          <w:kern w:val="0"/>
          <w:sz w:val="24"/>
          <w:szCs w:val="24"/>
          <w14:textFill>
            <w14:solidFill>
              <w14:schemeClr w14:val="tx1"/>
            </w14:solidFill>
          </w14:textFill>
        </w:rPr>
      </w:pPr>
      <w:r>
        <w:rPr>
          <w:rFonts w:hint="eastAsia" w:ascii="方正书宋简体" w:hAnsi="方正书宋简体" w:eastAsia="方正书宋简体" w:cs="方正书宋简体"/>
          <w:color w:val="000000" w:themeColor="text1"/>
          <w:kern w:val="0"/>
          <w:sz w:val="24"/>
          <w:szCs w:val="24"/>
          <w14:textFill>
            <w14:solidFill>
              <w14:schemeClr w14:val="tx1"/>
            </w14:solidFill>
          </w14:textFill>
        </w:rPr>
        <w:t>实现“十四五”规划和二〇三五年远景目标，意义重大，任务艰巨，使命光荣。全县上下要更加紧密团结在以习近平同志为核心的党中央周围，高举中国特色社会主义伟大旗帜，坚定信心、万众一心，干在实处、走在前列，奋力谱写全面建设社会主义现代化国家龙山新篇章！</w:t>
      </w:r>
    </w:p>
    <w:p>
      <w:pPr>
        <w:pStyle w:val="2"/>
        <w:keepNext w:val="0"/>
        <w:keepLines w:val="0"/>
        <w:pageBreakBefore w:val="0"/>
        <w:widowControl w:val="0"/>
        <w:kinsoku/>
        <w:wordWrap/>
        <w:overflowPunct/>
        <w:topLinePunct w:val="0"/>
        <w:autoSpaceDE/>
        <w:autoSpaceDN/>
        <w:bidi w:val="0"/>
        <w:adjustRightInd/>
        <w:spacing w:line="420" w:lineRule="exact"/>
        <w:textAlignment w:val="auto"/>
        <w:outlineLvl w:val="9"/>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br w:type="page"/>
      </w:r>
    </w:p>
    <w:p>
      <w:pPr>
        <w:keepNext/>
        <w:keepLines/>
        <w:spacing w:line="360" w:lineRule="auto"/>
        <w:ind w:firstLine="600" w:firstLineChars="200"/>
        <w:jc w:val="left"/>
        <w:outlineLvl w:val="0"/>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pPr>
      <w:bookmarkStart w:id="297" w:name="_Toc17518_WPSOffice_Level1"/>
      <w:r>
        <w:rPr>
          <w:rFonts w:hint="eastAsia" w:ascii="方正小标宋简体" w:hAnsi="方正小标宋简体" w:eastAsia="方正小标宋简体" w:cs="方正小标宋简体"/>
          <w:b w:val="0"/>
          <w:bCs w:val="0"/>
          <w:color w:val="000000" w:themeColor="text1"/>
          <w:kern w:val="44"/>
          <w:sz w:val="30"/>
          <w:szCs w:val="30"/>
          <w14:textFill>
            <w14:solidFill>
              <w14:schemeClr w14:val="tx1"/>
            </w14:solidFill>
          </w14:textFill>
        </w:rPr>
        <w:t>名词解释：</w:t>
      </w:r>
      <w:bookmarkEnd w:id="297"/>
    </w:p>
    <w:sectPr>
      <w:footerReference r:id="rId9" w:type="default"/>
      <w:endnotePr>
        <w:numFmt w:val="decimalEnclosedCircleChinese"/>
      </w:endnotePr>
      <w:pgSz w:w="8391" w:h="11906"/>
      <w:pgMar w:top="1247" w:right="1134" w:bottom="1247" w:left="1134" w:header="851" w:footer="680" w:gutter="0"/>
      <w:pgNumType w:fmt="decimal" w:start="2"/>
      <w:cols w:space="0" w:num="1"/>
      <w:rtlGutter w:val="0"/>
      <w:docGrid w:type="lines" w:linePitch="31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id="0">
    <w:p>
      <w:pPr>
        <w:pStyle w:val="10"/>
        <w:spacing w:line="400" w:lineRule="exact"/>
        <w:ind w:firstLine="420" w:firstLineChars="200"/>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554”工程：“5”是指经济发展五大“1711”行动，“5”是指社会发展“五个龙山”建设，“4”是指“四大愿景”即州域北部重点经济区、湘西北重要窗口城市、湘鄂渝边区商贸物流中心和武陵山片区全域旅游新高地。</w:t>
      </w:r>
    </w:p>
  </w:endnote>
  <w:endnote w:id="1">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五大“1711”行动：全域旅游发展“1711”行动、现代农业发展“1711”行动、新型工业发展“1711”行动、商贸物流发展“1711”行动、新型城镇化发展“1711”行动。</w:t>
      </w:r>
    </w:p>
  </w:endnote>
  <w:endnote w:id="2">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“五个龙山”：是指绿色龙山、文化龙山、开放龙山、健康龙山、平安龙山。</w:t>
      </w:r>
    </w:p>
  </w:endnote>
  <w:endnote w:id="3">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全域旅游“1711”行动：“1”是指建成武陵山片区全域旅游新高地，“7”是指里耶古城、惹巴拉、乌龙山大峡谷、八面山、洛塔石林、茨岩塘、太平山等7个景区创新提质发展，“1”是指旅游总接待人数突破1000万人次，“1”是指旅游总收入突破100亿元。</w:t>
      </w:r>
    </w:p>
  </w:endnote>
  <w:endnote w:id="4">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现代</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农业“1711”行动：“1”是指建成湖南省特色农业强县，“7”是指百合、柑橘（果蔬）、茶叶、油茶、烤烟、中药材、养殖七大特色产业，“1”是指特色农业产业面积突破100万亩，“1”是指远期实现年产值100亿元。</w:t>
      </w:r>
    </w:p>
  </w:endnote>
  <w:endnote w:id="5">
    <w:p>
      <w:pPr>
        <w:pStyle w:val="10"/>
        <w:spacing w:line="400" w:lineRule="exact"/>
        <w:ind w:firstLine="420" w:firstLineChars="200"/>
        <w:rPr>
          <w:rFonts w:hint="eastAsia" w:asciiTheme="minorEastAsia" w:hAnsiTheme="minorEastAsia" w:eastAsiaTheme="minorEastAsia" w:cstheme="minorEastAsia"/>
          <w:color w:val="000000" w:themeColor="text1"/>
          <w:spacing w:val="-6"/>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6"/>
          <w:kern w:val="0"/>
          <w:sz w:val="21"/>
          <w:szCs w:val="21"/>
          <w14:textFill>
            <w14:solidFill>
              <w14:schemeClr w14:val="tx1"/>
            </w14:solidFill>
          </w14:textFill>
        </w:rPr>
        <w:t>新型工业“1711”行动：“1”是指建成湘西州工业强县，“7”是指特色制造、生物医药、电子信息、绿色能源、新型建材、生态绿色食品、民族轻纺七条产业链，“1”是指培育规模以上工业企业和高新技术企业突破100家，“1”是指工业总产值力争突破100亿元。</w:t>
      </w:r>
    </w:p>
  </w:endnote>
  <w:endnote w:id="6">
    <w:p>
      <w:pPr>
        <w:pStyle w:val="2"/>
        <w:spacing w:line="400" w:lineRule="exact"/>
        <w:ind w:firstLine="420" w:firstLineChars="200"/>
        <w:rPr>
          <w:rFonts w:hint="eastAsia" w:asciiTheme="minorEastAsia" w:hAnsiTheme="minorEastAsia" w:eastAsiaTheme="minorEastAsia" w:cstheme="minorEastAsia"/>
          <w:color w:val="000000" w:themeColor="text1"/>
          <w:kern w:val="0"/>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“一区三园”：“一区”指龙山工业集中区，“三园”指宝塔工业园、高铁工业园（长沙产业园）、里耶工业园。</w:t>
      </w:r>
    </w:p>
  </w:endnote>
  <w:endnote w:id="7">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商贸物流“1711”行动：“1”是指建成湘鄂渝边区</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商</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贸物流中心，“7”是指空间布局调优、物流园区建设、交易市场建设、配送体系完善、电子商务壮大、企业培育提升、对外贸易突破等“七大计划”，“1”是指引进和培育商贸物流龙头骨干企业突破10家，“1”是指商贸物流供应链产值力争突破100亿元。</w:t>
      </w:r>
    </w:p>
  </w:endnote>
  <w:endnote w:id="8">
    <w:p>
      <w:pPr>
        <w:pStyle w:val="10"/>
        <w:spacing w:line="400" w:lineRule="exact"/>
        <w:ind w:firstLine="420" w:firstLineChars="200"/>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Style w:val="16"/>
          <w:rFonts w:hint="eastAsia" w:asciiTheme="minorEastAsia" w:hAnsiTheme="minorEastAsia" w:eastAsiaTheme="minorEastAsia" w:cstheme="minorEastAsia"/>
          <w:color w:val="000000" w:themeColor="text1"/>
          <w:sz w:val="21"/>
          <w:szCs w:val="21"/>
          <w14:textFill>
            <w14:solidFill>
              <w14:schemeClr w14:val="tx1"/>
            </w14:solidFill>
          </w14:textFill>
        </w:rPr>
        <w:endnoteRef/>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新型城镇化“1711”行动:“1”是指建成湘西北重要窗口城市，“7”是指空间优化、基础设施建设、公共服务保障、住房保障、产城融合、风貌塑造、治理创新等城市建设“七大任务”，“1”是指城区面积增加10平方公里，“1”是指城镇化率提高10个百分点。</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153"/>
        <w:tab w:val="right" w:pos="8306"/>
      </w:tabs>
      <w:jc w:val="center"/>
      <w:rPr>
        <w:sz w:val="24"/>
        <w:szCs w:val="24"/>
      </w:rPr>
    </w:pPr>
  </w:p>
  <w:p>
    <w:pPr>
      <w:pStyle w:val="2"/>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 w:val="24"/>
        <w:szCs w:val="24"/>
      </w:rPr>
    </w:pP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 w:val="24"/>
        <w:szCs w:val="24"/>
      </w:rPr>
    </w:pPr>
    <w:r>
      <w:rPr>
        <w:sz w:val="24"/>
      </w:rPr>
      <mc:AlternateContent>
        <mc:Choice Requires="wps">
          <w:drawing>
            <wp:anchor distT="0" distB="0" distL="114300" distR="114300" simplePos="0" relativeHeight="251853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r>
      <w:rPr>
        <w:sz w:val="24"/>
      </w:rPr>
      <mc:AlternateContent>
        <mc:Choice Requires="wps">
          <w:drawing>
            <wp:anchor distT="0" distB="0" distL="114300" distR="114300" simplePos="0" relativeHeight="251849728" behindDoc="0" locked="0" layoutInCell="1" allowOverlap="1">
              <wp:simplePos x="0" y="0"/>
              <wp:positionH relativeFrom="margin">
                <wp:align>outside</wp:align>
              </wp:positionH>
              <wp:positionV relativeFrom="paragraph">
                <wp:posOffset>-2540</wp:posOffset>
              </wp:positionV>
              <wp:extent cx="60706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716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47.8pt;mso-position-horizontal:outside;mso-position-horizontal-relative:margin;z-index:251849728;mso-width-relative:page;mso-height-relative:page;" filled="f" stroked="f" coordsize="21600,21600" o:gfxdata="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WXrVAAAABQEAAA8AAAAAAAAA&#10;AQAgAAAAIgAAAGRycy9kb3ducmV2LnhtbFBLAQIUABQAAAAIAIdO4kDGdls1FAIAAAoEAAAOAAAA&#10;AAAAAAEAIAAAACQBAABkcnMvZTJvRG9jLnhtbFBLBQYAAAAABgAGAFkBAACqBQAAAAA=&#10;">
              <v:fill on="f" focussize="0,0"/>
              <v:stroke on="f" weight="0.5pt"/>
              <v:imagedata o:title=""/>
              <o:lock v:ext="edit" aspectratio="f"/>
              <v:textbox inset="0mm,0mm,0mm,0mm" style="mso-fit-shape-to-text:t;">
                <w:txbxContent>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 w:val="24"/>
        <w:szCs w:val="24"/>
      </w:rPr>
    </w:pPr>
    <w:r>
      <w:rPr>
        <w:sz w:val="24"/>
      </w:rPr>
      <mc:AlternateContent>
        <mc:Choice Requires="wps">
          <w:drawing>
            <wp:anchor distT="0" distB="0" distL="114300" distR="114300" simplePos="0" relativeHeight="252242944" behindDoc="0" locked="0" layoutInCell="1" allowOverlap="1">
              <wp:simplePos x="0" y="0"/>
              <wp:positionH relativeFrom="margin">
                <wp:align>outside</wp:align>
              </wp:positionH>
              <wp:positionV relativeFrom="paragraph">
                <wp:posOffset>-2540</wp:posOffset>
              </wp:positionV>
              <wp:extent cx="60706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60716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47.8pt;mso-position-horizontal:outside;mso-position-horizontal-relative:margin;z-index:252242944;mso-width-relative:page;mso-height-relative:page;" filled="f" stroked="f" coordsize="21600,21600" o:gfxdata="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WXrVAAAABQEAAA8AAAAAAAAA&#10;AQAgAAAAIgAAAGRycy9kb3ducmV2LnhtbFBLAQIUABQAAAAIAIdO4kAOLv1eFAIAAAgEAAAOAAAA&#10;AAAAAAEAIAAAACQBAABkcnMvZTJvRG9jLnhtbFBLBQYAAAAABgAGAFkBAACqBQAAAAA=&#10;">
              <v:fill on="f" focussize="0,0"/>
              <v:stroke on="f" weight="0.5pt"/>
              <v:imagedata o:title=""/>
              <o:lock v:ext="edit" aspectratio="f"/>
              <v:textbox inset="0mm,0mm,0mm,0mm" style="mso-fit-shape-to-text:t;">
                <w:txbxContent>
                  <w:p/>
                </w:txbxContent>
              </v:textbox>
            </v:shape>
          </w:pict>
        </mc:Fallback>
      </mc:AlternateContent>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 w:val="24"/>
        <w:szCs w:val="24"/>
      </w:rPr>
    </w:pPr>
    <w:r>
      <w:rPr>
        <w:sz w:val="24"/>
      </w:rPr>
      <mc:AlternateContent>
        <mc:Choice Requires="wps">
          <w:drawing>
            <wp:anchor distT="0" distB="0" distL="114300" distR="114300" simplePos="0" relativeHeight="252050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050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r>
      <w:rPr>
        <w:sz w:val="24"/>
      </w:rPr>
      <mc:AlternateContent>
        <mc:Choice Requires="wps">
          <w:drawing>
            <wp:anchor distT="0" distB="0" distL="114300" distR="114300" simplePos="0" relativeHeight="252046336" behindDoc="0" locked="0" layoutInCell="1" allowOverlap="1">
              <wp:simplePos x="0" y="0"/>
              <wp:positionH relativeFrom="margin">
                <wp:align>outside</wp:align>
              </wp:positionH>
              <wp:positionV relativeFrom="paragraph">
                <wp:posOffset>-2540</wp:posOffset>
              </wp:positionV>
              <wp:extent cx="60706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0716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47.8pt;mso-position-horizontal:outside;mso-position-horizontal-relative:margin;z-index:252046336;mso-width-relative:page;mso-height-relative:page;" filled="f" stroked="f" coordsize="21600,21600" o:gfxdata="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5NZetUAAAAFAQAADwAAAAAAAAAB&#10;ACAAAAAiAAAAZHJzL2Rvd25yZXYueG1sUEsBAhQAFAAAAAgAh07iQCtaw60TAgAACAQAAA4AAAAA&#10;AAAAAQAgAAAAJAEAAGRycy9lMm9Eb2MueG1sUEsFBgAAAAAGAAYAWQEAAKkFAAAAAA==&#10;">
              <v:fill on="f" focussize="0,0"/>
              <v:stroke on="f" weight="0.5pt"/>
              <v:imagedata o:title=""/>
              <o:lock v:ext="edit" aspectratio="f"/>
              <v:textbox inset="0mm,0mm,0mm,0mm" style="mso-fit-shape-to-text:t;">
                <w:txbxContent>
                  <w:p/>
                </w:txbxContent>
              </v:textbox>
            </v:shape>
          </w:pict>
        </mc:Fallback>
      </mc:AlternateContent>
    </w:r>
  </w:p>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仿宋_GB2312" w:eastAsia="仿宋_GB2312"/>
        <w:sz w:val="24"/>
        <w:szCs w:val="24"/>
      </w:rPr>
    </w:pPr>
    <w:r>
      <w:rPr>
        <w:sz w:val="24"/>
      </w:rPr>
      <mc:AlternateContent>
        <mc:Choice Requires="wps">
          <w:drawing>
            <wp:anchor distT="0" distB="0" distL="114300" distR="114300" simplePos="0" relativeHeight="2526361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2636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- 1 -</w:t>
                    </w:r>
                    <w:r>
                      <w:rPr>
                        <w:rFonts w:hint="eastAsia"/>
                        <w:sz w:val="24"/>
                        <w:szCs w:val="24"/>
                        <w:lang w:eastAsia="zh-CN"/>
                      </w:rPr>
                      <w:fldChar w:fldCharType="end"/>
                    </w:r>
                  </w:p>
                </w:txbxContent>
              </v:textbox>
            </v:shape>
          </w:pict>
        </mc:Fallback>
      </mc:AlternateContent>
    </w:r>
    <w:r>
      <w:rPr>
        <w:sz w:val="24"/>
      </w:rPr>
      <mc:AlternateContent>
        <mc:Choice Requires="wps">
          <w:drawing>
            <wp:anchor distT="0" distB="0" distL="114300" distR="114300" simplePos="0" relativeHeight="252632064" behindDoc="0" locked="0" layoutInCell="1" allowOverlap="1">
              <wp:simplePos x="0" y="0"/>
              <wp:positionH relativeFrom="margin">
                <wp:align>outside</wp:align>
              </wp:positionH>
              <wp:positionV relativeFrom="paragraph">
                <wp:posOffset>-2540</wp:posOffset>
              </wp:positionV>
              <wp:extent cx="60706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0716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47.8pt;mso-position-horizontal:outside;mso-position-horizontal-relative:margin;z-index:252632064;mso-width-relative:page;mso-height-relative:page;" filled="f" stroked="f" coordsize="21600,21600" o:gfxdata="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WXrVAAAABQEAAA8AAAAAAAAA&#10;AQAgAAAAIgAAAGRycy9kb3ducmV2LnhtbFBLAQIUABQAAAAIAIdO4kA7rYVBFAIAAAoEAAAOAAAA&#10;AAAAAAEAIAAAACQBAABkcnMvZTJvRG9jLnhtbFBLBQYAAAAABgAGAFkBAACqBQAAAAA=&#10;">
              <v:fill on="f" focussize="0,0"/>
              <v:stroke on="f" weight="0.5pt"/>
              <v:imagedata o:title=""/>
              <o:lock v:ext="edit" aspectratio="f"/>
              <v:textbox inset="0mm,0mm,0mm,0mm" style="mso-fit-shape-to-text:t;">
                <w:txbxContent>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FF1676"/>
    <w:rsid w:val="00000F6A"/>
    <w:rsid w:val="000015A3"/>
    <w:rsid w:val="00003DFE"/>
    <w:rsid w:val="00004ECE"/>
    <w:rsid w:val="00011947"/>
    <w:rsid w:val="000154B7"/>
    <w:rsid w:val="00016B9E"/>
    <w:rsid w:val="00023745"/>
    <w:rsid w:val="000248F2"/>
    <w:rsid w:val="0002529E"/>
    <w:rsid w:val="000261F8"/>
    <w:rsid w:val="00027E34"/>
    <w:rsid w:val="000323B9"/>
    <w:rsid w:val="00032CA0"/>
    <w:rsid w:val="00036BF8"/>
    <w:rsid w:val="000376DE"/>
    <w:rsid w:val="00041455"/>
    <w:rsid w:val="00041BF0"/>
    <w:rsid w:val="00042910"/>
    <w:rsid w:val="00043EFD"/>
    <w:rsid w:val="00044838"/>
    <w:rsid w:val="000458E5"/>
    <w:rsid w:val="00045B54"/>
    <w:rsid w:val="00045BC3"/>
    <w:rsid w:val="00046D42"/>
    <w:rsid w:val="00047198"/>
    <w:rsid w:val="00054038"/>
    <w:rsid w:val="00054FD8"/>
    <w:rsid w:val="00056671"/>
    <w:rsid w:val="0005696F"/>
    <w:rsid w:val="00056C88"/>
    <w:rsid w:val="00060E0A"/>
    <w:rsid w:val="00061BAA"/>
    <w:rsid w:val="00064A01"/>
    <w:rsid w:val="00065013"/>
    <w:rsid w:val="00066456"/>
    <w:rsid w:val="0006683F"/>
    <w:rsid w:val="00066AF3"/>
    <w:rsid w:val="000711F1"/>
    <w:rsid w:val="00073CFA"/>
    <w:rsid w:val="00073DD4"/>
    <w:rsid w:val="00075785"/>
    <w:rsid w:val="0007738B"/>
    <w:rsid w:val="000802AE"/>
    <w:rsid w:val="00080394"/>
    <w:rsid w:val="00080E44"/>
    <w:rsid w:val="00081AE1"/>
    <w:rsid w:val="000823D0"/>
    <w:rsid w:val="00083B82"/>
    <w:rsid w:val="000851F7"/>
    <w:rsid w:val="00086CB9"/>
    <w:rsid w:val="00087648"/>
    <w:rsid w:val="0009053A"/>
    <w:rsid w:val="00092565"/>
    <w:rsid w:val="00096C54"/>
    <w:rsid w:val="00097735"/>
    <w:rsid w:val="000978D3"/>
    <w:rsid w:val="000A0C1A"/>
    <w:rsid w:val="000A37CA"/>
    <w:rsid w:val="000A4AC9"/>
    <w:rsid w:val="000A5400"/>
    <w:rsid w:val="000A584C"/>
    <w:rsid w:val="000B35D9"/>
    <w:rsid w:val="000B5794"/>
    <w:rsid w:val="000B6878"/>
    <w:rsid w:val="000C0F16"/>
    <w:rsid w:val="000C3A2D"/>
    <w:rsid w:val="000C3D95"/>
    <w:rsid w:val="000C4E9E"/>
    <w:rsid w:val="000C6DAB"/>
    <w:rsid w:val="000D0407"/>
    <w:rsid w:val="000D070D"/>
    <w:rsid w:val="000D3ABB"/>
    <w:rsid w:val="000D6208"/>
    <w:rsid w:val="000D76B1"/>
    <w:rsid w:val="000D7F80"/>
    <w:rsid w:val="000E1947"/>
    <w:rsid w:val="000E363C"/>
    <w:rsid w:val="000E4005"/>
    <w:rsid w:val="000E49B2"/>
    <w:rsid w:val="000F0687"/>
    <w:rsid w:val="000F0CBB"/>
    <w:rsid w:val="000F26F3"/>
    <w:rsid w:val="000F3295"/>
    <w:rsid w:val="000F37E1"/>
    <w:rsid w:val="000F44D5"/>
    <w:rsid w:val="000F6228"/>
    <w:rsid w:val="000F650A"/>
    <w:rsid w:val="000F6BBE"/>
    <w:rsid w:val="00103CDD"/>
    <w:rsid w:val="001041C7"/>
    <w:rsid w:val="00105772"/>
    <w:rsid w:val="00105801"/>
    <w:rsid w:val="001069F2"/>
    <w:rsid w:val="00107A98"/>
    <w:rsid w:val="001103BD"/>
    <w:rsid w:val="001118DA"/>
    <w:rsid w:val="00111956"/>
    <w:rsid w:val="00114F6E"/>
    <w:rsid w:val="001206B5"/>
    <w:rsid w:val="00120F84"/>
    <w:rsid w:val="00121019"/>
    <w:rsid w:val="001214AC"/>
    <w:rsid w:val="001220A9"/>
    <w:rsid w:val="00123C26"/>
    <w:rsid w:val="0012585D"/>
    <w:rsid w:val="00127691"/>
    <w:rsid w:val="001308FA"/>
    <w:rsid w:val="00132968"/>
    <w:rsid w:val="00132C37"/>
    <w:rsid w:val="0013343B"/>
    <w:rsid w:val="001373BA"/>
    <w:rsid w:val="00142791"/>
    <w:rsid w:val="0014587A"/>
    <w:rsid w:val="00146202"/>
    <w:rsid w:val="00146727"/>
    <w:rsid w:val="00146F24"/>
    <w:rsid w:val="0014736E"/>
    <w:rsid w:val="00150292"/>
    <w:rsid w:val="00150C95"/>
    <w:rsid w:val="00152711"/>
    <w:rsid w:val="00153602"/>
    <w:rsid w:val="00154242"/>
    <w:rsid w:val="00155051"/>
    <w:rsid w:val="001552CB"/>
    <w:rsid w:val="00155F2E"/>
    <w:rsid w:val="00156811"/>
    <w:rsid w:val="001568F3"/>
    <w:rsid w:val="00162E26"/>
    <w:rsid w:val="00165D56"/>
    <w:rsid w:val="00166A68"/>
    <w:rsid w:val="00172102"/>
    <w:rsid w:val="001752FE"/>
    <w:rsid w:val="001757F0"/>
    <w:rsid w:val="00176312"/>
    <w:rsid w:val="00177738"/>
    <w:rsid w:val="0018116A"/>
    <w:rsid w:val="00181A6E"/>
    <w:rsid w:val="0018240D"/>
    <w:rsid w:val="00184B8E"/>
    <w:rsid w:val="001861F0"/>
    <w:rsid w:val="001873C4"/>
    <w:rsid w:val="00191095"/>
    <w:rsid w:val="00191D2B"/>
    <w:rsid w:val="00194697"/>
    <w:rsid w:val="00196E93"/>
    <w:rsid w:val="001A150F"/>
    <w:rsid w:val="001A16CF"/>
    <w:rsid w:val="001A2876"/>
    <w:rsid w:val="001A34AE"/>
    <w:rsid w:val="001A5396"/>
    <w:rsid w:val="001A5EB7"/>
    <w:rsid w:val="001A614F"/>
    <w:rsid w:val="001A757A"/>
    <w:rsid w:val="001B1A4C"/>
    <w:rsid w:val="001B2942"/>
    <w:rsid w:val="001B2C81"/>
    <w:rsid w:val="001B3992"/>
    <w:rsid w:val="001B4764"/>
    <w:rsid w:val="001B48AF"/>
    <w:rsid w:val="001B4C33"/>
    <w:rsid w:val="001B5994"/>
    <w:rsid w:val="001B5E20"/>
    <w:rsid w:val="001B632A"/>
    <w:rsid w:val="001B64D1"/>
    <w:rsid w:val="001B73DB"/>
    <w:rsid w:val="001C2360"/>
    <w:rsid w:val="001C3A99"/>
    <w:rsid w:val="001C61D4"/>
    <w:rsid w:val="001C7D44"/>
    <w:rsid w:val="001D021F"/>
    <w:rsid w:val="001D0583"/>
    <w:rsid w:val="001D140D"/>
    <w:rsid w:val="001D1828"/>
    <w:rsid w:val="001D1E95"/>
    <w:rsid w:val="001D496A"/>
    <w:rsid w:val="001D5125"/>
    <w:rsid w:val="001D5AF7"/>
    <w:rsid w:val="001E0383"/>
    <w:rsid w:val="001E05D7"/>
    <w:rsid w:val="001E1F6F"/>
    <w:rsid w:val="001E262F"/>
    <w:rsid w:val="001E3D5C"/>
    <w:rsid w:val="001E43F8"/>
    <w:rsid w:val="001E458A"/>
    <w:rsid w:val="001E6FB2"/>
    <w:rsid w:val="001E76D8"/>
    <w:rsid w:val="001F2197"/>
    <w:rsid w:val="001F4198"/>
    <w:rsid w:val="00201A6E"/>
    <w:rsid w:val="00202226"/>
    <w:rsid w:val="00202EC9"/>
    <w:rsid w:val="002051AC"/>
    <w:rsid w:val="00205EA7"/>
    <w:rsid w:val="0020603C"/>
    <w:rsid w:val="0020689D"/>
    <w:rsid w:val="00210B88"/>
    <w:rsid w:val="00211801"/>
    <w:rsid w:val="00212179"/>
    <w:rsid w:val="0021221E"/>
    <w:rsid w:val="002152F7"/>
    <w:rsid w:val="002157FC"/>
    <w:rsid w:val="00215DC9"/>
    <w:rsid w:val="00216F08"/>
    <w:rsid w:val="0022021E"/>
    <w:rsid w:val="00221641"/>
    <w:rsid w:val="00222974"/>
    <w:rsid w:val="0022593A"/>
    <w:rsid w:val="00225AC3"/>
    <w:rsid w:val="002301C8"/>
    <w:rsid w:val="00231100"/>
    <w:rsid w:val="00231501"/>
    <w:rsid w:val="00232693"/>
    <w:rsid w:val="002334C6"/>
    <w:rsid w:val="002340A1"/>
    <w:rsid w:val="00236224"/>
    <w:rsid w:val="002367CF"/>
    <w:rsid w:val="0023719A"/>
    <w:rsid w:val="00237DCE"/>
    <w:rsid w:val="00240F3E"/>
    <w:rsid w:val="00241107"/>
    <w:rsid w:val="00242EBA"/>
    <w:rsid w:val="00242FA0"/>
    <w:rsid w:val="00242FFA"/>
    <w:rsid w:val="00244B70"/>
    <w:rsid w:val="002453AC"/>
    <w:rsid w:val="0024722A"/>
    <w:rsid w:val="00247FBB"/>
    <w:rsid w:val="00250999"/>
    <w:rsid w:val="00250EFC"/>
    <w:rsid w:val="00250F5D"/>
    <w:rsid w:val="002511F5"/>
    <w:rsid w:val="00253074"/>
    <w:rsid w:val="002557E2"/>
    <w:rsid w:val="002574B9"/>
    <w:rsid w:val="00260516"/>
    <w:rsid w:val="00260810"/>
    <w:rsid w:val="00260A1F"/>
    <w:rsid w:val="00261916"/>
    <w:rsid w:val="00263A27"/>
    <w:rsid w:val="002642C8"/>
    <w:rsid w:val="00264914"/>
    <w:rsid w:val="00265D83"/>
    <w:rsid w:val="00266BB1"/>
    <w:rsid w:val="00266C84"/>
    <w:rsid w:val="0027431E"/>
    <w:rsid w:val="00275070"/>
    <w:rsid w:val="00275AFE"/>
    <w:rsid w:val="00276A50"/>
    <w:rsid w:val="00277EE7"/>
    <w:rsid w:val="002806AF"/>
    <w:rsid w:val="00280E15"/>
    <w:rsid w:val="00281231"/>
    <w:rsid w:val="002844AA"/>
    <w:rsid w:val="0028543A"/>
    <w:rsid w:val="00285C4C"/>
    <w:rsid w:val="00286341"/>
    <w:rsid w:val="00292355"/>
    <w:rsid w:val="002962B5"/>
    <w:rsid w:val="00297BC8"/>
    <w:rsid w:val="002A13F2"/>
    <w:rsid w:val="002A1BE1"/>
    <w:rsid w:val="002A26F6"/>
    <w:rsid w:val="002A301F"/>
    <w:rsid w:val="002A3FA9"/>
    <w:rsid w:val="002A790D"/>
    <w:rsid w:val="002B146E"/>
    <w:rsid w:val="002B294F"/>
    <w:rsid w:val="002B31CC"/>
    <w:rsid w:val="002B471C"/>
    <w:rsid w:val="002B710B"/>
    <w:rsid w:val="002C062F"/>
    <w:rsid w:val="002C3CB0"/>
    <w:rsid w:val="002C3D84"/>
    <w:rsid w:val="002C6462"/>
    <w:rsid w:val="002C7D80"/>
    <w:rsid w:val="002D0C80"/>
    <w:rsid w:val="002D3E32"/>
    <w:rsid w:val="002D5595"/>
    <w:rsid w:val="002D5D79"/>
    <w:rsid w:val="002D684A"/>
    <w:rsid w:val="002D6B5F"/>
    <w:rsid w:val="002E1039"/>
    <w:rsid w:val="002E2216"/>
    <w:rsid w:val="002E33FE"/>
    <w:rsid w:val="002E3BAE"/>
    <w:rsid w:val="002E40FF"/>
    <w:rsid w:val="002E655B"/>
    <w:rsid w:val="002E6E99"/>
    <w:rsid w:val="002F13E6"/>
    <w:rsid w:val="002F19A5"/>
    <w:rsid w:val="002F23B3"/>
    <w:rsid w:val="002F31FB"/>
    <w:rsid w:val="002F3872"/>
    <w:rsid w:val="002F3C41"/>
    <w:rsid w:val="002F5D67"/>
    <w:rsid w:val="002F739D"/>
    <w:rsid w:val="002F75EF"/>
    <w:rsid w:val="00300458"/>
    <w:rsid w:val="00300C80"/>
    <w:rsid w:val="0030234E"/>
    <w:rsid w:val="003040A7"/>
    <w:rsid w:val="00305ED1"/>
    <w:rsid w:val="00306F54"/>
    <w:rsid w:val="003072C0"/>
    <w:rsid w:val="003139E5"/>
    <w:rsid w:val="003153E1"/>
    <w:rsid w:val="00324918"/>
    <w:rsid w:val="00327E74"/>
    <w:rsid w:val="00332387"/>
    <w:rsid w:val="00333081"/>
    <w:rsid w:val="003345F2"/>
    <w:rsid w:val="00335D2C"/>
    <w:rsid w:val="00337703"/>
    <w:rsid w:val="003377FE"/>
    <w:rsid w:val="0034354B"/>
    <w:rsid w:val="00343596"/>
    <w:rsid w:val="00343862"/>
    <w:rsid w:val="00344ECB"/>
    <w:rsid w:val="00345BD0"/>
    <w:rsid w:val="00346335"/>
    <w:rsid w:val="003473B1"/>
    <w:rsid w:val="003534F0"/>
    <w:rsid w:val="00353803"/>
    <w:rsid w:val="00353CFE"/>
    <w:rsid w:val="00353E6F"/>
    <w:rsid w:val="00354716"/>
    <w:rsid w:val="00356D73"/>
    <w:rsid w:val="0036055E"/>
    <w:rsid w:val="00361352"/>
    <w:rsid w:val="00361ACF"/>
    <w:rsid w:val="003623DB"/>
    <w:rsid w:val="00362F31"/>
    <w:rsid w:val="00363AB8"/>
    <w:rsid w:val="00364538"/>
    <w:rsid w:val="003654AA"/>
    <w:rsid w:val="003657BB"/>
    <w:rsid w:val="00371A63"/>
    <w:rsid w:val="00371B49"/>
    <w:rsid w:val="0037551F"/>
    <w:rsid w:val="003756F2"/>
    <w:rsid w:val="0038044D"/>
    <w:rsid w:val="00382783"/>
    <w:rsid w:val="00383733"/>
    <w:rsid w:val="003839C1"/>
    <w:rsid w:val="00384777"/>
    <w:rsid w:val="00390C1F"/>
    <w:rsid w:val="0039143C"/>
    <w:rsid w:val="003915C1"/>
    <w:rsid w:val="00394978"/>
    <w:rsid w:val="003955E9"/>
    <w:rsid w:val="00396165"/>
    <w:rsid w:val="00397934"/>
    <w:rsid w:val="003A14A8"/>
    <w:rsid w:val="003A178D"/>
    <w:rsid w:val="003A22A7"/>
    <w:rsid w:val="003A303F"/>
    <w:rsid w:val="003A374C"/>
    <w:rsid w:val="003A46F5"/>
    <w:rsid w:val="003A49FA"/>
    <w:rsid w:val="003A5292"/>
    <w:rsid w:val="003A5AAC"/>
    <w:rsid w:val="003A7B50"/>
    <w:rsid w:val="003B112B"/>
    <w:rsid w:val="003B1EAE"/>
    <w:rsid w:val="003B2174"/>
    <w:rsid w:val="003B2960"/>
    <w:rsid w:val="003B34BB"/>
    <w:rsid w:val="003B4333"/>
    <w:rsid w:val="003C20C6"/>
    <w:rsid w:val="003C358F"/>
    <w:rsid w:val="003C39A5"/>
    <w:rsid w:val="003C4EB4"/>
    <w:rsid w:val="003C583A"/>
    <w:rsid w:val="003C5F16"/>
    <w:rsid w:val="003C62AC"/>
    <w:rsid w:val="003C73F9"/>
    <w:rsid w:val="003D0692"/>
    <w:rsid w:val="003D14B9"/>
    <w:rsid w:val="003D288A"/>
    <w:rsid w:val="003D458F"/>
    <w:rsid w:val="003D6DB9"/>
    <w:rsid w:val="003D7944"/>
    <w:rsid w:val="003E4DA5"/>
    <w:rsid w:val="003E79DA"/>
    <w:rsid w:val="003F212E"/>
    <w:rsid w:val="003F4C80"/>
    <w:rsid w:val="003F7795"/>
    <w:rsid w:val="00401463"/>
    <w:rsid w:val="00404B8A"/>
    <w:rsid w:val="00410159"/>
    <w:rsid w:val="004104F9"/>
    <w:rsid w:val="00410A6B"/>
    <w:rsid w:val="00410D8C"/>
    <w:rsid w:val="0041102D"/>
    <w:rsid w:val="00411422"/>
    <w:rsid w:val="00411B4E"/>
    <w:rsid w:val="00412168"/>
    <w:rsid w:val="0041250D"/>
    <w:rsid w:val="0041349F"/>
    <w:rsid w:val="0041385C"/>
    <w:rsid w:val="004158C3"/>
    <w:rsid w:val="00416F34"/>
    <w:rsid w:val="00424D93"/>
    <w:rsid w:val="004251FE"/>
    <w:rsid w:val="00426AB5"/>
    <w:rsid w:val="00426E22"/>
    <w:rsid w:val="00427BF1"/>
    <w:rsid w:val="004329BD"/>
    <w:rsid w:val="00433E4E"/>
    <w:rsid w:val="00434652"/>
    <w:rsid w:val="004372A9"/>
    <w:rsid w:val="00437F8B"/>
    <w:rsid w:val="004402EA"/>
    <w:rsid w:val="0044117B"/>
    <w:rsid w:val="004439C2"/>
    <w:rsid w:val="00444CD3"/>
    <w:rsid w:val="00444FE2"/>
    <w:rsid w:val="00446B48"/>
    <w:rsid w:val="004472C8"/>
    <w:rsid w:val="00447D1D"/>
    <w:rsid w:val="0045008A"/>
    <w:rsid w:val="004502EB"/>
    <w:rsid w:val="004504A7"/>
    <w:rsid w:val="0045314F"/>
    <w:rsid w:val="004545E9"/>
    <w:rsid w:val="00455235"/>
    <w:rsid w:val="00456971"/>
    <w:rsid w:val="00460051"/>
    <w:rsid w:val="004601B6"/>
    <w:rsid w:val="00460C53"/>
    <w:rsid w:val="004622B6"/>
    <w:rsid w:val="00462AD3"/>
    <w:rsid w:val="00463371"/>
    <w:rsid w:val="00464858"/>
    <w:rsid w:val="00466CFB"/>
    <w:rsid w:val="0047222D"/>
    <w:rsid w:val="0047330C"/>
    <w:rsid w:val="00474487"/>
    <w:rsid w:val="00474A7C"/>
    <w:rsid w:val="004752A4"/>
    <w:rsid w:val="00475489"/>
    <w:rsid w:val="00475FC4"/>
    <w:rsid w:val="00476603"/>
    <w:rsid w:val="00476BDA"/>
    <w:rsid w:val="00477DE8"/>
    <w:rsid w:val="00480947"/>
    <w:rsid w:val="0048194C"/>
    <w:rsid w:val="004832C6"/>
    <w:rsid w:val="0048458D"/>
    <w:rsid w:val="00485725"/>
    <w:rsid w:val="004869DC"/>
    <w:rsid w:val="00490176"/>
    <w:rsid w:val="0049104B"/>
    <w:rsid w:val="004919F8"/>
    <w:rsid w:val="00494B37"/>
    <w:rsid w:val="00495D09"/>
    <w:rsid w:val="004971BA"/>
    <w:rsid w:val="00497363"/>
    <w:rsid w:val="00497E3A"/>
    <w:rsid w:val="004A07CF"/>
    <w:rsid w:val="004A098F"/>
    <w:rsid w:val="004A2DEB"/>
    <w:rsid w:val="004A328A"/>
    <w:rsid w:val="004A3FE2"/>
    <w:rsid w:val="004A50DA"/>
    <w:rsid w:val="004A6350"/>
    <w:rsid w:val="004A7272"/>
    <w:rsid w:val="004A7B0A"/>
    <w:rsid w:val="004B1C3B"/>
    <w:rsid w:val="004B2D81"/>
    <w:rsid w:val="004B5EB4"/>
    <w:rsid w:val="004B700B"/>
    <w:rsid w:val="004C0060"/>
    <w:rsid w:val="004C0C1E"/>
    <w:rsid w:val="004C2D93"/>
    <w:rsid w:val="004C3ECF"/>
    <w:rsid w:val="004C5810"/>
    <w:rsid w:val="004C5FBE"/>
    <w:rsid w:val="004C64E9"/>
    <w:rsid w:val="004D0DF1"/>
    <w:rsid w:val="004D242C"/>
    <w:rsid w:val="004D2564"/>
    <w:rsid w:val="004D2AB6"/>
    <w:rsid w:val="004D4123"/>
    <w:rsid w:val="004D51B7"/>
    <w:rsid w:val="004D5D28"/>
    <w:rsid w:val="004D62F4"/>
    <w:rsid w:val="004D7B89"/>
    <w:rsid w:val="004E1036"/>
    <w:rsid w:val="004E1FAC"/>
    <w:rsid w:val="004E2933"/>
    <w:rsid w:val="004E4727"/>
    <w:rsid w:val="004E679B"/>
    <w:rsid w:val="004F066C"/>
    <w:rsid w:val="004F324B"/>
    <w:rsid w:val="004F5D47"/>
    <w:rsid w:val="004F7191"/>
    <w:rsid w:val="00500883"/>
    <w:rsid w:val="00501C83"/>
    <w:rsid w:val="00505052"/>
    <w:rsid w:val="00505622"/>
    <w:rsid w:val="005075E2"/>
    <w:rsid w:val="005076CB"/>
    <w:rsid w:val="00511D33"/>
    <w:rsid w:val="00512727"/>
    <w:rsid w:val="00512A6F"/>
    <w:rsid w:val="00515694"/>
    <w:rsid w:val="0052039B"/>
    <w:rsid w:val="00521725"/>
    <w:rsid w:val="005222E3"/>
    <w:rsid w:val="00522837"/>
    <w:rsid w:val="00523807"/>
    <w:rsid w:val="005240CB"/>
    <w:rsid w:val="00524170"/>
    <w:rsid w:val="00526768"/>
    <w:rsid w:val="005320A1"/>
    <w:rsid w:val="00532FEB"/>
    <w:rsid w:val="005364DD"/>
    <w:rsid w:val="005370F2"/>
    <w:rsid w:val="00537ADB"/>
    <w:rsid w:val="00541D2A"/>
    <w:rsid w:val="00543DA8"/>
    <w:rsid w:val="0054477C"/>
    <w:rsid w:val="00544F39"/>
    <w:rsid w:val="00545765"/>
    <w:rsid w:val="005460CB"/>
    <w:rsid w:val="0054665C"/>
    <w:rsid w:val="0054759C"/>
    <w:rsid w:val="0055043F"/>
    <w:rsid w:val="00551346"/>
    <w:rsid w:val="005521FF"/>
    <w:rsid w:val="00557258"/>
    <w:rsid w:val="00557338"/>
    <w:rsid w:val="00561B26"/>
    <w:rsid w:val="00567442"/>
    <w:rsid w:val="00567841"/>
    <w:rsid w:val="00571360"/>
    <w:rsid w:val="005725CB"/>
    <w:rsid w:val="0057361E"/>
    <w:rsid w:val="00575EFC"/>
    <w:rsid w:val="005764DE"/>
    <w:rsid w:val="00576B44"/>
    <w:rsid w:val="00577BB5"/>
    <w:rsid w:val="005819E4"/>
    <w:rsid w:val="00582AB3"/>
    <w:rsid w:val="00582D3C"/>
    <w:rsid w:val="00584882"/>
    <w:rsid w:val="005864D6"/>
    <w:rsid w:val="00587564"/>
    <w:rsid w:val="00590737"/>
    <w:rsid w:val="00592473"/>
    <w:rsid w:val="005924CF"/>
    <w:rsid w:val="00592578"/>
    <w:rsid w:val="00594244"/>
    <w:rsid w:val="00595DEC"/>
    <w:rsid w:val="00596C28"/>
    <w:rsid w:val="005971B1"/>
    <w:rsid w:val="005973A9"/>
    <w:rsid w:val="00597656"/>
    <w:rsid w:val="005976D7"/>
    <w:rsid w:val="00597B5B"/>
    <w:rsid w:val="005A1C47"/>
    <w:rsid w:val="005A1ED9"/>
    <w:rsid w:val="005A23E5"/>
    <w:rsid w:val="005A2F21"/>
    <w:rsid w:val="005A4780"/>
    <w:rsid w:val="005A4DBB"/>
    <w:rsid w:val="005A5072"/>
    <w:rsid w:val="005A66C4"/>
    <w:rsid w:val="005A74B0"/>
    <w:rsid w:val="005B270E"/>
    <w:rsid w:val="005B72A7"/>
    <w:rsid w:val="005B7643"/>
    <w:rsid w:val="005C18AD"/>
    <w:rsid w:val="005C1DD9"/>
    <w:rsid w:val="005C1E6A"/>
    <w:rsid w:val="005C5990"/>
    <w:rsid w:val="005C5C91"/>
    <w:rsid w:val="005C6878"/>
    <w:rsid w:val="005C6C60"/>
    <w:rsid w:val="005C724A"/>
    <w:rsid w:val="005D0DA5"/>
    <w:rsid w:val="005D322D"/>
    <w:rsid w:val="005D54DD"/>
    <w:rsid w:val="005D70FC"/>
    <w:rsid w:val="005D7CF2"/>
    <w:rsid w:val="005D7E83"/>
    <w:rsid w:val="005E45C8"/>
    <w:rsid w:val="005E56FB"/>
    <w:rsid w:val="005E5871"/>
    <w:rsid w:val="005E72DC"/>
    <w:rsid w:val="005E7CD0"/>
    <w:rsid w:val="005F0781"/>
    <w:rsid w:val="005F085C"/>
    <w:rsid w:val="005F0FD1"/>
    <w:rsid w:val="005F1247"/>
    <w:rsid w:val="005F1D67"/>
    <w:rsid w:val="005F3BFA"/>
    <w:rsid w:val="005F42CA"/>
    <w:rsid w:val="00600C53"/>
    <w:rsid w:val="006014C6"/>
    <w:rsid w:val="0060540F"/>
    <w:rsid w:val="00605F24"/>
    <w:rsid w:val="00606D41"/>
    <w:rsid w:val="00611929"/>
    <w:rsid w:val="00611CF2"/>
    <w:rsid w:val="006133E1"/>
    <w:rsid w:val="00613DA0"/>
    <w:rsid w:val="00614F79"/>
    <w:rsid w:val="006159F6"/>
    <w:rsid w:val="006169A6"/>
    <w:rsid w:val="0062018D"/>
    <w:rsid w:val="006233C4"/>
    <w:rsid w:val="00624FB4"/>
    <w:rsid w:val="00625011"/>
    <w:rsid w:val="006261E1"/>
    <w:rsid w:val="00627394"/>
    <w:rsid w:val="00627AE8"/>
    <w:rsid w:val="006309D5"/>
    <w:rsid w:val="0063132B"/>
    <w:rsid w:val="006370E0"/>
    <w:rsid w:val="00637101"/>
    <w:rsid w:val="006378E7"/>
    <w:rsid w:val="00637A36"/>
    <w:rsid w:val="006422E4"/>
    <w:rsid w:val="0064365F"/>
    <w:rsid w:val="00643C4A"/>
    <w:rsid w:val="00643DC8"/>
    <w:rsid w:val="00646049"/>
    <w:rsid w:val="00647044"/>
    <w:rsid w:val="00650C8A"/>
    <w:rsid w:val="006510C5"/>
    <w:rsid w:val="00651AF3"/>
    <w:rsid w:val="00651E54"/>
    <w:rsid w:val="0065200A"/>
    <w:rsid w:val="00653715"/>
    <w:rsid w:val="006564D0"/>
    <w:rsid w:val="00662C96"/>
    <w:rsid w:val="00662E9A"/>
    <w:rsid w:val="006635F4"/>
    <w:rsid w:val="00663BA4"/>
    <w:rsid w:val="00667D13"/>
    <w:rsid w:val="006703AA"/>
    <w:rsid w:val="00671371"/>
    <w:rsid w:val="00672DD9"/>
    <w:rsid w:val="00675692"/>
    <w:rsid w:val="00675860"/>
    <w:rsid w:val="00682DE8"/>
    <w:rsid w:val="00682EDB"/>
    <w:rsid w:val="00682F11"/>
    <w:rsid w:val="00683F87"/>
    <w:rsid w:val="00684838"/>
    <w:rsid w:val="00684D5A"/>
    <w:rsid w:val="0069201B"/>
    <w:rsid w:val="00696235"/>
    <w:rsid w:val="006A3512"/>
    <w:rsid w:val="006A43B1"/>
    <w:rsid w:val="006A4A83"/>
    <w:rsid w:val="006A61F5"/>
    <w:rsid w:val="006B3353"/>
    <w:rsid w:val="006B3BB2"/>
    <w:rsid w:val="006B4946"/>
    <w:rsid w:val="006B4E40"/>
    <w:rsid w:val="006B51A9"/>
    <w:rsid w:val="006B6404"/>
    <w:rsid w:val="006B6D05"/>
    <w:rsid w:val="006B7E4B"/>
    <w:rsid w:val="006C3745"/>
    <w:rsid w:val="006C5041"/>
    <w:rsid w:val="006C650A"/>
    <w:rsid w:val="006C7E5C"/>
    <w:rsid w:val="006D03E4"/>
    <w:rsid w:val="006D0652"/>
    <w:rsid w:val="006D0CF4"/>
    <w:rsid w:val="006D42AD"/>
    <w:rsid w:val="006D44EF"/>
    <w:rsid w:val="006D500C"/>
    <w:rsid w:val="006D63D3"/>
    <w:rsid w:val="006E017A"/>
    <w:rsid w:val="006E4671"/>
    <w:rsid w:val="006E7229"/>
    <w:rsid w:val="006E784A"/>
    <w:rsid w:val="006E7C24"/>
    <w:rsid w:val="006F1A16"/>
    <w:rsid w:val="006F30D4"/>
    <w:rsid w:val="006F36F1"/>
    <w:rsid w:val="006F5566"/>
    <w:rsid w:val="007005EE"/>
    <w:rsid w:val="00700DDA"/>
    <w:rsid w:val="007025D7"/>
    <w:rsid w:val="007035EB"/>
    <w:rsid w:val="00704491"/>
    <w:rsid w:val="00704B9F"/>
    <w:rsid w:val="00706953"/>
    <w:rsid w:val="0071122F"/>
    <w:rsid w:val="00711A57"/>
    <w:rsid w:val="0071709C"/>
    <w:rsid w:val="00725030"/>
    <w:rsid w:val="007252C0"/>
    <w:rsid w:val="00730154"/>
    <w:rsid w:val="00731EC5"/>
    <w:rsid w:val="007349D7"/>
    <w:rsid w:val="00735045"/>
    <w:rsid w:val="00735476"/>
    <w:rsid w:val="00736D9C"/>
    <w:rsid w:val="0073798A"/>
    <w:rsid w:val="007402C1"/>
    <w:rsid w:val="007410E1"/>
    <w:rsid w:val="007427E8"/>
    <w:rsid w:val="00743688"/>
    <w:rsid w:val="00743CA1"/>
    <w:rsid w:val="00744765"/>
    <w:rsid w:val="00746A1C"/>
    <w:rsid w:val="00750DD5"/>
    <w:rsid w:val="00750FD1"/>
    <w:rsid w:val="007520A9"/>
    <w:rsid w:val="007530C1"/>
    <w:rsid w:val="00753FDB"/>
    <w:rsid w:val="0075467B"/>
    <w:rsid w:val="00755451"/>
    <w:rsid w:val="00756258"/>
    <w:rsid w:val="007568CF"/>
    <w:rsid w:val="00757074"/>
    <w:rsid w:val="00757492"/>
    <w:rsid w:val="0076019B"/>
    <w:rsid w:val="00762CD2"/>
    <w:rsid w:val="00764716"/>
    <w:rsid w:val="00765348"/>
    <w:rsid w:val="00765373"/>
    <w:rsid w:val="00767B0B"/>
    <w:rsid w:val="007711CB"/>
    <w:rsid w:val="007721F0"/>
    <w:rsid w:val="00775384"/>
    <w:rsid w:val="00777101"/>
    <w:rsid w:val="007775BC"/>
    <w:rsid w:val="0078135A"/>
    <w:rsid w:val="007879BF"/>
    <w:rsid w:val="00790C89"/>
    <w:rsid w:val="00793DB9"/>
    <w:rsid w:val="007956AB"/>
    <w:rsid w:val="00796C70"/>
    <w:rsid w:val="007972C6"/>
    <w:rsid w:val="00797B54"/>
    <w:rsid w:val="007A14B5"/>
    <w:rsid w:val="007A32B4"/>
    <w:rsid w:val="007A4075"/>
    <w:rsid w:val="007A6513"/>
    <w:rsid w:val="007B0F66"/>
    <w:rsid w:val="007B1898"/>
    <w:rsid w:val="007B1C8F"/>
    <w:rsid w:val="007B269A"/>
    <w:rsid w:val="007B6A5C"/>
    <w:rsid w:val="007C15C4"/>
    <w:rsid w:val="007C1DE8"/>
    <w:rsid w:val="007C2FCA"/>
    <w:rsid w:val="007C5F2B"/>
    <w:rsid w:val="007C614C"/>
    <w:rsid w:val="007C6DCE"/>
    <w:rsid w:val="007C71C9"/>
    <w:rsid w:val="007C7662"/>
    <w:rsid w:val="007C793E"/>
    <w:rsid w:val="007D2B90"/>
    <w:rsid w:val="007D6265"/>
    <w:rsid w:val="007D75F8"/>
    <w:rsid w:val="007D7EB2"/>
    <w:rsid w:val="007E0CC8"/>
    <w:rsid w:val="007E1EEB"/>
    <w:rsid w:val="007E2C12"/>
    <w:rsid w:val="007E2CF1"/>
    <w:rsid w:val="007E2DA8"/>
    <w:rsid w:val="007E52CC"/>
    <w:rsid w:val="007E5A94"/>
    <w:rsid w:val="007F07CF"/>
    <w:rsid w:val="007F090D"/>
    <w:rsid w:val="007F11DB"/>
    <w:rsid w:val="007F1F32"/>
    <w:rsid w:val="007F25C3"/>
    <w:rsid w:val="007F3CE2"/>
    <w:rsid w:val="007F4EDE"/>
    <w:rsid w:val="007F7641"/>
    <w:rsid w:val="00800F79"/>
    <w:rsid w:val="0080161B"/>
    <w:rsid w:val="00805D84"/>
    <w:rsid w:val="00805E49"/>
    <w:rsid w:val="00806598"/>
    <w:rsid w:val="008068C8"/>
    <w:rsid w:val="00806D9B"/>
    <w:rsid w:val="00810DFD"/>
    <w:rsid w:val="00812F48"/>
    <w:rsid w:val="008131A4"/>
    <w:rsid w:val="00813D4F"/>
    <w:rsid w:val="0081648D"/>
    <w:rsid w:val="008164CC"/>
    <w:rsid w:val="008178D9"/>
    <w:rsid w:val="00821FA8"/>
    <w:rsid w:val="0082264D"/>
    <w:rsid w:val="008235CC"/>
    <w:rsid w:val="008247DD"/>
    <w:rsid w:val="00824C70"/>
    <w:rsid w:val="008252D2"/>
    <w:rsid w:val="0082597E"/>
    <w:rsid w:val="00825D53"/>
    <w:rsid w:val="00827493"/>
    <w:rsid w:val="008304C7"/>
    <w:rsid w:val="00831F17"/>
    <w:rsid w:val="0083347F"/>
    <w:rsid w:val="008335B1"/>
    <w:rsid w:val="008357DF"/>
    <w:rsid w:val="00836022"/>
    <w:rsid w:val="0083638F"/>
    <w:rsid w:val="00840180"/>
    <w:rsid w:val="00842AAD"/>
    <w:rsid w:val="00843ADE"/>
    <w:rsid w:val="00845004"/>
    <w:rsid w:val="00846D1D"/>
    <w:rsid w:val="0084795B"/>
    <w:rsid w:val="0085231C"/>
    <w:rsid w:val="0085341A"/>
    <w:rsid w:val="00853FA1"/>
    <w:rsid w:val="00854A57"/>
    <w:rsid w:val="00854C6F"/>
    <w:rsid w:val="008557FC"/>
    <w:rsid w:val="008558DB"/>
    <w:rsid w:val="00855A6C"/>
    <w:rsid w:val="00856986"/>
    <w:rsid w:val="008609A7"/>
    <w:rsid w:val="0086132A"/>
    <w:rsid w:val="00862E76"/>
    <w:rsid w:val="0086390D"/>
    <w:rsid w:val="008664CC"/>
    <w:rsid w:val="008700A9"/>
    <w:rsid w:val="00870CBD"/>
    <w:rsid w:val="00871401"/>
    <w:rsid w:val="00873FD4"/>
    <w:rsid w:val="00874C54"/>
    <w:rsid w:val="00874EEE"/>
    <w:rsid w:val="00875F69"/>
    <w:rsid w:val="0087606B"/>
    <w:rsid w:val="00877A77"/>
    <w:rsid w:val="0088008D"/>
    <w:rsid w:val="0088352E"/>
    <w:rsid w:val="00884910"/>
    <w:rsid w:val="0088673E"/>
    <w:rsid w:val="008909BF"/>
    <w:rsid w:val="0089188D"/>
    <w:rsid w:val="008919D4"/>
    <w:rsid w:val="008927C0"/>
    <w:rsid w:val="00894247"/>
    <w:rsid w:val="0089517C"/>
    <w:rsid w:val="008957B8"/>
    <w:rsid w:val="008959B1"/>
    <w:rsid w:val="00897A17"/>
    <w:rsid w:val="008A0E81"/>
    <w:rsid w:val="008A11E6"/>
    <w:rsid w:val="008A50B9"/>
    <w:rsid w:val="008A5E89"/>
    <w:rsid w:val="008B132A"/>
    <w:rsid w:val="008B646B"/>
    <w:rsid w:val="008B7711"/>
    <w:rsid w:val="008B7BCB"/>
    <w:rsid w:val="008C0352"/>
    <w:rsid w:val="008C0BC5"/>
    <w:rsid w:val="008C2174"/>
    <w:rsid w:val="008C6365"/>
    <w:rsid w:val="008C7245"/>
    <w:rsid w:val="008C77A3"/>
    <w:rsid w:val="008D0C81"/>
    <w:rsid w:val="008D1E36"/>
    <w:rsid w:val="008D211B"/>
    <w:rsid w:val="008D2B0E"/>
    <w:rsid w:val="008D2E94"/>
    <w:rsid w:val="008D4A04"/>
    <w:rsid w:val="008D5BF6"/>
    <w:rsid w:val="008E114A"/>
    <w:rsid w:val="008E162C"/>
    <w:rsid w:val="008E41B6"/>
    <w:rsid w:val="008E5705"/>
    <w:rsid w:val="008E5E6E"/>
    <w:rsid w:val="008E6016"/>
    <w:rsid w:val="008E6296"/>
    <w:rsid w:val="008E6CEB"/>
    <w:rsid w:val="008F0275"/>
    <w:rsid w:val="008F1AA2"/>
    <w:rsid w:val="008F2457"/>
    <w:rsid w:val="008F3293"/>
    <w:rsid w:val="008F414F"/>
    <w:rsid w:val="0090194C"/>
    <w:rsid w:val="00903491"/>
    <w:rsid w:val="009038F5"/>
    <w:rsid w:val="00904F73"/>
    <w:rsid w:val="009074D6"/>
    <w:rsid w:val="009109B1"/>
    <w:rsid w:val="0091446F"/>
    <w:rsid w:val="009159E3"/>
    <w:rsid w:val="00916CB8"/>
    <w:rsid w:val="00917A23"/>
    <w:rsid w:val="00922C8B"/>
    <w:rsid w:val="00922D2F"/>
    <w:rsid w:val="00923742"/>
    <w:rsid w:val="009242E8"/>
    <w:rsid w:val="00924B58"/>
    <w:rsid w:val="00925811"/>
    <w:rsid w:val="00927008"/>
    <w:rsid w:val="009273CB"/>
    <w:rsid w:val="00927F2C"/>
    <w:rsid w:val="009304EB"/>
    <w:rsid w:val="0093137D"/>
    <w:rsid w:val="00931958"/>
    <w:rsid w:val="00931B88"/>
    <w:rsid w:val="009355F3"/>
    <w:rsid w:val="0093765C"/>
    <w:rsid w:val="0094057F"/>
    <w:rsid w:val="009406C4"/>
    <w:rsid w:val="00940A3B"/>
    <w:rsid w:val="00941F6C"/>
    <w:rsid w:val="00942040"/>
    <w:rsid w:val="009429E2"/>
    <w:rsid w:val="00943BAD"/>
    <w:rsid w:val="009502AB"/>
    <w:rsid w:val="00950418"/>
    <w:rsid w:val="00950759"/>
    <w:rsid w:val="0095227D"/>
    <w:rsid w:val="009524F3"/>
    <w:rsid w:val="00952BB1"/>
    <w:rsid w:val="009538BB"/>
    <w:rsid w:val="00954708"/>
    <w:rsid w:val="00954F8F"/>
    <w:rsid w:val="00956F36"/>
    <w:rsid w:val="009601D5"/>
    <w:rsid w:val="009606F2"/>
    <w:rsid w:val="009607E8"/>
    <w:rsid w:val="009610FC"/>
    <w:rsid w:val="0096396F"/>
    <w:rsid w:val="00970842"/>
    <w:rsid w:val="00970AC7"/>
    <w:rsid w:val="00973A8A"/>
    <w:rsid w:val="00974CD7"/>
    <w:rsid w:val="00974D0A"/>
    <w:rsid w:val="009773C6"/>
    <w:rsid w:val="0098076C"/>
    <w:rsid w:val="00980CC9"/>
    <w:rsid w:val="00983D13"/>
    <w:rsid w:val="00985B19"/>
    <w:rsid w:val="009862E7"/>
    <w:rsid w:val="00987628"/>
    <w:rsid w:val="00987D53"/>
    <w:rsid w:val="00990ABF"/>
    <w:rsid w:val="00991402"/>
    <w:rsid w:val="00991DE2"/>
    <w:rsid w:val="00991E5E"/>
    <w:rsid w:val="0099209D"/>
    <w:rsid w:val="0099520D"/>
    <w:rsid w:val="00997502"/>
    <w:rsid w:val="0099772D"/>
    <w:rsid w:val="009A191E"/>
    <w:rsid w:val="009A4135"/>
    <w:rsid w:val="009A536B"/>
    <w:rsid w:val="009A6279"/>
    <w:rsid w:val="009A7E04"/>
    <w:rsid w:val="009B10A1"/>
    <w:rsid w:val="009B1717"/>
    <w:rsid w:val="009B1953"/>
    <w:rsid w:val="009B23B5"/>
    <w:rsid w:val="009B6E0B"/>
    <w:rsid w:val="009B7422"/>
    <w:rsid w:val="009B7604"/>
    <w:rsid w:val="009B7954"/>
    <w:rsid w:val="009C0038"/>
    <w:rsid w:val="009C176E"/>
    <w:rsid w:val="009C1FDD"/>
    <w:rsid w:val="009C25B7"/>
    <w:rsid w:val="009C292E"/>
    <w:rsid w:val="009C380F"/>
    <w:rsid w:val="009C428A"/>
    <w:rsid w:val="009C55AC"/>
    <w:rsid w:val="009C70E0"/>
    <w:rsid w:val="009D093E"/>
    <w:rsid w:val="009D688D"/>
    <w:rsid w:val="009E2D2E"/>
    <w:rsid w:val="009E3C4F"/>
    <w:rsid w:val="009E4842"/>
    <w:rsid w:val="009E71C6"/>
    <w:rsid w:val="009F01CF"/>
    <w:rsid w:val="009F0637"/>
    <w:rsid w:val="009F1358"/>
    <w:rsid w:val="009F14B7"/>
    <w:rsid w:val="009F2B57"/>
    <w:rsid w:val="009F3C6D"/>
    <w:rsid w:val="009F7542"/>
    <w:rsid w:val="00A0031E"/>
    <w:rsid w:val="00A029C1"/>
    <w:rsid w:val="00A03472"/>
    <w:rsid w:val="00A05601"/>
    <w:rsid w:val="00A10707"/>
    <w:rsid w:val="00A10CEF"/>
    <w:rsid w:val="00A11CFC"/>
    <w:rsid w:val="00A1290A"/>
    <w:rsid w:val="00A13635"/>
    <w:rsid w:val="00A14C9D"/>
    <w:rsid w:val="00A16150"/>
    <w:rsid w:val="00A176D8"/>
    <w:rsid w:val="00A21BCC"/>
    <w:rsid w:val="00A22492"/>
    <w:rsid w:val="00A253A8"/>
    <w:rsid w:val="00A25EE9"/>
    <w:rsid w:val="00A27844"/>
    <w:rsid w:val="00A30994"/>
    <w:rsid w:val="00A311AB"/>
    <w:rsid w:val="00A32928"/>
    <w:rsid w:val="00A32ED2"/>
    <w:rsid w:val="00A40843"/>
    <w:rsid w:val="00A408E4"/>
    <w:rsid w:val="00A444EF"/>
    <w:rsid w:val="00A45C23"/>
    <w:rsid w:val="00A50248"/>
    <w:rsid w:val="00A5041B"/>
    <w:rsid w:val="00A50732"/>
    <w:rsid w:val="00A51F85"/>
    <w:rsid w:val="00A55273"/>
    <w:rsid w:val="00A5764E"/>
    <w:rsid w:val="00A578EB"/>
    <w:rsid w:val="00A5798A"/>
    <w:rsid w:val="00A60DDE"/>
    <w:rsid w:val="00A60EA0"/>
    <w:rsid w:val="00A630D7"/>
    <w:rsid w:val="00A632B1"/>
    <w:rsid w:val="00A64C1C"/>
    <w:rsid w:val="00A66453"/>
    <w:rsid w:val="00A67C90"/>
    <w:rsid w:val="00A67F18"/>
    <w:rsid w:val="00A71CA9"/>
    <w:rsid w:val="00A71F0B"/>
    <w:rsid w:val="00A73A68"/>
    <w:rsid w:val="00A73C6E"/>
    <w:rsid w:val="00A748D9"/>
    <w:rsid w:val="00A76939"/>
    <w:rsid w:val="00A7754E"/>
    <w:rsid w:val="00A775F8"/>
    <w:rsid w:val="00A801A1"/>
    <w:rsid w:val="00A80477"/>
    <w:rsid w:val="00A82EBF"/>
    <w:rsid w:val="00A834B7"/>
    <w:rsid w:val="00A83D01"/>
    <w:rsid w:val="00A853A7"/>
    <w:rsid w:val="00A86E82"/>
    <w:rsid w:val="00A9026E"/>
    <w:rsid w:val="00A908B1"/>
    <w:rsid w:val="00A90C68"/>
    <w:rsid w:val="00A90F5B"/>
    <w:rsid w:val="00A915C1"/>
    <w:rsid w:val="00A9231B"/>
    <w:rsid w:val="00A92AE6"/>
    <w:rsid w:val="00A93782"/>
    <w:rsid w:val="00A9701C"/>
    <w:rsid w:val="00A97FA9"/>
    <w:rsid w:val="00AA2EF5"/>
    <w:rsid w:val="00AA38D9"/>
    <w:rsid w:val="00AA46C4"/>
    <w:rsid w:val="00AA5E84"/>
    <w:rsid w:val="00AB0DD8"/>
    <w:rsid w:val="00AB126E"/>
    <w:rsid w:val="00AB1F70"/>
    <w:rsid w:val="00AB284A"/>
    <w:rsid w:val="00AB348E"/>
    <w:rsid w:val="00AB3C2A"/>
    <w:rsid w:val="00AB4980"/>
    <w:rsid w:val="00AB5C33"/>
    <w:rsid w:val="00AB7333"/>
    <w:rsid w:val="00AB7EF5"/>
    <w:rsid w:val="00AC00B5"/>
    <w:rsid w:val="00AC22D4"/>
    <w:rsid w:val="00AC2A61"/>
    <w:rsid w:val="00AC4E5E"/>
    <w:rsid w:val="00AC5BBB"/>
    <w:rsid w:val="00AD0B32"/>
    <w:rsid w:val="00AD12A3"/>
    <w:rsid w:val="00AD3E5E"/>
    <w:rsid w:val="00AE0FF2"/>
    <w:rsid w:val="00AE301E"/>
    <w:rsid w:val="00AE47D6"/>
    <w:rsid w:val="00AE4CAC"/>
    <w:rsid w:val="00AE55A4"/>
    <w:rsid w:val="00AF0372"/>
    <w:rsid w:val="00AF0E20"/>
    <w:rsid w:val="00AF2A52"/>
    <w:rsid w:val="00AF75FA"/>
    <w:rsid w:val="00B00664"/>
    <w:rsid w:val="00B01802"/>
    <w:rsid w:val="00B0245E"/>
    <w:rsid w:val="00B04177"/>
    <w:rsid w:val="00B06D6D"/>
    <w:rsid w:val="00B10D51"/>
    <w:rsid w:val="00B11BCC"/>
    <w:rsid w:val="00B135F3"/>
    <w:rsid w:val="00B13712"/>
    <w:rsid w:val="00B15961"/>
    <w:rsid w:val="00B202CD"/>
    <w:rsid w:val="00B20830"/>
    <w:rsid w:val="00B208E6"/>
    <w:rsid w:val="00B23236"/>
    <w:rsid w:val="00B23C05"/>
    <w:rsid w:val="00B2560B"/>
    <w:rsid w:val="00B31D68"/>
    <w:rsid w:val="00B336E3"/>
    <w:rsid w:val="00B33FFB"/>
    <w:rsid w:val="00B34336"/>
    <w:rsid w:val="00B345AC"/>
    <w:rsid w:val="00B35B23"/>
    <w:rsid w:val="00B36527"/>
    <w:rsid w:val="00B37BB7"/>
    <w:rsid w:val="00B40C91"/>
    <w:rsid w:val="00B41AF0"/>
    <w:rsid w:val="00B41CAD"/>
    <w:rsid w:val="00B434CB"/>
    <w:rsid w:val="00B443CD"/>
    <w:rsid w:val="00B4556A"/>
    <w:rsid w:val="00B46012"/>
    <w:rsid w:val="00B46498"/>
    <w:rsid w:val="00B50057"/>
    <w:rsid w:val="00B5057D"/>
    <w:rsid w:val="00B50E2B"/>
    <w:rsid w:val="00B51A04"/>
    <w:rsid w:val="00B51FFD"/>
    <w:rsid w:val="00B539A7"/>
    <w:rsid w:val="00B547C8"/>
    <w:rsid w:val="00B561B0"/>
    <w:rsid w:val="00B56EA2"/>
    <w:rsid w:val="00B6019C"/>
    <w:rsid w:val="00B61E5C"/>
    <w:rsid w:val="00B631CB"/>
    <w:rsid w:val="00B656A2"/>
    <w:rsid w:val="00B65ED8"/>
    <w:rsid w:val="00B6602A"/>
    <w:rsid w:val="00B660FC"/>
    <w:rsid w:val="00B67E3E"/>
    <w:rsid w:val="00B70025"/>
    <w:rsid w:val="00B70EBD"/>
    <w:rsid w:val="00B7267F"/>
    <w:rsid w:val="00B733BF"/>
    <w:rsid w:val="00B745E6"/>
    <w:rsid w:val="00B756B5"/>
    <w:rsid w:val="00B76BAA"/>
    <w:rsid w:val="00B8483E"/>
    <w:rsid w:val="00B849CE"/>
    <w:rsid w:val="00B85D84"/>
    <w:rsid w:val="00B8738E"/>
    <w:rsid w:val="00B87846"/>
    <w:rsid w:val="00B93458"/>
    <w:rsid w:val="00B95C43"/>
    <w:rsid w:val="00B97D24"/>
    <w:rsid w:val="00BA066D"/>
    <w:rsid w:val="00BA27CF"/>
    <w:rsid w:val="00BA578A"/>
    <w:rsid w:val="00BB2DB1"/>
    <w:rsid w:val="00BB3950"/>
    <w:rsid w:val="00BB4B30"/>
    <w:rsid w:val="00BB5678"/>
    <w:rsid w:val="00BC0BE0"/>
    <w:rsid w:val="00BC0DD6"/>
    <w:rsid w:val="00BC12EF"/>
    <w:rsid w:val="00BC1D68"/>
    <w:rsid w:val="00BC23B6"/>
    <w:rsid w:val="00BC24FC"/>
    <w:rsid w:val="00BC2E8A"/>
    <w:rsid w:val="00BC2F1E"/>
    <w:rsid w:val="00BC3A6C"/>
    <w:rsid w:val="00BC3C5F"/>
    <w:rsid w:val="00BC3D73"/>
    <w:rsid w:val="00BC564E"/>
    <w:rsid w:val="00BC678A"/>
    <w:rsid w:val="00BC788B"/>
    <w:rsid w:val="00BD12D9"/>
    <w:rsid w:val="00BD24EB"/>
    <w:rsid w:val="00BD37C7"/>
    <w:rsid w:val="00BD4D37"/>
    <w:rsid w:val="00BD5266"/>
    <w:rsid w:val="00BD76C7"/>
    <w:rsid w:val="00BE01FF"/>
    <w:rsid w:val="00BE2753"/>
    <w:rsid w:val="00BE3673"/>
    <w:rsid w:val="00BE3968"/>
    <w:rsid w:val="00BE4AC0"/>
    <w:rsid w:val="00BE50FF"/>
    <w:rsid w:val="00BF166B"/>
    <w:rsid w:val="00BF331B"/>
    <w:rsid w:val="00BF6DB3"/>
    <w:rsid w:val="00C00EAF"/>
    <w:rsid w:val="00C0158E"/>
    <w:rsid w:val="00C01CC3"/>
    <w:rsid w:val="00C0215E"/>
    <w:rsid w:val="00C03408"/>
    <w:rsid w:val="00C04CED"/>
    <w:rsid w:val="00C06340"/>
    <w:rsid w:val="00C1002C"/>
    <w:rsid w:val="00C12FB5"/>
    <w:rsid w:val="00C145B7"/>
    <w:rsid w:val="00C15ECA"/>
    <w:rsid w:val="00C20D73"/>
    <w:rsid w:val="00C22642"/>
    <w:rsid w:val="00C22C94"/>
    <w:rsid w:val="00C27834"/>
    <w:rsid w:val="00C32F55"/>
    <w:rsid w:val="00C33252"/>
    <w:rsid w:val="00C33348"/>
    <w:rsid w:val="00C335FA"/>
    <w:rsid w:val="00C42074"/>
    <w:rsid w:val="00C422BA"/>
    <w:rsid w:val="00C424DE"/>
    <w:rsid w:val="00C4316B"/>
    <w:rsid w:val="00C43E88"/>
    <w:rsid w:val="00C4580D"/>
    <w:rsid w:val="00C4618D"/>
    <w:rsid w:val="00C47ED2"/>
    <w:rsid w:val="00C51782"/>
    <w:rsid w:val="00C52CEE"/>
    <w:rsid w:val="00C551E0"/>
    <w:rsid w:val="00C57C0F"/>
    <w:rsid w:val="00C605B6"/>
    <w:rsid w:val="00C66224"/>
    <w:rsid w:val="00C71236"/>
    <w:rsid w:val="00C73AC1"/>
    <w:rsid w:val="00C73F02"/>
    <w:rsid w:val="00C744D1"/>
    <w:rsid w:val="00C75EAC"/>
    <w:rsid w:val="00C7757F"/>
    <w:rsid w:val="00C77D66"/>
    <w:rsid w:val="00C82EBD"/>
    <w:rsid w:val="00C83E9B"/>
    <w:rsid w:val="00C842BE"/>
    <w:rsid w:val="00C848BE"/>
    <w:rsid w:val="00C871C9"/>
    <w:rsid w:val="00C90EF8"/>
    <w:rsid w:val="00C92F4A"/>
    <w:rsid w:val="00C975A9"/>
    <w:rsid w:val="00CA042B"/>
    <w:rsid w:val="00CA1727"/>
    <w:rsid w:val="00CA1DEB"/>
    <w:rsid w:val="00CA45A6"/>
    <w:rsid w:val="00CA48FD"/>
    <w:rsid w:val="00CA644D"/>
    <w:rsid w:val="00CB01B2"/>
    <w:rsid w:val="00CB0AC7"/>
    <w:rsid w:val="00CB3B60"/>
    <w:rsid w:val="00CB686B"/>
    <w:rsid w:val="00CC3081"/>
    <w:rsid w:val="00CC324C"/>
    <w:rsid w:val="00CC41E6"/>
    <w:rsid w:val="00CC4274"/>
    <w:rsid w:val="00CC59B1"/>
    <w:rsid w:val="00CC5C13"/>
    <w:rsid w:val="00CC5C6F"/>
    <w:rsid w:val="00CC64D7"/>
    <w:rsid w:val="00CC71C2"/>
    <w:rsid w:val="00CC7770"/>
    <w:rsid w:val="00CC7AD1"/>
    <w:rsid w:val="00CC7BBE"/>
    <w:rsid w:val="00CD186E"/>
    <w:rsid w:val="00CD3E35"/>
    <w:rsid w:val="00CD4288"/>
    <w:rsid w:val="00CD4460"/>
    <w:rsid w:val="00CE16B5"/>
    <w:rsid w:val="00CE272A"/>
    <w:rsid w:val="00CE4752"/>
    <w:rsid w:val="00CE4D86"/>
    <w:rsid w:val="00CE5B21"/>
    <w:rsid w:val="00CE6D27"/>
    <w:rsid w:val="00CE6E43"/>
    <w:rsid w:val="00CF0776"/>
    <w:rsid w:val="00CF2A78"/>
    <w:rsid w:val="00CF3BCB"/>
    <w:rsid w:val="00CF4673"/>
    <w:rsid w:val="00CF5691"/>
    <w:rsid w:val="00CF5CF2"/>
    <w:rsid w:val="00CF6714"/>
    <w:rsid w:val="00CF68AA"/>
    <w:rsid w:val="00D00806"/>
    <w:rsid w:val="00D01197"/>
    <w:rsid w:val="00D011B5"/>
    <w:rsid w:val="00D03150"/>
    <w:rsid w:val="00D05B8C"/>
    <w:rsid w:val="00D05C0A"/>
    <w:rsid w:val="00D10AF6"/>
    <w:rsid w:val="00D10C98"/>
    <w:rsid w:val="00D13234"/>
    <w:rsid w:val="00D13A5F"/>
    <w:rsid w:val="00D13D2B"/>
    <w:rsid w:val="00D147EF"/>
    <w:rsid w:val="00D17C74"/>
    <w:rsid w:val="00D210AC"/>
    <w:rsid w:val="00D2584D"/>
    <w:rsid w:val="00D30A5F"/>
    <w:rsid w:val="00D30C37"/>
    <w:rsid w:val="00D32E05"/>
    <w:rsid w:val="00D339FB"/>
    <w:rsid w:val="00D3503B"/>
    <w:rsid w:val="00D4007C"/>
    <w:rsid w:val="00D40A88"/>
    <w:rsid w:val="00D40DF3"/>
    <w:rsid w:val="00D414A6"/>
    <w:rsid w:val="00D426A1"/>
    <w:rsid w:val="00D43BBD"/>
    <w:rsid w:val="00D52DBC"/>
    <w:rsid w:val="00D556CD"/>
    <w:rsid w:val="00D5738B"/>
    <w:rsid w:val="00D60783"/>
    <w:rsid w:val="00D613F8"/>
    <w:rsid w:val="00D616CA"/>
    <w:rsid w:val="00D63E59"/>
    <w:rsid w:val="00D64705"/>
    <w:rsid w:val="00D64C4D"/>
    <w:rsid w:val="00D65507"/>
    <w:rsid w:val="00D667C6"/>
    <w:rsid w:val="00D66DFD"/>
    <w:rsid w:val="00D715DA"/>
    <w:rsid w:val="00D72A31"/>
    <w:rsid w:val="00D73B3A"/>
    <w:rsid w:val="00D758EB"/>
    <w:rsid w:val="00D75BB6"/>
    <w:rsid w:val="00D7635A"/>
    <w:rsid w:val="00D8512D"/>
    <w:rsid w:val="00D85EA1"/>
    <w:rsid w:val="00D867CA"/>
    <w:rsid w:val="00D86E2E"/>
    <w:rsid w:val="00D94261"/>
    <w:rsid w:val="00D959F2"/>
    <w:rsid w:val="00D96490"/>
    <w:rsid w:val="00DA01BE"/>
    <w:rsid w:val="00DA3ED0"/>
    <w:rsid w:val="00DA48D0"/>
    <w:rsid w:val="00DA513C"/>
    <w:rsid w:val="00DA7354"/>
    <w:rsid w:val="00DA759B"/>
    <w:rsid w:val="00DB1641"/>
    <w:rsid w:val="00DB3915"/>
    <w:rsid w:val="00DB40DB"/>
    <w:rsid w:val="00DB5F1F"/>
    <w:rsid w:val="00DB71C4"/>
    <w:rsid w:val="00DC1AA0"/>
    <w:rsid w:val="00DD2648"/>
    <w:rsid w:val="00DD3CDE"/>
    <w:rsid w:val="00DD4645"/>
    <w:rsid w:val="00DE00F8"/>
    <w:rsid w:val="00DE0B51"/>
    <w:rsid w:val="00DE1FB8"/>
    <w:rsid w:val="00DE2082"/>
    <w:rsid w:val="00DE4D2B"/>
    <w:rsid w:val="00DF000B"/>
    <w:rsid w:val="00DF2C5D"/>
    <w:rsid w:val="00DF3FD1"/>
    <w:rsid w:val="00DF48FF"/>
    <w:rsid w:val="00DF491C"/>
    <w:rsid w:val="00DF4D4A"/>
    <w:rsid w:val="00DF59A6"/>
    <w:rsid w:val="00E0017A"/>
    <w:rsid w:val="00E008BB"/>
    <w:rsid w:val="00E03051"/>
    <w:rsid w:val="00E03F05"/>
    <w:rsid w:val="00E048F9"/>
    <w:rsid w:val="00E067BF"/>
    <w:rsid w:val="00E0702F"/>
    <w:rsid w:val="00E104B4"/>
    <w:rsid w:val="00E10E28"/>
    <w:rsid w:val="00E12995"/>
    <w:rsid w:val="00E13BB0"/>
    <w:rsid w:val="00E14499"/>
    <w:rsid w:val="00E1471B"/>
    <w:rsid w:val="00E15C03"/>
    <w:rsid w:val="00E16904"/>
    <w:rsid w:val="00E17408"/>
    <w:rsid w:val="00E2168E"/>
    <w:rsid w:val="00E21D42"/>
    <w:rsid w:val="00E220D4"/>
    <w:rsid w:val="00E24C94"/>
    <w:rsid w:val="00E25B1F"/>
    <w:rsid w:val="00E2733F"/>
    <w:rsid w:val="00E27552"/>
    <w:rsid w:val="00E303B6"/>
    <w:rsid w:val="00E32402"/>
    <w:rsid w:val="00E33DF1"/>
    <w:rsid w:val="00E3404C"/>
    <w:rsid w:val="00E3480A"/>
    <w:rsid w:val="00E367B8"/>
    <w:rsid w:val="00E403E6"/>
    <w:rsid w:val="00E40422"/>
    <w:rsid w:val="00E430A9"/>
    <w:rsid w:val="00E4608E"/>
    <w:rsid w:val="00E46426"/>
    <w:rsid w:val="00E46691"/>
    <w:rsid w:val="00E47D44"/>
    <w:rsid w:val="00E47F7E"/>
    <w:rsid w:val="00E5037F"/>
    <w:rsid w:val="00E51BC3"/>
    <w:rsid w:val="00E520A9"/>
    <w:rsid w:val="00E53692"/>
    <w:rsid w:val="00E57B03"/>
    <w:rsid w:val="00E610B8"/>
    <w:rsid w:val="00E654EC"/>
    <w:rsid w:val="00E65DFC"/>
    <w:rsid w:val="00E66EA1"/>
    <w:rsid w:val="00E66F6C"/>
    <w:rsid w:val="00E70B4A"/>
    <w:rsid w:val="00E737EB"/>
    <w:rsid w:val="00E73CC1"/>
    <w:rsid w:val="00E73FEB"/>
    <w:rsid w:val="00E74780"/>
    <w:rsid w:val="00E7578F"/>
    <w:rsid w:val="00E80BC2"/>
    <w:rsid w:val="00E81185"/>
    <w:rsid w:val="00E83ABD"/>
    <w:rsid w:val="00E84089"/>
    <w:rsid w:val="00E84199"/>
    <w:rsid w:val="00E84D41"/>
    <w:rsid w:val="00E86531"/>
    <w:rsid w:val="00E86A47"/>
    <w:rsid w:val="00E87AA1"/>
    <w:rsid w:val="00E93C3C"/>
    <w:rsid w:val="00E943B3"/>
    <w:rsid w:val="00E95B9B"/>
    <w:rsid w:val="00E974B1"/>
    <w:rsid w:val="00E97B5F"/>
    <w:rsid w:val="00E97C70"/>
    <w:rsid w:val="00EA0E21"/>
    <w:rsid w:val="00EA3FF6"/>
    <w:rsid w:val="00EA59DC"/>
    <w:rsid w:val="00EB197B"/>
    <w:rsid w:val="00EB229D"/>
    <w:rsid w:val="00EB4854"/>
    <w:rsid w:val="00EB5CA5"/>
    <w:rsid w:val="00EB685D"/>
    <w:rsid w:val="00EB76DE"/>
    <w:rsid w:val="00EC012A"/>
    <w:rsid w:val="00EC0365"/>
    <w:rsid w:val="00EC123A"/>
    <w:rsid w:val="00EC14D5"/>
    <w:rsid w:val="00EC163F"/>
    <w:rsid w:val="00EC2BE5"/>
    <w:rsid w:val="00EC43AC"/>
    <w:rsid w:val="00EC68B3"/>
    <w:rsid w:val="00EC71E1"/>
    <w:rsid w:val="00EC74A7"/>
    <w:rsid w:val="00ED340C"/>
    <w:rsid w:val="00ED3A9C"/>
    <w:rsid w:val="00ED6375"/>
    <w:rsid w:val="00ED6F3E"/>
    <w:rsid w:val="00ED7465"/>
    <w:rsid w:val="00EE2FBE"/>
    <w:rsid w:val="00EE3B7A"/>
    <w:rsid w:val="00EE46B0"/>
    <w:rsid w:val="00EE4B9B"/>
    <w:rsid w:val="00EE5B41"/>
    <w:rsid w:val="00EE676F"/>
    <w:rsid w:val="00EE7328"/>
    <w:rsid w:val="00EF3430"/>
    <w:rsid w:val="00EF7259"/>
    <w:rsid w:val="00F00669"/>
    <w:rsid w:val="00F00E3A"/>
    <w:rsid w:val="00F02A41"/>
    <w:rsid w:val="00F05443"/>
    <w:rsid w:val="00F06AD1"/>
    <w:rsid w:val="00F11F67"/>
    <w:rsid w:val="00F133D9"/>
    <w:rsid w:val="00F17602"/>
    <w:rsid w:val="00F20F57"/>
    <w:rsid w:val="00F218BF"/>
    <w:rsid w:val="00F27452"/>
    <w:rsid w:val="00F27A83"/>
    <w:rsid w:val="00F30184"/>
    <w:rsid w:val="00F3214C"/>
    <w:rsid w:val="00F34884"/>
    <w:rsid w:val="00F362E0"/>
    <w:rsid w:val="00F37161"/>
    <w:rsid w:val="00F40370"/>
    <w:rsid w:val="00F41544"/>
    <w:rsid w:val="00F41CC9"/>
    <w:rsid w:val="00F41E10"/>
    <w:rsid w:val="00F41EF6"/>
    <w:rsid w:val="00F46E08"/>
    <w:rsid w:val="00F4778B"/>
    <w:rsid w:val="00F47EB1"/>
    <w:rsid w:val="00F47F7C"/>
    <w:rsid w:val="00F5034B"/>
    <w:rsid w:val="00F532A1"/>
    <w:rsid w:val="00F53724"/>
    <w:rsid w:val="00F53DB9"/>
    <w:rsid w:val="00F545B3"/>
    <w:rsid w:val="00F551E8"/>
    <w:rsid w:val="00F56B59"/>
    <w:rsid w:val="00F57E89"/>
    <w:rsid w:val="00F601C3"/>
    <w:rsid w:val="00F616A5"/>
    <w:rsid w:val="00F62668"/>
    <w:rsid w:val="00F63D94"/>
    <w:rsid w:val="00F6604D"/>
    <w:rsid w:val="00F66F89"/>
    <w:rsid w:val="00F73130"/>
    <w:rsid w:val="00F7674B"/>
    <w:rsid w:val="00F827E0"/>
    <w:rsid w:val="00F827E9"/>
    <w:rsid w:val="00F82FB9"/>
    <w:rsid w:val="00F83840"/>
    <w:rsid w:val="00F83DE4"/>
    <w:rsid w:val="00F852B9"/>
    <w:rsid w:val="00F85B53"/>
    <w:rsid w:val="00F86D6A"/>
    <w:rsid w:val="00F90780"/>
    <w:rsid w:val="00F90BAD"/>
    <w:rsid w:val="00F911A2"/>
    <w:rsid w:val="00F91CD4"/>
    <w:rsid w:val="00F938B6"/>
    <w:rsid w:val="00F9431F"/>
    <w:rsid w:val="00F95B92"/>
    <w:rsid w:val="00F96A23"/>
    <w:rsid w:val="00FA0F54"/>
    <w:rsid w:val="00FA229F"/>
    <w:rsid w:val="00FA38D8"/>
    <w:rsid w:val="00FB0E6B"/>
    <w:rsid w:val="00FB182C"/>
    <w:rsid w:val="00FB63E3"/>
    <w:rsid w:val="00FC07EC"/>
    <w:rsid w:val="00FC07FA"/>
    <w:rsid w:val="00FC3081"/>
    <w:rsid w:val="00FC3536"/>
    <w:rsid w:val="00FC4ABF"/>
    <w:rsid w:val="00FD1723"/>
    <w:rsid w:val="00FD22ED"/>
    <w:rsid w:val="00FD3080"/>
    <w:rsid w:val="00FD308E"/>
    <w:rsid w:val="00FD505F"/>
    <w:rsid w:val="00FD556D"/>
    <w:rsid w:val="00FD66AB"/>
    <w:rsid w:val="00FD7633"/>
    <w:rsid w:val="00FE08C0"/>
    <w:rsid w:val="00FE0912"/>
    <w:rsid w:val="00FE196F"/>
    <w:rsid w:val="00FE462D"/>
    <w:rsid w:val="00FE48FD"/>
    <w:rsid w:val="00FE5295"/>
    <w:rsid w:val="00FE578A"/>
    <w:rsid w:val="00FE5875"/>
    <w:rsid w:val="00FE5F96"/>
    <w:rsid w:val="00FF1B63"/>
    <w:rsid w:val="00FF2DD2"/>
    <w:rsid w:val="00FF4A15"/>
    <w:rsid w:val="0119049C"/>
    <w:rsid w:val="011E5405"/>
    <w:rsid w:val="01230466"/>
    <w:rsid w:val="01262CBF"/>
    <w:rsid w:val="0134162C"/>
    <w:rsid w:val="0134620A"/>
    <w:rsid w:val="013824F0"/>
    <w:rsid w:val="01392BD2"/>
    <w:rsid w:val="01573BC6"/>
    <w:rsid w:val="01580B9A"/>
    <w:rsid w:val="015D24F3"/>
    <w:rsid w:val="016049B7"/>
    <w:rsid w:val="01611B39"/>
    <w:rsid w:val="016448C5"/>
    <w:rsid w:val="01664574"/>
    <w:rsid w:val="01664A94"/>
    <w:rsid w:val="016726D2"/>
    <w:rsid w:val="01875E83"/>
    <w:rsid w:val="018C398A"/>
    <w:rsid w:val="018D7B94"/>
    <w:rsid w:val="01976235"/>
    <w:rsid w:val="019C6A1B"/>
    <w:rsid w:val="019F2AE1"/>
    <w:rsid w:val="01A16548"/>
    <w:rsid w:val="01A53D74"/>
    <w:rsid w:val="01CA5421"/>
    <w:rsid w:val="01CB0DFA"/>
    <w:rsid w:val="01D17309"/>
    <w:rsid w:val="01DD094D"/>
    <w:rsid w:val="01DE50E1"/>
    <w:rsid w:val="02157795"/>
    <w:rsid w:val="02175330"/>
    <w:rsid w:val="021A3DC8"/>
    <w:rsid w:val="021E2156"/>
    <w:rsid w:val="02236DF8"/>
    <w:rsid w:val="02296585"/>
    <w:rsid w:val="023E34E0"/>
    <w:rsid w:val="023F0E4B"/>
    <w:rsid w:val="02446217"/>
    <w:rsid w:val="024A31DC"/>
    <w:rsid w:val="0274311C"/>
    <w:rsid w:val="0279236E"/>
    <w:rsid w:val="028039B3"/>
    <w:rsid w:val="02BB26EC"/>
    <w:rsid w:val="02BE49D6"/>
    <w:rsid w:val="02D72913"/>
    <w:rsid w:val="02E14BBE"/>
    <w:rsid w:val="02E74DDB"/>
    <w:rsid w:val="02E92562"/>
    <w:rsid w:val="02F81A1A"/>
    <w:rsid w:val="02F9422A"/>
    <w:rsid w:val="030118B1"/>
    <w:rsid w:val="03036CFB"/>
    <w:rsid w:val="030F07EB"/>
    <w:rsid w:val="032209F4"/>
    <w:rsid w:val="03360708"/>
    <w:rsid w:val="0342635B"/>
    <w:rsid w:val="034567F4"/>
    <w:rsid w:val="03465AB9"/>
    <w:rsid w:val="034700A5"/>
    <w:rsid w:val="034865C6"/>
    <w:rsid w:val="03557A5F"/>
    <w:rsid w:val="037417AB"/>
    <w:rsid w:val="03825F8D"/>
    <w:rsid w:val="03827E32"/>
    <w:rsid w:val="038404C3"/>
    <w:rsid w:val="038A3B86"/>
    <w:rsid w:val="038E4AA9"/>
    <w:rsid w:val="03932553"/>
    <w:rsid w:val="03966245"/>
    <w:rsid w:val="039923CC"/>
    <w:rsid w:val="03A13FEA"/>
    <w:rsid w:val="03B33FA8"/>
    <w:rsid w:val="03B737BA"/>
    <w:rsid w:val="03BB29D5"/>
    <w:rsid w:val="03BF3D8D"/>
    <w:rsid w:val="03C51E8F"/>
    <w:rsid w:val="03C5481B"/>
    <w:rsid w:val="03D63C40"/>
    <w:rsid w:val="03DF33A0"/>
    <w:rsid w:val="03DF508F"/>
    <w:rsid w:val="03E14B6E"/>
    <w:rsid w:val="03E16B51"/>
    <w:rsid w:val="03E97995"/>
    <w:rsid w:val="03EA4B61"/>
    <w:rsid w:val="03FA1C7B"/>
    <w:rsid w:val="03FE3BED"/>
    <w:rsid w:val="04010D8B"/>
    <w:rsid w:val="040E72BB"/>
    <w:rsid w:val="041A5398"/>
    <w:rsid w:val="042E180C"/>
    <w:rsid w:val="042F65A9"/>
    <w:rsid w:val="04345168"/>
    <w:rsid w:val="044025B6"/>
    <w:rsid w:val="04473D66"/>
    <w:rsid w:val="044C078A"/>
    <w:rsid w:val="0450399C"/>
    <w:rsid w:val="04544906"/>
    <w:rsid w:val="04573462"/>
    <w:rsid w:val="046276CA"/>
    <w:rsid w:val="049768B2"/>
    <w:rsid w:val="04980D7C"/>
    <w:rsid w:val="049A2372"/>
    <w:rsid w:val="04A079AB"/>
    <w:rsid w:val="04B3041C"/>
    <w:rsid w:val="04B60F0B"/>
    <w:rsid w:val="04BF0304"/>
    <w:rsid w:val="04C42C3A"/>
    <w:rsid w:val="04C9045B"/>
    <w:rsid w:val="04CF64E2"/>
    <w:rsid w:val="04DE15AA"/>
    <w:rsid w:val="04DE56CB"/>
    <w:rsid w:val="04E45486"/>
    <w:rsid w:val="04E82080"/>
    <w:rsid w:val="04F213B4"/>
    <w:rsid w:val="04F9060A"/>
    <w:rsid w:val="050C2D76"/>
    <w:rsid w:val="051017E8"/>
    <w:rsid w:val="052A253C"/>
    <w:rsid w:val="05367842"/>
    <w:rsid w:val="054444B5"/>
    <w:rsid w:val="0552095C"/>
    <w:rsid w:val="055661C5"/>
    <w:rsid w:val="05593D10"/>
    <w:rsid w:val="055B7BBA"/>
    <w:rsid w:val="05602152"/>
    <w:rsid w:val="057E3E16"/>
    <w:rsid w:val="05811B56"/>
    <w:rsid w:val="0589343C"/>
    <w:rsid w:val="058C0C6A"/>
    <w:rsid w:val="0595054A"/>
    <w:rsid w:val="059A726E"/>
    <w:rsid w:val="05A04164"/>
    <w:rsid w:val="05C73684"/>
    <w:rsid w:val="05D24F50"/>
    <w:rsid w:val="05D31C1A"/>
    <w:rsid w:val="05D843C4"/>
    <w:rsid w:val="05E03775"/>
    <w:rsid w:val="060D7349"/>
    <w:rsid w:val="06101303"/>
    <w:rsid w:val="0612431D"/>
    <w:rsid w:val="06126C6E"/>
    <w:rsid w:val="061B042F"/>
    <w:rsid w:val="062025E1"/>
    <w:rsid w:val="0626274E"/>
    <w:rsid w:val="06305856"/>
    <w:rsid w:val="06464EC3"/>
    <w:rsid w:val="065130C5"/>
    <w:rsid w:val="06564A41"/>
    <w:rsid w:val="06572878"/>
    <w:rsid w:val="066E0552"/>
    <w:rsid w:val="06751DB1"/>
    <w:rsid w:val="068A4B28"/>
    <w:rsid w:val="068C0E2A"/>
    <w:rsid w:val="06904FEC"/>
    <w:rsid w:val="06925984"/>
    <w:rsid w:val="06956CC7"/>
    <w:rsid w:val="069D37D0"/>
    <w:rsid w:val="06A54D7D"/>
    <w:rsid w:val="06D7578A"/>
    <w:rsid w:val="06D8541E"/>
    <w:rsid w:val="06DF021D"/>
    <w:rsid w:val="06E67CEB"/>
    <w:rsid w:val="06EB6C96"/>
    <w:rsid w:val="06EC5EE7"/>
    <w:rsid w:val="06F42766"/>
    <w:rsid w:val="06FD1808"/>
    <w:rsid w:val="070B318B"/>
    <w:rsid w:val="070E2D1C"/>
    <w:rsid w:val="07122FAD"/>
    <w:rsid w:val="071415FD"/>
    <w:rsid w:val="071D0679"/>
    <w:rsid w:val="073D48EE"/>
    <w:rsid w:val="074724DB"/>
    <w:rsid w:val="074C5347"/>
    <w:rsid w:val="074D7242"/>
    <w:rsid w:val="07531DE7"/>
    <w:rsid w:val="07573638"/>
    <w:rsid w:val="075B68BC"/>
    <w:rsid w:val="075F0D28"/>
    <w:rsid w:val="076A5E0E"/>
    <w:rsid w:val="076C1373"/>
    <w:rsid w:val="077264EC"/>
    <w:rsid w:val="07780666"/>
    <w:rsid w:val="078414F9"/>
    <w:rsid w:val="07891EA7"/>
    <w:rsid w:val="079614E6"/>
    <w:rsid w:val="079F4F23"/>
    <w:rsid w:val="07AB61A3"/>
    <w:rsid w:val="07AD7574"/>
    <w:rsid w:val="07B54CE0"/>
    <w:rsid w:val="07B8039A"/>
    <w:rsid w:val="07C370CB"/>
    <w:rsid w:val="07CC4F42"/>
    <w:rsid w:val="07E152FA"/>
    <w:rsid w:val="07E36315"/>
    <w:rsid w:val="07E478A8"/>
    <w:rsid w:val="07FB1F91"/>
    <w:rsid w:val="0805116A"/>
    <w:rsid w:val="08053127"/>
    <w:rsid w:val="08071CBA"/>
    <w:rsid w:val="080C252E"/>
    <w:rsid w:val="0815118A"/>
    <w:rsid w:val="08171CEA"/>
    <w:rsid w:val="08271C22"/>
    <w:rsid w:val="08274D84"/>
    <w:rsid w:val="082B738F"/>
    <w:rsid w:val="082D3EB9"/>
    <w:rsid w:val="08306F9B"/>
    <w:rsid w:val="08346F58"/>
    <w:rsid w:val="083D5581"/>
    <w:rsid w:val="08441B25"/>
    <w:rsid w:val="084441DF"/>
    <w:rsid w:val="08593234"/>
    <w:rsid w:val="08615735"/>
    <w:rsid w:val="086372BA"/>
    <w:rsid w:val="086D098F"/>
    <w:rsid w:val="086D0F07"/>
    <w:rsid w:val="08702012"/>
    <w:rsid w:val="087334DD"/>
    <w:rsid w:val="088E32D5"/>
    <w:rsid w:val="08930C5F"/>
    <w:rsid w:val="089C0200"/>
    <w:rsid w:val="08B97D85"/>
    <w:rsid w:val="08BC16F5"/>
    <w:rsid w:val="08BE7FED"/>
    <w:rsid w:val="08C43EC4"/>
    <w:rsid w:val="08D1309C"/>
    <w:rsid w:val="08D7697D"/>
    <w:rsid w:val="08D8692B"/>
    <w:rsid w:val="08EB4ACB"/>
    <w:rsid w:val="08EC517A"/>
    <w:rsid w:val="08EF3144"/>
    <w:rsid w:val="090338D3"/>
    <w:rsid w:val="09065DD3"/>
    <w:rsid w:val="092130E1"/>
    <w:rsid w:val="09264E04"/>
    <w:rsid w:val="092E1A8E"/>
    <w:rsid w:val="09355BCB"/>
    <w:rsid w:val="09531F1C"/>
    <w:rsid w:val="095A5BE2"/>
    <w:rsid w:val="09764787"/>
    <w:rsid w:val="097F404A"/>
    <w:rsid w:val="09896AC0"/>
    <w:rsid w:val="099A6AC4"/>
    <w:rsid w:val="09B974D6"/>
    <w:rsid w:val="09CE364C"/>
    <w:rsid w:val="09D14548"/>
    <w:rsid w:val="09D354A7"/>
    <w:rsid w:val="09DC3E50"/>
    <w:rsid w:val="09DE3D5E"/>
    <w:rsid w:val="09E8145E"/>
    <w:rsid w:val="0A0152E5"/>
    <w:rsid w:val="0A066080"/>
    <w:rsid w:val="0A0937D6"/>
    <w:rsid w:val="0A0C3E83"/>
    <w:rsid w:val="0A205D0B"/>
    <w:rsid w:val="0A2116E5"/>
    <w:rsid w:val="0A2122C1"/>
    <w:rsid w:val="0A305BC3"/>
    <w:rsid w:val="0A404B73"/>
    <w:rsid w:val="0A41473D"/>
    <w:rsid w:val="0A4A2EF0"/>
    <w:rsid w:val="0A4A49B6"/>
    <w:rsid w:val="0A4D555E"/>
    <w:rsid w:val="0A586113"/>
    <w:rsid w:val="0A592844"/>
    <w:rsid w:val="0A5C1D6C"/>
    <w:rsid w:val="0A726290"/>
    <w:rsid w:val="0A767DB1"/>
    <w:rsid w:val="0A792741"/>
    <w:rsid w:val="0A7B2B02"/>
    <w:rsid w:val="0A891ABE"/>
    <w:rsid w:val="0A9C5D13"/>
    <w:rsid w:val="0AA62E01"/>
    <w:rsid w:val="0AA66679"/>
    <w:rsid w:val="0AA91613"/>
    <w:rsid w:val="0AAA2C45"/>
    <w:rsid w:val="0AAA6971"/>
    <w:rsid w:val="0AAD0447"/>
    <w:rsid w:val="0AB302E7"/>
    <w:rsid w:val="0AB47C30"/>
    <w:rsid w:val="0ABE4A79"/>
    <w:rsid w:val="0AC16E19"/>
    <w:rsid w:val="0ACE3117"/>
    <w:rsid w:val="0AE421B7"/>
    <w:rsid w:val="0AE91818"/>
    <w:rsid w:val="0AEA480C"/>
    <w:rsid w:val="0AF367A4"/>
    <w:rsid w:val="0B035A16"/>
    <w:rsid w:val="0B0B7D71"/>
    <w:rsid w:val="0B0D312E"/>
    <w:rsid w:val="0B0D55A1"/>
    <w:rsid w:val="0B151F7E"/>
    <w:rsid w:val="0B1A3668"/>
    <w:rsid w:val="0B213850"/>
    <w:rsid w:val="0B3960E5"/>
    <w:rsid w:val="0B3D3A82"/>
    <w:rsid w:val="0B4A7C44"/>
    <w:rsid w:val="0B52784E"/>
    <w:rsid w:val="0B8674A7"/>
    <w:rsid w:val="0B883742"/>
    <w:rsid w:val="0B8B3816"/>
    <w:rsid w:val="0B8E4FDE"/>
    <w:rsid w:val="0B960709"/>
    <w:rsid w:val="0B9C00EB"/>
    <w:rsid w:val="0BA37864"/>
    <w:rsid w:val="0BA83F62"/>
    <w:rsid w:val="0BC225DF"/>
    <w:rsid w:val="0BC31B57"/>
    <w:rsid w:val="0BCB4C9A"/>
    <w:rsid w:val="0BCC46DB"/>
    <w:rsid w:val="0BD40895"/>
    <w:rsid w:val="0BFA08ED"/>
    <w:rsid w:val="0C076FD8"/>
    <w:rsid w:val="0C14657F"/>
    <w:rsid w:val="0C153FE8"/>
    <w:rsid w:val="0C16288B"/>
    <w:rsid w:val="0C1B4D70"/>
    <w:rsid w:val="0C2D1FB0"/>
    <w:rsid w:val="0C361673"/>
    <w:rsid w:val="0C3F4EED"/>
    <w:rsid w:val="0C465C27"/>
    <w:rsid w:val="0C466674"/>
    <w:rsid w:val="0C596191"/>
    <w:rsid w:val="0C5A2FC1"/>
    <w:rsid w:val="0C6A5CCA"/>
    <w:rsid w:val="0C6E3C86"/>
    <w:rsid w:val="0C701B3D"/>
    <w:rsid w:val="0C833B90"/>
    <w:rsid w:val="0C866E0B"/>
    <w:rsid w:val="0C8720EC"/>
    <w:rsid w:val="0C8770D4"/>
    <w:rsid w:val="0C8C04F6"/>
    <w:rsid w:val="0C960208"/>
    <w:rsid w:val="0CA37DED"/>
    <w:rsid w:val="0CB37436"/>
    <w:rsid w:val="0CB50AAC"/>
    <w:rsid w:val="0CBE7C31"/>
    <w:rsid w:val="0CC76220"/>
    <w:rsid w:val="0CC837C7"/>
    <w:rsid w:val="0CD07F0B"/>
    <w:rsid w:val="0CDD4AB4"/>
    <w:rsid w:val="0CDE4B51"/>
    <w:rsid w:val="0CE03F1D"/>
    <w:rsid w:val="0CE052AB"/>
    <w:rsid w:val="0CE44E2C"/>
    <w:rsid w:val="0CEB52E2"/>
    <w:rsid w:val="0CFE7D80"/>
    <w:rsid w:val="0D061761"/>
    <w:rsid w:val="0D0F5E59"/>
    <w:rsid w:val="0D121FC6"/>
    <w:rsid w:val="0D1A3E6F"/>
    <w:rsid w:val="0D297C02"/>
    <w:rsid w:val="0D2A032D"/>
    <w:rsid w:val="0D2B7E43"/>
    <w:rsid w:val="0D3312E8"/>
    <w:rsid w:val="0D3E4805"/>
    <w:rsid w:val="0D404C96"/>
    <w:rsid w:val="0D4F27BB"/>
    <w:rsid w:val="0D5267AB"/>
    <w:rsid w:val="0D5A29EE"/>
    <w:rsid w:val="0D600768"/>
    <w:rsid w:val="0D623AA8"/>
    <w:rsid w:val="0D682FA8"/>
    <w:rsid w:val="0D8365EF"/>
    <w:rsid w:val="0D95667B"/>
    <w:rsid w:val="0DBA0FF3"/>
    <w:rsid w:val="0DC971DF"/>
    <w:rsid w:val="0DCE0EDB"/>
    <w:rsid w:val="0DCF1E45"/>
    <w:rsid w:val="0DD05E42"/>
    <w:rsid w:val="0DD72F99"/>
    <w:rsid w:val="0DDF32B6"/>
    <w:rsid w:val="0DE838AD"/>
    <w:rsid w:val="0DF26FC9"/>
    <w:rsid w:val="0DF41DD7"/>
    <w:rsid w:val="0E0359DF"/>
    <w:rsid w:val="0E0D036A"/>
    <w:rsid w:val="0E11741B"/>
    <w:rsid w:val="0E2754EF"/>
    <w:rsid w:val="0E332862"/>
    <w:rsid w:val="0E3A7C37"/>
    <w:rsid w:val="0E456A84"/>
    <w:rsid w:val="0E464314"/>
    <w:rsid w:val="0E4C41F9"/>
    <w:rsid w:val="0E500DE7"/>
    <w:rsid w:val="0E531777"/>
    <w:rsid w:val="0E5D4319"/>
    <w:rsid w:val="0E630DCF"/>
    <w:rsid w:val="0E675FA7"/>
    <w:rsid w:val="0E6F1D7A"/>
    <w:rsid w:val="0E754ED5"/>
    <w:rsid w:val="0E7C20FE"/>
    <w:rsid w:val="0E8A4573"/>
    <w:rsid w:val="0E951308"/>
    <w:rsid w:val="0E9B322D"/>
    <w:rsid w:val="0E9D0A4A"/>
    <w:rsid w:val="0EAB1F20"/>
    <w:rsid w:val="0EAD018B"/>
    <w:rsid w:val="0EB82DB0"/>
    <w:rsid w:val="0ED46368"/>
    <w:rsid w:val="0ED55C44"/>
    <w:rsid w:val="0ED96BDB"/>
    <w:rsid w:val="0EE11B2E"/>
    <w:rsid w:val="0EE55C52"/>
    <w:rsid w:val="0EE9072E"/>
    <w:rsid w:val="0EEA4721"/>
    <w:rsid w:val="0EEB05E4"/>
    <w:rsid w:val="0EF67FB3"/>
    <w:rsid w:val="0EFC54A2"/>
    <w:rsid w:val="0F0255B2"/>
    <w:rsid w:val="0F043191"/>
    <w:rsid w:val="0F103C1E"/>
    <w:rsid w:val="0F110232"/>
    <w:rsid w:val="0F193DB5"/>
    <w:rsid w:val="0F1F595C"/>
    <w:rsid w:val="0F2E6D5F"/>
    <w:rsid w:val="0F390717"/>
    <w:rsid w:val="0F3C02A2"/>
    <w:rsid w:val="0F3E435D"/>
    <w:rsid w:val="0F425906"/>
    <w:rsid w:val="0F49117A"/>
    <w:rsid w:val="0F4D6E6B"/>
    <w:rsid w:val="0F526763"/>
    <w:rsid w:val="0F5D0A57"/>
    <w:rsid w:val="0F5D6A43"/>
    <w:rsid w:val="0F7920A0"/>
    <w:rsid w:val="0F7A3404"/>
    <w:rsid w:val="0F7B7AFD"/>
    <w:rsid w:val="0F7F4982"/>
    <w:rsid w:val="0F8930ED"/>
    <w:rsid w:val="0F923814"/>
    <w:rsid w:val="0F9D0DD0"/>
    <w:rsid w:val="0FA12F34"/>
    <w:rsid w:val="0FA17700"/>
    <w:rsid w:val="0FA41135"/>
    <w:rsid w:val="0FA55F70"/>
    <w:rsid w:val="0FA62E9A"/>
    <w:rsid w:val="0FAE0698"/>
    <w:rsid w:val="0FE31997"/>
    <w:rsid w:val="0FF951A1"/>
    <w:rsid w:val="0FFB0655"/>
    <w:rsid w:val="0FFE4092"/>
    <w:rsid w:val="1010313E"/>
    <w:rsid w:val="10166FF6"/>
    <w:rsid w:val="101939F2"/>
    <w:rsid w:val="10223693"/>
    <w:rsid w:val="102829D3"/>
    <w:rsid w:val="102A574A"/>
    <w:rsid w:val="102F7C1B"/>
    <w:rsid w:val="103D0961"/>
    <w:rsid w:val="10457F6D"/>
    <w:rsid w:val="1049630D"/>
    <w:rsid w:val="10522626"/>
    <w:rsid w:val="10571A90"/>
    <w:rsid w:val="10577141"/>
    <w:rsid w:val="105C362B"/>
    <w:rsid w:val="106C1C10"/>
    <w:rsid w:val="106E3459"/>
    <w:rsid w:val="107B077C"/>
    <w:rsid w:val="108243B1"/>
    <w:rsid w:val="10913116"/>
    <w:rsid w:val="10AA5C24"/>
    <w:rsid w:val="10B04B2B"/>
    <w:rsid w:val="10BA728C"/>
    <w:rsid w:val="10C423EB"/>
    <w:rsid w:val="10C73EB1"/>
    <w:rsid w:val="10E75835"/>
    <w:rsid w:val="10E93536"/>
    <w:rsid w:val="10F973DE"/>
    <w:rsid w:val="10FD66B1"/>
    <w:rsid w:val="11027E3F"/>
    <w:rsid w:val="11130A88"/>
    <w:rsid w:val="11150735"/>
    <w:rsid w:val="11157D8A"/>
    <w:rsid w:val="111D65E0"/>
    <w:rsid w:val="112835AF"/>
    <w:rsid w:val="11321A74"/>
    <w:rsid w:val="114044D9"/>
    <w:rsid w:val="114424D7"/>
    <w:rsid w:val="11453D41"/>
    <w:rsid w:val="114B5B31"/>
    <w:rsid w:val="11524299"/>
    <w:rsid w:val="11580BF5"/>
    <w:rsid w:val="115C23DD"/>
    <w:rsid w:val="115D0DF8"/>
    <w:rsid w:val="115E7920"/>
    <w:rsid w:val="115F60AD"/>
    <w:rsid w:val="11704EAC"/>
    <w:rsid w:val="1171335C"/>
    <w:rsid w:val="1171595D"/>
    <w:rsid w:val="11856A54"/>
    <w:rsid w:val="1189246D"/>
    <w:rsid w:val="119431B9"/>
    <w:rsid w:val="11A43696"/>
    <w:rsid w:val="11A7185C"/>
    <w:rsid w:val="11B5520A"/>
    <w:rsid w:val="11C27727"/>
    <w:rsid w:val="11CE7D67"/>
    <w:rsid w:val="11E037D5"/>
    <w:rsid w:val="120B6A96"/>
    <w:rsid w:val="120E7FB9"/>
    <w:rsid w:val="121422D3"/>
    <w:rsid w:val="122241E3"/>
    <w:rsid w:val="12242507"/>
    <w:rsid w:val="12272E40"/>
    <w:rsid w:val="122D0352"/>
    <w:rsid w:val="122D79BA"/>
    <w:rsid w:val="122E73D0"/>
    <w:rsid w:val="123511A8"/>
    <w:rsid w:val="123A20CB"/>
    <w:rsid w:val="124A1E9E"/>
    <w:rsid w:val="124B220F"/>
    <w:rsid w:val="1251755E"/>
    <w:rsid w:val="125D180C"/>
    <w:rsid w:val="12636A90"/>
    <w:rsid w:val="127320B3"/>
    <w:rsid w:val="12774E20"/>
    <w:rsid w:val="127D49B1"/>
    <w:rsid w:val="127F5957"/>
    <w:rsid w:val="12912C14"/>
    <w:rsid w:val="12A21DDA"/>
    <w:rsid w:val="12A73E71"/>
    <w:rsid w:val="12AB11AF"/>
    <w:rsid w:val="12AF5068"/>
    <w:rsid w:val="12D51077"/>
    <w:rsid w:val="12D76D76"/>
    <w:rsid w:val="12E92287"/>
    <w:rsid w:val="12F350D9"/>
    <w:rsid w:val="132E7C88"/>
    <w:rsid w:val="133625F4"/>
    <w:rsid w:val="133E36AB"/>
    <w:rsid w:val="133E5217"/>
    <w:rsid w:val="133F3B85"/>
    <w:rsid w:val="134B3C93"/>
    <w:rsid w:val="134C1D90"/>
    <w:rsid w:val="135A1052"/>
    <w:rsid w:val="13661AD9"/>
    <w:rsid w:val="13662DED"/>
    <w:rsid w:val="1367667F"/>
    <w:rsid w:val="137117AD"/>
    <w:rsid w:val="137F3F17"/>
    <w:rsid w:val="13935568"/>
    <w:rsid w:val="1397788F"/>
    <w:rsid w:val="139C6B52"/>
    <w:rsid w:val="13A0274C"/>
    <w:rsid w:val="13BF1B7F"/>
    <w:rsid w:val="13CB4F45"/>
    <w:rsid w:val="13D95B32"/>
    <w:rsid w:val="13DF4252"/>
    <w:rsid w:val="13E147E0"/>
    <w:rsid w:val="13E61930"/>
    <w:rsid w:val="13F6426E"/>
    <w:rsid w:val="140177A8"/>
    <w:rsid w:val="140772DB"/>
    <w:rsid w:val="140A1368"/>
    <w:rsid w:val="140F747A"/>
    <w:rsid w:val="141C2D99"/>
    <w:rsid w:val="141E276B"/>
    <w:rsid w:val="1421030E"/>
    <w:rsid w:val="1431088A"/>
    <w:rsid w:val="14462F19"/>
    <w:rsid w:val="14543575"/>
    <w:rsid w:val="14543B91"/>
    <w:rsid w:val="145D5CFC"/>
    <w:rsid w:val="14694B14"/>
    <w:rsid w:val="14716945"/>
    <w:rsid w:val="147708CA"/>
    <w:rsid w:val="14784CDB"/>
    <w:rsid w:val="147E29CC"/>
    <w:rsid w:val="148744F9"/>
    <w:rsid w:val="14915530"/>
    <w:rsid w:val="149A0758"/>
    <w:rsid w:val="14A248BD"/>
    <w:rsid w:val="14A314A8"/>
    <w:rsid w:val="14AC28B5"/>
    <w:rsid w:val="14B237A0"/>
    <w:rsid w:val="14BA088A"/>
    <w:rsid w:val="14CA03E5"/>
    <w:rsid w:val="14CF5505"/>
    <w:rsid w:val="14DC0294"/>
    <w:rsid w:val="14DE002C"/>
    <w:rsid w:val="14E43879"/>
    <w:rsid w:val="14E455EC"/>
    <w:rsid w:val="14E64F60"/>
    <w:rsid w:val="14E71D62"/>
    <w:rsid w:val="14F55D07"/>
    <w:rsid w:val="14FF4318"/>
    <w:rsid w:val="14FF51A0"/>
    <w:rsid w:val="150422E6"/>
    <w:rsid w:val="15134E38"/>
    <w:rsid w:val="1528728E"/>
    <w:rsid w:val="153D3E55"/>
    <w:rsid w:val="154B69E6"/>
    <w:rsid w:val="15743BF9"/>
    <w:rsid w:val="15781300"/>
    <w:rsid w:val="15835822"/>
    <w:rsid w:val="15852856"/>
    <w:rsid w:val="158B2BA7"/>
    <w:rsid w:val="158E22A4"/>
    <w:rsid w:val="1594665B"/>
    <w:rsid w:val="1599543F"/>
    <w:rsid w:val="15996495"/>
    <w:rsid w:val="159D65F3"/>
    <w:rsid w:val="15A21C27"/>
    <w:rsid w:val="15A5081F"/>
    <w:rsid w:val="15A67085"/>
    <w:rsid w:val="15A74CB2"/>
    <w:rsid w:val="15A86531"/>
    <w:rsid w:val="15A9785C"/>
    <w:rsid w:val="15B07FC2"/>
    <w:rsid w:val="15B733D7"/>
    <w:rsid w:val="15C970DC"/>
    <w:rsid w:val="15D2653B"/>
    <w:rsid w:val="15D7647F"/>
    <w:rsid w:val="15E4054B"/>
    <w:rsid w:val="15F04CF2"/>
    <w:rsid w:val="15FE65F0"/>
    <w:rsid w:val="1613647B"/>
    <w:rsid w:val="1619072C"/>
    <w:rsid w:val="161D239D"/>
    <w:rsid w:val="161E4D0E"/>
    <w:rsid w:val="16217737"/>
    <w:rsid w:val="1623675B"/>
    <w:rsid w:val="16254B75"/>
    <w:rsid w:val="162C047F"/>
    <w:rsid w:val="163A7958"/>
    <w:rsid w:val="16422EE6"/>
    <w:rsid w:val="164E5D1B"/>
    <w:rsid w:val="16815995"/>
    <w:rsid w:val="16915DE1"/>
    <w:rsid w:val="169170A3"/>
    <w:rsid w:val="16A52706"/>
    <w:rsid w:val="16B54441"/>
    <w:rsid w:val="16B8434D"/>
    <w:rsid w:val="16C34B3A"/>
    <w:rsid w:val="16C364F4"/>
    <w:rsid w:val="16D11846"/>
    <w:rsid w:val="16D425F6"/>
    <w:rsid w:val="16DA28F8"/>
    <w:rsid w:val="16E004B3"/>
    <w:rsid w:val="16E03ACF"/>
    <w:rsid w:val="16E92614"/>
    <w:rsid w:val="16EB1F1D"/>
    <w:rsid w:val="16ED0DDA"/>
    <w:rsid w:val="17086D72"/>
    <w:rsid w:val="17096B32"/>
    <w:rsid w:val="17170490"/>
    <w:rsid w:val="171921E1"/>
    <w:rsid w:val="171B577C"/>
    <w:rsid w:val="17210D4F"/>
    <w:rsid w:val="172B7CA8"/>
    <w:rsid w:val="17316935"/>
    <w:rsid w:val="173B02DD"/>
    <w:rsid w:val="17454655"/>
    <w:rsid w:val="175065BE"/>
    <w:rsid w:val="175422D8"/>
    <w:rsid w:val="175C73E5"/>
    <w:rsid w:val="175F1898"/>
    <w:rsid w:val="1769002D"/>
    <w:rsid w:val="17694D47"/>
    <w:rsid w:val="17795B6B"/>
    <w:rsid w:val="1797689D"/>
    <w:rsid w:val="179D7DD5"/>
    <w:rsid w:val="17A30FED"/>
    <w:rsid w:val="17B2380F"/>
    <w:rsid w:val="17B73791"/>
    <w:rsid w:val="17CF6AAB"/>
    <w:rsid w:val="17F37793"/>
    <w:rsid w:val="17F64B78"/>
    <w:rsid w:val="17F96B11"/>
    <w:rsid w:val="17FC5859"/>
    <w:rsid w:val="17FD00E0"/>
    <w:rsid w:val="18032D8D"/>
    <w:rsid w:val="18164C85"/>
    <w:rsid w:val="181B5FC4"/>
    <w:rsid w:val="181C2E3C"/>
    <w:rsid w:val="183138E3"/>
    <w:rsid w:val="18357F09"/>
    <w:rsid w:val="18397B23"/>
    <w:rsid w:val="183E25FA"/>
    <w:rsid w:val="184623B8"/>
    <w:rsid w:val="184707D2"/>
    <w:rsid w:val="18472C6E"/>
    <w:rsid w:val="18473353"/>
    <w:rsid w:val="185E442A"/>
    <w:rsid w:val="186A286A"/>
    <w:rsid w:val="188151D6"/>
    <w:rsid w:val="188405B1"/>
    <w:rsid w:val="18881D4A"/>
    <w:rsid w:val="18884A60"/>
    <w:rsid w:val="18995C0D"/>
    <w:rsid w:val="189B241F"/>
    <w:rsid w:val="18A6301E"/>
    <w:rsid w:val="18A90E0A"/>
    <w:rsid w:val="18BC7A1F"/>
    <w:rsid w:val="18C2641B"/>
    <w:rsid w:val="18C67D74"/>
    <w:rsid w:val="18DA1812"/>
    <w:rsid w:val="18DC17E0"/>
    <w:rsid w:val="18E17D75"/>
    <w:rsid w:val="19017C53"/>
    <w:rsid w:val="19087DAB"/>
    <w:rsid w:val="190D29A5"/>
    <w:rsid w:val="190E627D"/>
    <w:rsid w:val="19102DE7"/>
    <w:rsid w:val="19157AA6"/>
    <w:rsid w:val="192468DB"/>
    <w:rsid w:val="19274BBA"/>
    <w:rsid w:val="193D027C"/>
    <w:rsid w:val="194923CA"/>
    <w:rsid w:val="194D1583"/>
    <w:rsid w:val="194E152B"/>
    <w:rsid w:val="19520E01"/>
    <w:rsid w:val="19597A8B"/>
    <w:rsid w:val="195F20AC"/>
    <w:rsid w:val="19605CDB"/>
    <w:rsid w:val="19686205"/>
    <w:rsid w:val="197015AE"/>
    <w:rsid w:val="198644A0"/>
    <w:rsid w:val="19952E1A"/>
    <w:rsid w:val="199E2150"/>
    <w:rsid w:val="19A82732"/>
    <w:rsid w:val="19AA3F91"/>
    <w:rsid w:val="19AE0806"/>
    <w:rsid w:val="19B510F1"/>
    <w:rsid w:val="19B573A0"/>
    <w:rsid w:val="19BA0C51"/>
    <w:rsid w:val="19BC7636"/>
    <w:rsid w:val="19C86B24"/>
    <w:rsid w:val="19DA487F"/>
    <w:rsid w:val="19DD3724"/>
    <w:rsid w:val="19DE64CA"/>
    <w:rsid w:val="19E65B1C"/>
    <w:rsid w:val="19EA096A"/>
    <w:rsid w:val="19EA70AA"/>
    <w:rsid w:val="19EB069F"/>
    <w:rsid w:val="19EC2847"/>
    <w:rsid w:val="19ED3961"/>
    <w:rsid w:val="19ED4FBC"/>
    <w:rsid w:val="19F91107"/>
    <w:rsid w:val="19FC6F2D"/>
    <w:rsid w:val="1A0B4CE9"/>
    <w:rsid w:val="1A10272E"/>
    <w:rsid w:val="1A147671"/>
    <w:rsid w:val="1A170786"/>
    <w:rsid w:val="1A2E37C1"/>
    <w:rsid w:val="1A350E83"/>
    <w:rsid w:val="1A43299D"/>
    <w:rsid w:val="1A4662B3"/>
    <w:rsid w:val="1A4A5C90"/>
    <w:rsid w:val="1A5267AA"/>
    <w:rsid w:val="1A530DD7"/>
    <w:rsid w:val="1A584F9A"/>
    <w:rsid w:val="1A5A0A47"/>
    <w:rsid w:val="1A622663"/>
    <w:rsid w:val="1A637DD8"/>
    <w:rsid w:val="1A6F69D5"/>
    <w:rsid w:val="1A721ECD"/>
    <w:rsid w:val="1A85134D"/>
    <w:rsid w:val="1A98309A"/>
    <w:rsid w:val="1AA23FCD"/>
    <w:rsid w:val="1AA40410"/>
    <w:rsid w:val="1AAC58F8"/>
    <w:rsid w:val="1AAE5DF9"/>
    <w:rsid w:val="1ABE274B"/>
    <w:rsid w:val="1AC9024F"/>
    <w:rsid w:val="1ACD18CC"/>
    <w:rsid w:val="1AD470BC"/>
    <w:rsid w:val="1AD90F4D"/>
    <w:rsid w:val="1ADC75C3"/>
    <w:rsid w:val="1ADD2DA0"/>
    <w:rsid w:val="1ADF002A"/>
    <w:rsid w:val="1AEE18C3"/>
    <w:rsid w:val="1AF67869"/>
    <w:rsid w:val="1B0140AC"/>
    <w:rsid w:val="1B050302"/>
    <w:rsid w:val="1B077D1A"/>
    <w:rsid w:val="1B1736DB"/>
    <w:rsid w:val="1B1F7292"/>
    <w:rsid w:val="1B34354B"/>
    <w:rsid w:val="1B351A79"/>
    <w:rsid w:val="1B3D1D6A"/>
    <w:rsid w:val="1B406955"/>
    <w:rsid w:val="1B41462C"/>
    <w:rsid w:val="1B492E45"/>
    <w:rsid w:val="1B4C3B4D"/>
    <w:rsid w:val="1B6963E5"/>
    <w:rsid w:val="1B6B71A4"/>
    <w:rsid w:val="1B7144DD"/>
    <w:rsid w:val="1B771A3C"/>
    <w:rsid w:val="1B7D09DE"/>
    <w:rsid w:val="1B852725"/>
    <w:rsid w:val="1B8A153A"/>
    <w:rsid w:val="1B915CB7"/>
    <w:rsid w:val="1B9317F9"/>
    <w:rsid w:val="1B9708C6"/>
    <w:rsid w:val="1B9B36F7"/>
    <w:rsid w:val="1B9B40BE"/>
    <w:rsid w:val="1BAB12EF"/>
    <w:rsid w:val="1BBD0862"/>
    <w:rsid w:val="1BC41F1E"/>
    <w:rsid w:val="1BC509BE"/>
    <w:rsid w:val="1BC641E1"/>
    <w:rsid w:val="1BD16746"/>
    <w:rsid w:val="1BD9024F"/>
    <w:rsid w:val="1BE900E1"/>
    <w:rsid w:val="1C0A6ECB"/>
    <w:rsid w:val="1C0C097B"/>
    <w:rsid w:val="1C147445"/>
    <w:rsid w:val="1C255837"/>
    <w:rsid w:val="1C26036E"/>
    <w:rsid w:val="1C277E87"/>
    <w:rsid w:val="1C294748"/>
    <w:rsid w:val="1C2F275A"/>
    <w:rsid w:val="1C3A00CE"/>
    <w:rsid w:val="1C4868E0"/>
    <w:rsid w:val="1C522982"/>
    <w:rsid w:val="1C543E87"/>
    <w:rsid w:val="1C612FA0"/>
    <w:rsid w:val="1C6D06FA"/>
    <w:rsid w:val="1C6D2DBA"/>
    <w:rsid w:val="1C6D7F33"/>
    <w:rsid w:val="1C7877D9"/>
    <w:rsid w:val="1C7E40E4"/>
    <w:rsid w:val="1C7F581E"/>
    <w:rsid w:val="1C857CC3"/>
    <w:rsid w:val="1C921D00"/>
    <w:rsid w:val="1CA50B7A"/>
    <w:rsid w:val="1CAB2DB1"/>
    <w:rsid w:val="1CB758E1"/>
    <w:rsid w:val="1CB8322F"/>
    <w:rsid w:val="1CC31922"/>
    <w:rsid w:val="1CDC1C0F"/>
    <w:rsid w:val="1CF9306B"/>
    <w:rsid w:val="1CFB2133"/>
    <w:rsid w:val="1D07563C"/>
    <w:rsid w:val="1D0D1591"/>
    <w:rsid w:val="1D0E0071"/>
    <w:rsid w:val="1D10743D"/>
    <w:rsid w:val="1D1D4167"/>
    <w:rsid w:val="1D263EB1"/>
    <w:rsid w:val="1D4C0973"/>
    <w:rsid w:val="1D57207A"/>
    <w:rsid w:val="1D6E09DE"/>
    <w:rsid w:val="1D7644C0"/>
    <w:rsid w:val="1D80514D"/>
    <w:rsid w:val="1D883A58"/>
    <w:rsid w:val="1D8C2CC9"/>
    <w:rsid w:val="1D93533B"/>
    <w:rsid w:val="1D9A126D"/>
    <w:rsid w:val="1D9C765F"/>
    <w:rsid w:val="1DC6662A"/>
    <w:rsid w:val="1DD32E87"/>
    <w:rsid w:val="1DDE34D6"/>
    <w:rsid w:val="1DE9468E"/>
    <w:rsid w:val="1E04502F"/>
    <w:rsid w:val="1E070B09"/>
    <w:rsid w:val="1E0F761A"/>
    <w:rsid w:val="1E112C9C"/>
    <w:rsid w:val="1E1A55BF"/>
    <w:rsid w:val="1E1F5C09"/>
    <w:rsid w:val="1E2D7243"/>
    <w:rsid w:val="1E371D23"/>
    <w:rsid w:val="1E3C35BC"/>
    <w:rsid w:val="1E40133A"/>
    <w:rsid w:val="1E533398"/>
    <w:rsid w:val="1E5366C0"/>
    <w:rsid w:val="1E623913"/>
    <w:rsid w:val="1E6D5867"/>
    <w:rsid w:val="1E743687"/>
    <w:rsid w:val="1E800BF6"/>
    <w:rsid w:val="1E9229EB"/>
    <w:rsid w:val="1E992D5A"/>
    <w:rsid w:val="1E9F5E4B"/>
    <w:rsid w:val="1EA04A65"/>
    <w:rsid w:val="1EA70FDD"/>
    <w:rsid w:val="1EA91608"/>
    <w:rsid w:val="1EAE31A6"/>
    <w:rsid w:val="1EB5634B"/>
    <w:rsid w:val="1EC55DDE"/>
    <w:rsid w:val="1ECC4565"/>
    <w:rsid w:val="1EEA1487"/>
    <w:rsid w:val="1EEA3F8A"/>
    <w:rsid w:val="1EF22740"/>
    <w:rsid w:val="1EF424BC"/>
    <w:rsid w:val="1EFC526C"/>
    <w:rsid w:val="1EFD2977"/>
    <w:rsid w:val="1EFE24FC"/>
    <w:rsid w:val="1F0B3C71"/>
    <w:rsid w:val="1F0D3523"/>
    <w:rsid w:val="1F192312"/>
    <w:rsid w:val="1F231FB1"/>
    <w:rsid w:val="1F2606B6"/>
    <w:rsid w:val="1F263D8C"/>
    <w:rsid w:val="1F302711"/>
    <w:rsid w:val="1F3E7556"/>
    <w:rsid w:val="1F4E7E2A"/>
    <w:rsid w:val="1F5B7D36"/>
    <w:rsid w:val="1F6B3F30"/>
    <w:rsid w:val="1F717B97"/>
    <w:rsid w:val="1F8355CC"/>
    <w:rsid w:val="1F8755FE"/>
    <w:rsid w:val="1F89234C"/>
    <w:rsid w:val="1F8C0EFA"/>
    <w:rsid w:val="1F955F0F"/>
    <w:rsid w:val="1FA2409C"/>
    <w:rsid w:val="1FB10F53"/>
    <w:rsid w:val="1FB8040B"/>
    <w:rsid w:val="1FBB77F1"/>
    <w:rsid w:val="1FDB291F"/>
    <w:rsid w:val="1FE43BF4"/>
    <w:rsid w:val="200178DE"/>
    <w:rsid w:val="200D7795"/>
    <w:rsid w:val="201B0727"/>
    <w:rsid w:val="201C3FDD"/>
    <w:rsid w:val="20245203"/>
    <w:rsid w:val="202A482F"/>
    <w:rsid w:val="20316D40"/>
    <w:rsid w:val="20401D4A"/>
    <w:rsid w:val="20417F71"/>
    <w:rsid w:val="2043574F"/>
    <w:rsid w:val="204B18B5"/>
    <w:rsid w:val="20594513"/>
    <w:rsid w:val="205D596D"/>
    <w:rsid w:val="205F2402"/>
    <w:rsid w:val="20612487"/>
    <w:rsid w:val="206F52A5"/>
    <w:rsid w:val="20780429"/>
    <w:rsid w:val="20782942"/>
    <w:rsid w:val="20977E45"/>
    <w:rsid w:val="209F5C1C"/>
    <w:rsid w:val="20A62FC4"/>
    <w:rsid w:val="20AE3D98"/>
    <w:rsid w:val="20C04282"/>
    <w:rsid w:val="20C42E2F"/>
    <w:rsid w:val="20CA5401"/>
    <w:rsid w:val="20D04501"/>
    <w:rsid w:val="20DB6DE8"/>
    <w:rsid w:val="20DF3657"/>
    <w:rsid w:val="20E23944"/>
    <w:rsid w:val="20E97104"/>
    <w:rsid w:val="20F664FF"/>
    <w:rsid w:val="21130748"/>
    <w:rsid w:val="21171051"/>
    <w:rsid w:val="212A2982"/>
    <w:rsid w:val="212F7925"/>
    <w:rsid w:val="213D1BF7"/>
    <w:rsid w:val="215C4003"/>
    <w:rsid w:val="215C403F"/>
    <w:rsid w:val="217378B1"/>
    <w:rsid w:val="217554D8"/>
    <w:rsid w:val="2187361F"/>
    <w:rsid w:val="218A14B0"/>
    <w:rsid w:val="218D412A"/>
    <w:rsid w:val="219320A1"/>
    <w:rsid w:val="219469C6"/>
    <w:rsid w:val="219A1F42"/>
    <w:rsid w:val="219B60BE"/>
    <w:rsid w:val="219D65B4"/>
    <w:rsid w:val="219E6AFC"/>
    <w:rsid w:val="21A57F98"/>
    <w:rsid w:val="21B914E7"/>
    <w:rsid w:val="21D9147E"/>
    <w:rsid w:val="21E74248"/>
    <w:rsid w:val="21F22588"/>
    <w:rsid w:val="220154BA"/>
    <w:rsid w:val="22111BD9"/>
    <w:rsid w:val="222D6128"/>
    <w:rsid w:val="222D7A66"/>
    <w:rsid w:val="2239161C"/>
    <w:rsid w:val="22642953"/>
    <w:rsid w:val="22691821"/>
    <w:rsid w:val="2272196B"/>
    <w:rsid w:val="227A62B7"/>
    <w:rsid w:val="228E4C0C"/>
    <w:rsid w:val="22901867"/>
    <w:rsid w:val="22A66114"/>
    <w:rsid w:val="22AB346D"/>
    <w:rsid w:val="22B27E2F"/>
    <w:rsid w:val="22CC279B"/>
    <w:rsid w:val="22D26184"/>
    <w:rsid w:val="22DB6C71"/>
    <w:rsid w:val="22DF4C7A"/>
    <w:rsid w:val="22E06165"/>
    <w:rsid w:val="22FF7200"/>
    <w:rsid w:val="2301464B"/>
    <w:rsid w:val="230741FB"/>
    <w:rsid w:val="23083089"/>
    <w:rsid w:val="230900EB"/>
    <w:rsid w:val="230F6BF9"/>
    <w:rsid w:val="23136CEC"/>
    <w:rsid w:val="2318664C"/>
    <w:rsid w:val="231B7F4E"/>
    <w:rsid w:val="231C7D52"/>
    <w:rsid w:val="23215F04"/>
    <w:rsid w:val="23252970"/>
    <w:rsid w:val="232A2A5A"/>
    <w:rsid w:val="23376683"/>
    <w:rsid w:val="23477BFC"/>
    <w:rsid w:val="23485A60"/>
    <w:rsid w:val="235C0DC7"/>
    <w:rsid w:val="23612BF7"/>
    <w:rsid w:val="237222D8"/>
    <w:rsid w:val="237D7CA5"/>
    <w:rsid w:val="237F4749"/>
    <w:rsid w:val="238007EF"/>
    <w:rsid w:val="238C4E78"/>
    <w:rsid w:val="2391280C"/>
    <w:rsid w:val="23967484"/>
    <w:rsid w:val="239B0D99"/>
    <w:rsid w:val="239F37B7"/>
    <w:rsid w:val="23A15F2C"/>
    <w:rsid w:val="23AE15EF"/>
    <w:rsid w:val="23AE6249"/>
    <w:rsid w:val="23B57CE8"/>
    <w:rsid w:val="23C85054"/>
    <w:rsid w:val="23E577A8"/>
    <w:rsid w:val="23EA0ECA"/>
    <w:rsid w:val="23FC2F75"/>
    <w:rsid w:val="23FD3C91"/>
    <w:rsid w:val="24013F04"/>
    <w:rsid w:val="240745DF"/>
    <w:rsid w:val="240D3D07"/>
    <w:rsid w:val="24117137"/>
    <w:rsid w:val="24162EE2"/>
    <w:rsid w:val="243913A9"/>
    <w:rsid w:val="243C0AFB"/>
    <w:rsid w:val="244435C6"/>
    <w:rsid w:val="24476F90"/>
    <w:rsid w:val="2461734C"/>
    <w:rsid w:val="24650C51"/>
    <w:rsid w:val="246E1CDC"/>
    <w:rsid w:val="24760CE7"/>
    <w:rsid w:val="247930D9"/>
    <w:rsid w:val="247D1C6B"/>
    <w:rsid w:val="247E4E1E"/>
    <w:rsid w:val="247F7022"/>
    <w:rsid w:val="248068B6"/>
    <w:rsid w:val="248A7921"/>
    <w:rsid w:val="248F124F"/>
    <w:rsid w:val="249110F1"/>
    <w:rsid w:val="24A14614"/>
    <w:rsid w:val="24B3143A"/>
    <w:rsid w:val="24B71901"/>
    <w:rsid w:val="24C04F19"/>
    <w:rsid w:val="24C82D06"/>
    <w:rsid w:val="24D17BD9"/>
    <w:rsid w:val="24D247FF"/>
    <w:rsid w:val="24DB2B2A"/>
    <w:rsid w:val="24DC2F0B"/>
    <w:rsid w:val="24E92D8D"/>
    <w:rsid w:val="24EF4B37"/>
    <w:rsid w:val="24F12710"/>
    <w:rsid w:val="24F66FED"/>
    <w:rsid w:val="250E2741"/>
    <w:rsid w:val="25184B5C"/>
    <w:rsid w:val="25352BD9"/>
    <w:rsid w:val="25384B55"/>
    <w:rsid w:val="253F7BE2"/>
    <w:rsid w:val="254E56D9"/>
    <w:rsid w:val="2554299A"/>
    <w:rsid w:val="255E2B6C"/>
    <w:rsid w:val="255F057C"/>
    <w:rsid w:val="25620CC2"/>
    <w:rsid w:val="25763973"/>
    <w:rsid w:val="25776697"/>
    <w:rsid w:val="25852446"/>
    <w:rsid w:val="25863D16"/>
    <w:rsid w:val="25893520"/>
    <w:rsid w:val="25923FA1"/>
    <w:rsid w:val="25A351AF"/>
    <w:rsid w:val="25A520A6"/>
    <w:rsid w:val="25AE146E"/>
    <w:rsid w:val="25B25882"/>
    <w:rsid w:val="25BE6099"/>
    <w:rsid w:val="25C150FC"/>
    <w:rsid w:val="25C23BCF"/>
    <w:rsid w:val="25D3405C"/>
    <w:rsid w:val="25E83B58"/>
    <w:rsid w:val="25F255E2"/>
    <w:rsid w:val="25F3552F"/>
    <w:rsid w:val="26033A38"/>
    <w:rsid w:val="26120F88"/>
    <w:rsid w:val="2614318F"/>
    <w:rsid w:val="262A3A7B"/>
    <w:rsid w:val="262B0FB7"/>
    <w:rsid w:val="262B4DDC"/>
    <w:rsid w:val="265401CF"/>
    <w:rsid w:val="265A6861"/>
    <w:rsid w:val="265C15A5"/>
    <w:rsid w:val="26654DD5"/>
    <w:rsid w:val="26680868"/>
    <w:rsid w:val="2677113A"/>
    <w:rsid w:val="268875B4"/>
    <w:rsid w:val="268A2F02"/>
    <w:rsid w:val="2690481F"/>
    <w:rsid w:val="26A31696"/>
    <w:rsid w:val="26A96B5D"/>
    <w:rsid w:val="26AB1B4B"/>
    <w:rsid w:val="26AD1C09"/>
    <w:rsid w:val="26AD52FD"/>
    <w:rsid w:val="26AF2374"/>
    <w:rsid w:val="26B17DE3"/>
    <w:rsid w:val="26CB6203"/>
    <w:rsid w:val="26D54A7D"/>
    <w:rsid w:val="26D66EF0"/>
    <w:rsid w:val="26D73326"/>
    <w:rsid w:val="26DC246A"/>
    <w:rsid w:val="26DF56A0"/>
    <w:rsid w:val="26FB7080"/>
    <w:rsid w:val="26FF0345"/>
    <w:rsid w:val="271C444E"/>
    <w:rsid w:val="27220AB6"/>
    <w:rsid w:val="27224A88"/>
    <w:rsid w:val="273C136C"/>
    <w:rsid w:val="273C1907"/>
    <w:rsid w:val="275228D0"/>
    <w:rsid w:val="275A7F9A"/>
    <w:rsid w:val="275D5238"/>
    <w:rsid w:val="2767588B"/>
    <w:rsid w:val="27712ACE"/>
    <w:rsid w:val="27782A4F"/>
    <w:rsid w:val="277D75F1"/>
    <w:rsid w:val="278248D7"/>
    <w:rsid w:val="279B33DF"/>
    <w:rsid w:val="279D0533"/>
    <w:rsid w:val="27BA18FF"/>
    <w:rsid w:val="27CA4876"/>
    <w:rsid w:val="27D161A5"/>
    <w:rsid w:val="27D628F1"/>
    <w:rsid w:val="27E2272F"/>
    <w:rsid w:val="27E27CDC"/>
    <w:rsid w:val="27F90808"/>
    <w:rsid w:val="27FE6705"/>
    <w:rsid w:val="28077421"/>
    <w:rsid w:val="280F3759"/>
    <w:rsid w:val="282E3117"/>
    <w:rsid w:val="282E775E"/>
    <w:rsid w:val="28352C7F"/>
    <w:rsid w:val="284D0B07"/>
    <w:rsid w:val="285129D9"/>
    <w:rsid w:val="285B5BE9"/>
    <w:rsid w:val="285E27A8"/>
    <w:rsid w:val="286F6EBE"/>
    <w:rsid w:val="28700562"/>
    <w:rsid w:val="287C1B07"/>
    <w:rsid w:val="28927521"/>
    <w:rsid w:val="28AB5BA2"/>
    <w:rsid w:val="28AF5FF5"/>
    <w:rsid w:val="28D910CC"/>
    <w:rsid w:val="28E067E0"/>
    <w:rsid w:val="28E43C71"/>
    <w:rsid w:val="28F342C9"/>
    <w:rsid w:val="28F65A3D"/>
    <w:rsid w:val="290966CE"/>
    <w:rsid w:val="291518DE"/>
    <w:rsid w:val="291A7C69"/>
    <w:rsid w:val="2921386E"/>
    <w:rsid w:val="29280D83"/>
    <w:rsid w:val="2949141F"/>
    <w:rsid w:val="29574614"/>
    <w:rsid w:val="295E6D41"/>
    <w:rsid w:val="29697430"/>
    <w:rsid w:val="297D10E9"/>
    <w:rsid w:val="298317FB"/>
    <w:rsid w:val="29876BB3"/>
    <w:rsid w:val="2995064E"/>
    <w:rsid w:val="2999537E"/>
    <w:rsid w:val="299D6311"/>
    <w:rsid w:val="29C85EF7"/>
    <w:rsid w:val="29CB01B5"/>
    <w:rsid w:val="29CC6C1E"/>
    <w:rsid w:val="29D013C4"/>
    <w:rsid w:val="29DE1B08"/>
    <w:rsid w:val="29F0429F"/>
    <w:rsid w:val="29F23818"/>
    <w:rsid w:val="2A0B310D"/>
    <w:rsid w:val="2A0E0FC8"/>
    <w:rsid w:val="2A1507BD"/>
    <w:rsid w:val="2A1A4AA8"/>
    <w:rsid w:val="2A1B622B"/>
    <w:rsid w:val="2A2E4501"/>
    <w:rsid w:val="2A30308F"/>
    <w:rsid w:val="2A395564"/>
    <w:rsid w:val="2A3C7DF5"/>
    <w:rsid w:val="2A4D225D"/>
    <w:rsid w:val="2A526995"/>
    <w:rsid w:val="2A5411B8"/>
    <w:rsid w:val="2A672630"/>
    <w:rsid w:val="2A6A31BA"/>
    <w:rsid w:val="2A936694"/>
    <w:rsid w:val="2AAD7158"/>
    <w:rsid w:val="2AB03642"/>
    <w:rsid w:val="2AB84045"/>
    <w:rsid w:val="2AC3730A"/>
    <w:rsid w:val="2AD10E7A"/>
    <w:rsid w:val="2AD87E1B"/>
    <w:rsid w:val="2ADA3F56"/>
    <w:rsid w:val="2AF60159"/>
    <w:rsid w:val="2AF678E4"/>
    <w:rsid w:val="2AFF3C43"/>
    <w:rsid w:val="2B0756ED"/>
    <w:rsid w:val="2B08741A"/>
    <w:rsid w:val="2B0E757B"/>
    <w:rsid w:val="2B1004B5"/>
    <w:rsid w:val="2B26166C"/>
    <w:rsid w:val="2B2720C0"/>
    <w:rsid w:val="2B2E2E50"/>
    <w:rsid w:val="2B2F7275"/>
    <w:rsid w:val="2B31180F"/>
    <w:rsid w:val="2B321DF6"/>
    <w:rsid w:val="2B4207E7"/>
    <w:rsid w:val="2B594222"/>
    <w:rsid w:val="2B5E5878"/>
    <w:rsid w:val="2B75379F"/>
    <w:rsid w:val="2B7E5BB5"/>
    <w:rsid w:val="2B877B0A"/>
    <w:rsid w:val="2B8A0B28"/>
    <w:rsid w:val="2B8E237A"/>
    <w:rsid w:val="2B901B0A"/>
    <w:rsid w:val="2B970774"/>
    <w:rsid w:val="2B973BD5"/>
    <w:rsid w:val="2BAC0B83"/>
    <w:rsid w:val="2BB25406"/>
    <w:rsid w:val="2BBC33CE"/>
    <w:rsid w:val="2BC313F5"/>
    <w:rsid w:val="2BC52B27"/>
    <w:rsid w:val="2BCE41E6"/>
    <w:rsid w:val="2BDE10BF"/>
    <w:rsid w:val="2BEA4C87"/>
    <w:rsid w:val="2BFC7227"/>
    <w:rsid w:val="2C003BDF"/>
    <w:rsid w:val="2C015B3F"/>
    <w:rsid w:val="2C0D386F"/>
    <w:rsid w:val="2C101C1F"/>
    <w:rsid w:val="2C125608"/>
    <w:rsid w:val="2C142154"/>
    <w:rsid w:val="2C160F0A"/>
    <w:rsid w:val="2C212A76"/>
    <w:rsid w:val="2C2A05D7"/>
    <w:rsid w:val="2C3D60D2"/>
    <w:rsid w:val="2C49638A"/>
    <w:rsid w:val="2C587886"/>
    <w:rsid w:val="2C5936C2"/>
    <w:rsid w:val="2C63417A"/>
    <w:rsid w:val="2C6701D6"/>
    <w:rsid w:val="2C791BE9"/>
    <w:rsid w:val="2C7E083F"/>
    <w:rsid w:val="2C8D5E17"/>
    <w:rsid w:val="2C9703DA"/>
    <w:rsid w:val="2C9B691D"/>
    <w:rsid w:val="2CA30260"/>
    <w:rsid w:val="2CAA258A"/>
    <w:rsid w:val="2CB32726"/>
    <w:rsid w:val="2CC1673A"/>
    <w:rsid w:val="2CEA5DC4"/>
    <w:rsid w:val="2CEC1DFB"/>
    <w:rsid w:val="2CF95FDA"/>
    <w:rsid w:val="2CFB5A70"/>
    <w:rsid w:val="2CFC228D"/>
    <w:rsid w:val="2D01681F"/>
    <w:rsid w:val="2D061BA1"/>
    <w:rsid w:val="2D06533C"/>
    <w:rsid w:val="2D0D18BD"/>
    <w:rsid w:val="2D200DC3"/>
    <w:rsid w:val="2D245C56"/>
    <w:rsid w:val="2D29166A"/>
    <w:rsid w:val="2D3564F0"/>
    <w:rsid w:val="2D3A453E"/>
    <w:rsid w:val="2D3B488B"/>
    <w:rsid w:val="2D491724"/>
    <w:rsid w:val="2D4B29BE"/>
    <w:rsid w:val="2D5174D3"/>
    <w:rsid w:val="2D6578AD"/>
    <w:rsid w:val="2D756DD9"/>
    <w:rsid w:val="2D780F55"/>
    <w:rsid w:val="2D7B0EE7"/>
    <w:rsid w:val="2D7D5A06"/>
    <w:rsid w:val="2D7F2559"/>
    <w:rsid w:val="2D843C45"/>
    <w:rsid w:val="2D927406"/>
    <w:rsid w:val="2D94600F"/>
    <w:rsid w:val="2D9929F1"/>
    <w:rsid w:val="2DA30DF5"/>
    <w:rsid w:val="2DA44900"/>
    <w:rsid w:val="2DA658AE"/>
    <w:rsid w:val="2DCD6BC1"/>
    <w:rsid w:val="2DD94DA0"/>
    <w:rsid w:val="2DDC2DE0"/>
    <w:rsid w:val="2DF945E9"/>
    <w:rsid w:val="2E041CE3"/>
    <w:rsid w:val="2E120A52"/>
    <w:rsid w:val="2E3A6C62"/>
    <w:rsid w:val="2E3E293E"/>
    <w:rsid w:val="2E62659B"/>
    <w:rsid w:val="2E6D4084"/>
    <w:rsid w:val="2E717143"/>
    <w:rsid w:val="2E7D6922"/>
    <w:rsid w:val="2E9247F3"/>
    <w:rsid w:val="2E9E0A17"/>
    <w:rsid w:val="2E9E4EF8"/>
    <w:rsid w:val="2E9F0977"/>
    <w:rsid w:val="2EB024F2"/>
    <w:rsid w:val="2EB8499D"/>
    <w:rsid w:val="2EE541B6"/>
    <w:rsid w:val="2F050172"/>
    <w:rsid w:val="2F067C0A"/>
    <w:rsid w:val="2F0916DE"/>
    <w:rsid w:val="2F0C1289"/>
    <w:rsid w:val="2F123812"/>
    <w:rsid w:val="2F133C84"/>
    <w:rsid w:val="2F300799"/>
    <w:rsid w:val="2F374109"/>
    <w:rsid w:val="2F4E7AD6"/>
    <w:rsid w:val="2F526D13"/>
    <w:rsid w:val="2F5813B5"/>
    <w:rsid w:val="2F73797C"/>
    <w:rsid w:val="2F7773FB"/>
    <w:rsid w:val="2F827318"/>
    <w:rsid w:val="2F840B51"/>
    <w:rsid w:val="2F8B1FA9"/>
    <w:rsid w:val="2F8F3329"/>
    <w:rsid w:val="2F967CEE"/>
    <w:rsid w:val="2FA220B4"/>
    <w:rsid w:val="2FA943F6"/>
    <w:rsid w:val="2FAA1BE7"/>
    <w:rsid w:val="2FB16EFB"/>
    <w:rsid w:val="2FB45875"/>
    <w:rsid w:val="2FBD3F72"/>
    <w:rsid w:val="2FC00F02"/>
    <w:rsid w:val="2FD00CB0"/>
    <w:rsid w:val="2FD31623"/>
    <w:rsid w:val="2FD87069"/>
    <w:rsid w:val="2FDC53F5"/>
    <w:rsid w:val="2FE33098"/>
    <w:rsid w:val="2FE63CB7"/>
    <w:rsid w:val="2FE76F8B"/>
    <w:rsid w:val="2FF00C0C"/>
    <w:rsid w:val="2FF30F6C"/>
    <w:rsid w:val="2FFB73B8"/>
    <w:rsid w:val="30154825"/>
    <w:rsid w:val="301664C3"/>
    <w:rsid w:val="30190E33"/>
    <w:rsid w:val="30210CFA"/>
    <w:rsid w:val="30292637"/>
    <w:rsid w:val="303A5DE9"/>
    <w:rsid w:val="30437EBE"/>
    <w:rsid w:val="30494EEE"/>
    <w:rsid w:val="305058C5"/>
    <w:rsid w:val="30576D22"/>
    <w:rsid w:val="30580EF6"/>
    <w:rsid w:val="3060732C"/>
    <w:rsid w:val="306608E0"/>
    <w:rsid w:val="307B2B6B"/>
    <w:rsid w:val="307E06C2"/>
    <w:rsid w:val="309614EC"/>
    <w:rsid w:val="309A633D"/>
    <w:rsid w:val="30AA3CA5"/>
    <w:rsid w:val="30B432A8"/>
    <w:rsid w:val="30B6347E"/>
    <w:rsid w:val="30BB1869"/>
    <w:rsid w:val="30C4351B"/>
    <w:rsid w:val="30E32E2B"/>
    <w:rsid w:val="31021F0B"/>
    <w:rsid w:val="3107615C"/>
    <w:rsid w:val="310F530E"/>
    <w:rsid w:val="311047C8"/>
    <w:rsid w:val="31115AE5"/>
    <w:rsid w:val="312976AA"/>
    <w:rsid w:val="312B63CA"/>
    <w:rsid w:val="312D4529"/>
    <w:rsid w:val="312F7BB0"/>
    <w:rsid w:val="31306E3A"/>
    <w:rsid w:val="313410BC"/>
    <w:rsid w:val="31341BB7"/>
    <w:rsid w:val="31370329"/>
    <w:rsid w:val="31375197"/>
    <w:rsid w:val="314A667F"/>
    <w:rsid w:val="315279B1"/>
    <w:rsid w:val="3156000E"/>
    <w:rsid w:val="316B7EEE"/>
    <w:rsid w:val="317B6CAA"/>
    <w:rsid w:val="3186243E"/>
    <w:rsid w:val="3186535C"/>
    <w:rsid w:val="319F50D7"/>
    <w:rsid w:val="31A51776"/>
    <w:rsid w:val="31A91C83"/>
    <w:rsid w:val="31B154D5"/>
    <w:rsid w:val="31C040DE"/>
    <w:rsid w:val="31CA5B4D"/>
    <w:rsid w:val="31D06825"/>
    <w:rsid w:val="31F47FFE"/>
    <w:rsid w:val="31FD27E0"/>
    <w:rsid w:val="32004C08"/>
    <w:rsid w:val="32050984"/>
    <w:rsid w:val="322108BA"/>
    <w:rsid w:val="32281367"/>
    <w:rsid w:val="32293472"/>
    <w:rsid w:val="323F5218"/>
    <w:rsid w:val="32496355"/>
    <w:rsid w:val="326516AD"/>
    <w:rsid w:val="32692E38"/>
    <w:rsid w:val="326D079B"/>
    <w:rsid w:val="327207CE"/>
    <w:rsid w:val="32754872"/>
    <w:rsid w:val="32913AC7"/>
    <w:rsid w:val="32A4510E"/>
    <w:rsid w:val="32A47B60"/>
    <w:rsid w:val="32A71CAE"/>
    <w:rsid w:val="32AE3695"/>
    <w:rsid w:val="32B11EE2"/>
    <w:rsid w:val="32BA1A34"/>
    <w:rsid w:val="32BE422E"/>
    <w:rsid w:val="32DE28F1"/>
    <w:rsid w:val="32E73616"/>
    <w:rsid w:val="32E844F4"/>
    <w:rsid w:val="32EF3425"/>
    <w:rsid w:val="331C2547"/>
    <w:rsid w:val="33232B28"/>
    <w:rsid w:val="332C6BC3"/>
    <w:rsid w:val="333A022E"/>
    <w:rsid w:val="333F72E8"/>
    <w:rsid w:val="33565A18"/>
    <w:rsid w:val="33600E61"/>
    <w:rsid w:val="33690C45"/>
    <w:rsid w:val="336B5A48"/>
    <w:rsid w:val="336B7880"/>
    <w:rsid w:val="336C4D6C"/>
    <w:rsid w:val="33772DF0"/>
    <w:rsid w:val="3385492D"/>
    <w:rsid w:val="33A24CE4"/>
    <w:rsid w:val="33A75781"/>
    <w:rsid w:val="33A83166"/>
    <w:rsid w:val="33AB46BC"/>
    <w:rsid w:val="33B3297D"/>
    <w:rsid w:val="33C33137"/>
    <w:rsid w:val="33C37B4D"/>
    <w:rsid w:val="33C55DAC"/>
    <w:rsid w:val="33C94EC0"/>
    <w:rsid w:val="33CF0B12"/>
    <w:rsid w:val="33DA3D62"/>
    <w:rsid w:val="33DA479A"/>
    <w:rsid w:val="33EB3E2C"/>
    <w:rsid w:val="33F04C0F"/>
    <w:rsid w:val="33F57276"/>
    <w:rsid w:val="33F731C9"/>
    <w:rsid w:val="33FF1676"/>
    <w:rsid w:val="340A3CDA"/>
    <w:rsid w:val="340F6388"/>
    <w:rsid w:val="34216B10"/>
    <w:rsid w:val="34351ADF"/>
    <w:rsid w:val="344A4CC5"/>
    <w:rsid w:val="346A17E6"/>
    <w:rsid w:val="34740000"/>
    <w:rsid w:val="3476527D"/>
    <w:rsid w:val="348341DF"/>
    <w:rsid w:val="348E3CA1"/>
    <w:rsid w:val="34A1251B"/>
    <w:rsid w:val="34A57A6F"/>
    <w:rsid w:val="34B0006C"/>
    <w:rsid w:val="34BC020E"/>
    <w:rsid w:val="34C26C75"/>
    <w:rsid w:val="34C83FAB"/>
    <w:rsid w:val="34DB0669"/>
    <w:rsid w:val="34DD6A21"/>
    <w:rsid w:val="34E16F0D"/>
    <w:rsid w:val="34E25570"/>
    <w:rsid w:val="34F072C2"/>
    <w:rsid w:val="350536E3"/>
    <w:rsid w:val="3508204C"/>
    <w:rsid w:val="35096E06"/>
    <w:rsid w:val="351B054A"/>
    <w:rsid w:val="35220E22"/>
    <w:rsid w:val="352267BD"/>
    <w:rsid w:val="352B2D2B"/>
    <w:rsid w:val="352D34CC"/>
    <w:rsid w:val="35306535"/>
    <w:rsid w:val="353A7089"/>
    <w:rsid w:val="3546336A"/>
    <w:rsid w:val="3558093F"/>
    <w:rsid w:val="35580C6F"/>
    <w:rsid w:val="35665B05"/>
    <w:rsid w:val="35695768"/>
    <w:rsid w:val="35706E87"/>
    <w:rsid w:val="35787D25"/>
    <w:rsid w:val="35792E59"/>
    <w:rsid w:val="35947E5A"/>
    <w:rsid w:val="35984F05"/>
    <w:rsid w:val="35A73B0D"/>
    <w:rsid w:val="35AE6B9C"/>
    <w:rsid w:val="35B37B70"/>
    <w:rsid w:val="35B84F52"/>
    <w:rsid w:val="35C23663"/>
    <w:rsid w:val="35C3375B"/>
    <w:rsid w:val="35C84A34"/>
    <w:rsid w:val="35CF245B"/>
    <w:rsid w:val="35D244DF"/>
    <w:rsid w:val="35DD62B0"/>
    <w:rsid w:val="35E22889"/>
    <w:rsid w:val="35E44D47"/>
    <w:rsid w:val="35F801B0"/>
    <w:rsid w:val="35FA042D"/>
    <w:rsid w:val="35FB65DC"/>
    <w:rsid w:val="36017E0D"/>
    <w:rsid w:val="36072B43"/>
    <w:rsid w:val="360763E0"/>
    <w:rsid w:val="36144A56"/>
    <w:rsid w:val="36156E60"/>
    <w:rsid w:val="361A64BF"/>
    <w:rsid w:val="361F3157"/>
    <w:rsid w:val="36284C84"/>
    <w:rsid w:val="362B6216"/>
    <w:rsid w:val="36333E48"/>
    <w:rsid w:val="363615B5"/>
    <w:rsid w:val="36362FBA"/>
    <w:rsid w:val="36380197"/>
    <w:rsid w:val="36516FF3"/>
    <w:rsid w:val="36525A03"/>
    <w:rsid w:val="36584F4A"/>
    <w:rsid w:val="366E4681"/>
    <w:rsid w:val="36715752"/>
    <w:rsid w:val="36811A6A"/>
    <w:rsid w:val="368252C9"/>
    <w:rsid w:val="36AC0887"/>
    <w:rsid w:val="36AF5C23"/>
    <w:rsid w:val="36C3626E"/>
    <w:rsid w:val="36CA5079"/>
    <w:rsid w:val="36D75364"/>
    <w:rsid w:val="36DB39D6"/>
    <w:rsid w:val="36DE1B2D"/>
    <w:rsid w:val="36E468C2"/>
    <w:rsid w:val="36EB1CE0"/>
    <w:rsid w:val="36F25E2B"/>
    <w:rsid w:val="36F73D71"/>
    <w:rsid w:val="370352A0"/>
    <w:rsid w:val="3704389C"/>
    <w:rsid w:val="370703AC"/>
    <w:rsid w:val="370917F5"/>
    <w:rsid w:val="371455D3"/>
    <w:rsid w:val="37170CFE"/>
    <w:rsid w:val="371C79BE"/>
    <w:rsid w:val="37237326"/>
    <w:rsid w:val="372768D0"/>
    <w:rsid w:val="37295AB1"/>
    <w:rsid w:val="37370DB2"/>
    <w:rsid w:val="37394B18"/>
    <w:rsid w:val="373B6D2B"/>
    <w:rsid w:val="373D2222"/>
    <w:rsid w:val="374B080A"/>
    <w:rsid w:val="374B3F6A"/>
    <w:rsid w:val="374F610C"/>
    <w:rsid w:val="375D008A"/>
    <w:rsid w:val="375F6058"/>
    <w:rsid w:val="3761039E"/>
    <w:rsid w:val="3771518D"/>
    <w:rsid w:val="37763DB9"/>
    <w:rsid w:val="378174E4"/>
    <w:rsid w:val="378848BF"/>
    <w:rsid w:val="37996CAD"/>
    <w:rsid w:val="379D6B96"/>
    <w:rsid w:val="37C25BC4"/>
    <w:rsid w:val="37C97F73"/>
    <w:rsid w:val="37E92373"/>
    <w:rsid w:val="37F126CB"/>
    <w:rsid w:val="380B2E6F"/>
    <w:rsid w:val="38134C04"/>
    <w:rsid w:val="382251FD"/>
    <w:rsid w:val="38383445"/>
    <w:rsid w:val="383E7FE6"/>
    <w:rsid w:val="38536E02"/>
    <w:rsid w:val="38586D77"/>
    <w:rsid w:val="38613073"/>
    <w:rsid w:val="386505A0"/>
    <w:rsid w:val="386B32C6"/>
    <w:rsid w:val="386D49CB"/>
    <w:rsid w:val="387D75A6"/>
    <w:rsid w:val="38887BA2"/>
    <w:rsid w:val="38890A5A"/>
    <w:rsid w:val="389A67ED"/>
    <w:rsid w:val="38A157F8"/>
    <w:rsid w:val="38C001B9"/>
    <w:rsid w:val="38C23043"/>
    <w:rsid w:val="38C34441"/>
    <w:rsid w:val="38CD15F0"/>
    <w:rsid w:val="38CE5171"/>
    <w:rsid w:val="38DE55D3"/>
    <w:rsid w:val="38EB0861"/>
    <w:rsid w:val="38F25014"/>
    <w:rsid w:val="38F92B13"/>
    <w:rsid w:val="39097C88"/>
    <w:rsid w:val="391C4C0C"/>
    <w:rsid w:val="391E07D5"/>
    <w:rsid w:val="392318E9"/>
    <w:rsid w:val="39325A59"/>
    <w:rsid w:val="394A26B1"/>
    <w:rsid w:val="394A3B06"/>
    <w:rsid w:val="394C29B0"/>
    <w:rsid w:val="394E22F7"/>
    <w:rsid w:val="394F751D"/>
    <w:rsid w:val="39537F7A"/>
    <w:rsid w:val="396D3739"/>
    <w:rsid w:val="39792A89"/>
    <w:rsid w:val="39897D74"/>
    <w:rsid w:val="398A2DBA"/>
    <w:rsid w:val="39A030FF"/>
    <w:rsid w:val="39A678B4"/>
    <w:rsid w:val="39A85DDC"/>
    <w:rsid w:val="39AF69E6"/>
    <w:rsid w:val="39BE5D08"/>
    <w:rsid w:val="39C32DE0"/>
    <w:rsid w:val="39C74981"/>
    <w:rsid w:val="39CC28FE"/>
    <w:rsid w:val="39D40CDF"/>
    <w:rsid w:val="39D83630"/>
    <w:rsid w:val="39F87110"/>
    <w:rsid w:val="3A264EEB"/>
    <w:rsid w:val="3A327A68"/>
    <w:rsid w:val="3A3924D6"/>
    <w:rsid w:val="3A3D7621"/>
    <w:rsid w:val="3A55558C"/>
    <w:rsid w:val="3A594C72"/>
    <w:rsid w:val="3A5B7455"/>
    <w:rsid w:val="3A5C1851"/>
    <w:rsid w:val="3A6243E9"/>
    <w:rsid w:val="3A70447B"/>
    <w:rsid w:val="3A77299F"/>
    <w:rsid w:val="3A777B84"/>
    <w:rsid w:val="3A782BA4"/>
    <w:rsid w:val="3A855BCD"/>
    <w:rsid w:val="3AAC371F"/>
    <w:rsid w:val="3ACF248A"/>
    <w:rsid w:val="3AE60CE7"/>
    <w:rsid w:val="3AF7791D"/>
    <w:rsid w:val="3AFE2E5A"/>
    <w:rsid w:val="3B084396"/>
    <w:rsid w:val="3B085818"/>
    <w:rsid w:val="3B0D3264"/>
    <w:rsid w:val="3B1F3404"/>
    <w:rsid w:val="3B205EA2"/>
    <w:rsid w:val="3B226E29"/>
    <w:rsid w:val="3B335628"/>
    <w:rsid w:val="3B385D7C"/>
    <w:rsid w:val="3B4E2B93"/>
    <w:rsid w:val="3B551971"/>
    <w:rsid w:val="3B561723"/>
    <w:rsid w:val="3B6D1969"/>
    <w:rsid w:val="3B6E0216"/>
    <w:rsid w:val="3B785444"/>
    <w:rsid w:val="3B7A2EFB"/>
    <w:rsid w:val="3B8161D9"/>
    <w:rsid w:val="3B8E3992"/>
    <w:rsid w:val="3B903C44"/>
    <w:rsid w:val="3B91626C"/>
    <w:rsid w:val="3BA9296F"/>
    <w:rsid w:val="3BAE21C3"/>
    <w:rsid w:val="3BAE7B42"/>
    <w:rsid w:val="3BB14CC7"/>
    <w:rsid w:val="3BC041FC"/>
    <w:rsid w:val="3BCC2FAD"/>
    <w:rsid w:val="3BDB5724"/>
    <w:rsid w:val="3BDD5414"/>
    <w:rsid w:val="3BE0087C"/>
    <w:rsid w:val="3C0809A6"/>
    <w:rsid w:val="3C0D2655"/>
    <w:rsid w:val="3C0D564E"/>
    <w:rsid w:val="3C2F52A7"/>
    <w:rsid w:val="3C46717C"/>
    <w:rsid w:val="3C4C6291"/>
    <w:rsid w:val="3C4D51D7"/>
    <w:rsid w:val="3C561B55"/>
    <w:rsid w:val="3C586441"/>
    <w:rsid w:val="3C6625BE"/>
    <w:rsid w:val="3C67682D"/>
    <w:rsid w:val="3C6C610D"/>
    <w:rsid w:val="3C71560E"/>
    <w:rsid w:val="3C7A4B38"/>
    <w:rsid w:val="3C7D33C1"/>
    <w:rsid w:val="3C800728"/>
    <w:rsid w:val="3C862D4E"/>
    <w:rsid w:val="3C9C6C0B"/>
    <w:rsid w:val="3C9E3370"/>
    <w:rsid w:val="3CA650F5"/>
    <w:rsid w:val="3CA90BB6"/>
    <w:rsid w:val="3CA95776"/>
    <w:rsid w:val="3CB06D4B"/>
    <w:rsid w:val="3CBC2172"/>
    <w:rsid w:val="3CBC78C7"/>
    <w:rsid w:val="3CC36BC6"/>
    <w:rsid w:val="3CC931CB"/>
    <w:rsid w:val="3CD249B7"/>
    <w:rsid w:val="3CE25202"/>
    <w:rsid w:val="3CF00B5D"/>
    <w:rsid w:val="3CF00EC8"/>
    <w:rsid w:val="3CF07B5F"/>
    <w:rsid w:val="3D055F77"/>
    <w:rsid w:val="3D0E080A"/>
    <w:rsid w:val="3D13265D"/>
    <w:rsid w:val="3D1F44E9"/>
    <w:rsid w:val="3D310D4D"/>
    <w:rsid w:val="3D352FB6"/>
    <w:rsid w:val="3D4718ED"/>
    <w:rsid w:val="3D475220"/>
    <w:rsid w:val="3D496EA5"/>
    <w:rsid w:val="3D557E5A"/>
    <w:rsid w:val="3D577C67"/>
    <w:rsid w:val="3D5C3637"/>
    <w:rsid w:val="3D725204"/>
    <w:rsid w:val="3D7349F8"/>
    <w:rsid w:val="3D763D8A"/>
    <w:rsid w:val="3D824F84"/>
    <w:rsid w:val="3D8B1AB2"/>
    <w:rsid w:val="3D8F3302"/>
    <w:rsid w:val="3DA1281E"/>
    <w:rsid w:val="3DA74EDB"/>
    <w:rsid w:val="3DAD04E2"/>
    <w:rsid w:val="3DB40411"/>
    <w:rsid w:val="3DB84D1F"/>
    <w:rsid w:val="3DBA4258"/>
    <w:rsid w:val="3DC26D78"/>
    <w:rsid w:val="3DD2470E"/>
    <w:rsid w:val="3DDA26A6"/>
    <w:rsid w:val="3DE77004"/>
    <w:rsid w:val="3DEE4692"/>
    <w:rsid w:val="3E043C9E"/>
    <w:rsid w:val="3E156D9E"/>
    <w:rsid w:val="3E187BF8"/>
    <w:rsid w:val="3E307CFC"/>
    <w:rsid w:val="3E48680A"/>
    <w:rsid w:val="3E5F7229"/>
    <w:rsid w:val="3E660930"/>
    <w:rsid w:val="3E6672FD"/>
    <w:rsid w:val="3E6E1546"/>
    <w:rsid w:val="3E7A7E2D"/>
    <w:rsid w:val="3E7B1108"/>
    <w:rsid w:val="3E7E7841"/>
    <w:rsid w:val="3E84131D"/>
    <w:rsid w:val="3E843040"/>
    <w:rsid w:val="3E905A66"/>
    <w:rsid w:val="3EB14D63"/>
    <w:rsid w:val="3EC03F79"/>
    <w:rsid w:val="3ED061E9"/>
    <w:rsid w:val="3EDE7EBB"/>
    <w:rsid w:val="3EEF0624"/>
    <w:rsid w:val="3EF97F30"/>
    <w:rsid w:val="3F0656AB"/>
    <w:rsid w:val="3F0B2DFB"/>
    <w:rsid w:val="3F1317E3"/>
    <w:rsid w:val="3F2D55A3"/>
    <w:rsid w:val="3F3B276D"/>
    <w:rsid w:val="3F473EE7"/>
    <w:rsid w:val="3F577E9E"/>
    <w:rsid w:val="3F5C06AD"/>
    <w:rsid w:val="3F5C2D99"/>
    <w:rsid w:val="3F635856"/>
    <w:rsid w:val="3F654CFD"/>
    <w:rsid w:val="3F7A0947"/>
    <w:rsid w:val="3F7B3357"/>
    <w:rsid w:val="3F7F390C"/>
    <w:rsid w:val="3F8C66FC"/>
    <w:rsid w:val="3F8D39F7"/>
    <w:rsid w:val="3FA6146D"/>
    <w:rsid w:val="3FAD070C"/>
    <w:rsid w:val="3FB304B5"/>
    <w:rsid w:val="3FB6624F"/>
    <w:rsid w:val="3FC57CE9"/>
    <w:rsid w:val="3FC823DC"/>
    <w:rsid w:val="3FCA426C"/>
    <w:rsid w:val="3FCD2015"/>
    <w:rsid w:val="3FD170E9"/>
    <w:rsid w:val="3FD92216"/>
    <w:rsid w:val="3FD947F6"/>
    <w:rsid w:val="3FE2755C"/>
    <w:rsid w:val="3FE3021F"/>
    <w:rsid w:val="3FE4057E"/>
    <w:rsid w:val="3FE53B58"/>
    <w:rsid w:val="3FF61F29"/>
    <w:rsid w:val="3FF64AE7"/>
    <w:rsid w:val="3FF803D6"/>
    <w:rsid w:val="40022C41"/>
    <w:rsid w:val="40123763"/>
    <w:rsid w:val="401D4BAB"/>
    <w:rsid w:val="4020403A"/>
    <w:rsid w:val="402328E8"/>
    <w:rsid w:val="402E390F"/>
    <w:rsid w:val="403570DA"/>
    <w:rsid w:val="403720E6"/>
    <w:rsid w:val="403C4FC4"/>
    <w:rsid w:val="4043188A"/>
    <w:rsid w:val="404855B4"/>
    <w:rsid w:val="405F4D51"/>
    <w:rsid w:val="40706337"/>
    <w:rsid w:val="40847F18"/>
    <w:rsid w:val="408A056F"/>
    <w:rsid w:val="40922FFF"/>
    <w:rsid w:val="40AC05D0"/>
    <w:rsid w:val="40B27283"/>
    <w:rsid w:val="40C229E8"/>
    <w:rsid w:val="40D600DF"/>
    <w:rsid w:val="40DB528F"/>
    <w:rsid w:val="40F1146E"/>
    <w:rsid w:val="40FD61F1"/>
    <w:rsid w:val="410E030F"/>
    <w:rsid w:val="4112025D"/>
    <w:rsid w:val="411A59DB"/>
    <w:rsid w:val="41205331"/>
    <w:rsid w:val="41224190"/>
    <w:rsid w:val="4128545C"/>
    <w:rsid w:val="412E7155"/>
    <w:rsid w:val="413447EE"/>
    <w:rsid w:val="4146505A"/>
    <w:rsid w:val="414F747C"/>
    <w:rsid w:val="415042CE"/>
    <w:rsid w:val="4154466A"/>
    <w:rsid w:val="415859BD"/>
    <w:rsid w:val="415D413D"/>
    <w:rsid w:val="417F0549"/>
    <w:rsid w:val="418743A5"/>
    <w:rsid w:val="418B3F2C"/>
    <w:rsid w:val="418D463A"/>
    <w:rsid w:val="419308F6"/>
    <w:rsid w:val="419708B3"/>
    <w:rsid w:val="41A95457"/>
    <w:rsid w:val="41AC2FAA"/>
    <w:rsid w:val="41C10C10"/>
    <w:rsid w:val="41C868E5"/>
    <w:rsid w:val="41CA733F"/>
    <w:rsid w:val="41DC25CF"/>
    <w:rsid w:val="41E55771"/>
    <w:rsid w:val="42026AB9"/>
    <w:rsid w:val="420542BE"/>
    <w:rsid w:val="421002BF"/>
    <w:rsid w:val="42151515"/>
    <w:rsid w:val="421E6436"/>
    <w:rsid w:val="422A2637"/>
    <w:rsid w:val="42314685"/>
    <w:rsid w:val="42491C10"/>
    <w:rsid w:val="42555BDD"/>
    <w:rsid w:val="425B2ECC"/>
    <w:rsid w:val="427F2818"/>
    <w:rsid w:val="42871625"/>
    <w:rsid w:val="428B2779"/>
    <w:rsid w:val="42C04A69"/>
    <w:rsid w:val="42C43476"/>
    <w:rsid w:val="42D30019"/>
    <w:rsid w:val="42D721E5"/>
    <w:rsid w:val="42D836CF"/>
    <w:rsid w:val="42F408DD"/>
    <w:rsid w:val="42FB06C3"/>
    <w:rsid w:val="430C0C4C"/>
    <w:rsid w:val="430C5053"/>
    <w:rsid w:val="43133CA5"/>
    <w:rsid w:val="43170E25"/>
    <w:rsid w:val="4318127E"/>
    <w:rsid w:val="431941FD"/>
    <w:rsid w:val="4319641E"/>
    <w:rsid w:val="435E6B01"/>
    <w:rsid w:val="436E3C1F"/>
    <w:rsid w:val="43707C78"/>
    <w:rsid w:val="43741443"/>
    <w:rsid w:val="43752DD2"/>
    <w:rsid w:val="437B32DF"/>
    <w:rsid w:val="43800977"/>
    <w:rsid w:val="43813094"/>
    <w:rsid w:val="43887B07"/>
    <w:rsid w:val="438E55C6"/>
    <w:rsid w:val="43943B8E"/>
    <w:rsid w:val="43AB461D"/>
    <w:rsid w:val="43AF47E9"/>
    <w:rsid w:val="43B42337"/>
    <w:rsid w:val="43BC2FAD"/>
    <w:rsid w:val="43C67EDE"/>
    <w:rsid w:val="43CE4ECF"/>
    <w:rsid w:val="43CF5692"/>
    <w:rsid w:val="43D80743"/>
    <w:rsid w:val="43DD3A88"/>
    <w:rsid w:val="43DF48B7"/>
    <w:rsid w:val="43EC4498"/>
    <w:rsid w:val="43F16153"/>
    <w:rsid w:val="4414274D"/>
    <w:rsid w:val="441F66B9"/>
    <w:rsid w:val="443B3E0E"/>
    <w:rsid w:val="443E3B24"/>
    <w:rsid w:val="44504631"/>
    <w:rsid w:val="445400F1"/>
    <w:rsid w:val="446B3A3D"/>
    <w:rsid w:val="446D5E22"/>
    <w:rsid w:val="44752A4C"/>
    <w:rsid w:val="44771B92"/>
    <w:rsid w:val="447B1AEE"/>
    <w:rsid w:val="44802BB1"/>
    <w:rsid w:val="44803199"/>
    <w:rsid w:val="44887FBB"/>
    <w:rsid w:val="449743A7"/>
    <w:rsid w:val="44A02CAC"/>
    <w:rsid w:val="44A26C11"/>
    <w:rsid w:val="44AD4270"/>
    <w:rsid w:val="44B80CAC"/>
    <w:rsid w:val="44C165B7"/>
    <w:rsid w:val="44D025C5"/>
    <w:rsid w:val="44D74449"/>
    <w:rsid w:val="44DD768A"/>
    <w:rsid w:val="44E60C77"/>
    <w:rsid w:val="44E60FC1"/>
    <w:rsid w:val="44EB17EB"/>
    <w:rsid w:val="44EB4078"/>
    <w:rsid w:val="44F0027B"/>
    <w:rsid w:val="45066828"/>
    <w:rsid w:val="450C07AF"/>
    <w:rsid w:val="450C6126"/>
    <w:rsid w:val="45113F86"/>
    <w:rsid w:val="4513755D"/>
    <w:rsid w:val="453B127E"/>
    <w:rsid w:val="453D2319"/>
    <w:rsid w:val="45475248"/>
    <w:rsid w:val="454F0E62"/>
    <w:rsid w:val="455810E0"/>
    <w:rsid w:val="455B6F79"/>
    <w:rsid w:val="455D2940"/>
    <w:rsid w:val="456B51F1"/>
    <w:rsid w:val="456E579D"/>
    <w:rsid w:val="456F2CB4"/>
    <w:rsid w:val="45727D47"/>
    <w:rsid w:val="45792D2A"/>
    <w:rsid w:val="457A3CB9"/>
    <w:rsid w:val="458F3A84"/>
    <w:rsid w:val="45957649"/>
    <w:rsid w:val="459A116C"/>
    <w:rsid w:val="45A207E5"/>
    <w:rsid w:val="45B27541"/>
    <w:rsid w:val="45B774F0"/>
    <w:rsid w:val="45BF34C9"/>
    <w:rsid w:val="45D434F5"/>
    <w:rsid w:val="45E32CE7"/>
    <w:rsid w:val="45E923A9"/>
    <w:rsid w:val="45FB19E9"/>
    <w:rsid w:val="45FC265D"/>
    <w:rsid w:val="460035E1"/>
    <w:rsid w:val="460324BA"/>
    <w:rsid w:val="4606075A"/>
    <w:rsid w:val="46085A15"/>
    <w:rsid w:val="461E0FF2"/>
    <w:rsid w:val="462278FE"/>
    <w:rsid w:val="462567BF"/>
    <w:rsid w:val="4629613C"/>
    <w:rsid w:val="4632669A"/>
    <w:rsid w:val="463E05FF"/>
    <w:rsid w:val="4641484E"/>
    <w:rsid w:val="46481C16"/>
    <w:rsid w:val="464B7653"/>
    <w:rsid w:val="465344E3"/>
    <w:rsid w:val="46596DEB"/>
    <w:rsid w:val="46645373"/>
    <w:rsid w:val="4670735A"/>
    <w:rsid w:val="467329C7"/>
    <w:rsid w:val="467B461C"/>
    <w:rsid w:val="467D588B"/>
    <w:rsid w:val="467F2FFD"/>
    <w:rsid w:val="4681255F"/>
    <w:rsid w:val="468410F0"/>
    <w:rsid w:val="468764B3"/>
    <w:rsid w:val="46982249"/>
    <w:rsid w:val="46B72FCA"/>
    <w:rsid w:val="46C43B4D"/>
    <w:rsid w:val="46C51984"/>
    <w:rsid w:val="46D06F26"/>
    <w:rsid w:val="46D712D9"/>
    <w:rsid w:val="46E06C9B"/>
    <w:rsid w:val="46E33DCE"/>
    <w:rsid w:val="46E64E5B"/>
    <w:rsid w:val="46F74955"/>
    <w:rsid w:val="470230C0"/>
    <w:rsid w:val="470B009A"/>
    <w:rsid w:val="47181A76"/>
    <w:rsid w:val="47185215"/>
    <w:rsid w:val="47290406"/>
    <w:rsid w:val="472B7EE5"/>
    <w:rsid w:val="472F3979"/>
    <w:rsid w:val="4732027C"/>
    <w:rsid w:val="473D6E2B"/>
    <w:rsid w:val="47480611"/>
    <w:rsid w:val="47501FE5"/>
    <w:rsid w:val="4753548A"/>
    <w:rsid w:val="475360D0"/>
    <w:rsid w:val="475910F0"/>
    <w:rsid w:val="476927AB"/>
    <w:rsid w:val="4777745A"/>
    <w:rsid w:val="477F125A"/>
    <w:rsid w:val="47847E2E"/>
    <w:rsid w:val="478A1F2D"/>
    <w:rsid w:val="478C1E5D"/>
    <w:rsid w:val="478F7DEE"/>
    <w:rsid w:val="479523B8"/>
    <w:rsid w:val="479C4289"/>
    <w:rsid w:val="47A70DC8"/>
    <w:rsid w:val="47AC4472"/>
    <w:rsid w:val="47AF2533"/>
    <w:rsid w:val="47B25621"/>
    <w:rsid w:val="47B83A96"/>
    <w:rsid w:val="47B959DD"/>
    <w:rsid w:val="47BF2232"/>
    <w:rsid w:val="47C523C2"/>
    <w:rsid w:val="47C75B27"/>
    <w:rsid w:val="47CA1DFC"/>
    <w:rsid w:val="47DB0CEE"/>
    <w:rsid w:val="47F24C8D"/>
    <w:rsid w:val="48070D7E"/>
    <w:rsid w:val="481A1AFC"/>
    <w:rsid w:val="48250E88"/>
    <w:rsid w:val="48276094"/>
    <w:rsid w:val="4831306B"/>
    <w:rsid w:val="4837211C"/>
    <w:rsid w:val="483B092F"/>
    <w:rsid w:val="4844263D"/>
    <w:rsid w:val="48490438"/>
    <w:rsid w:val="48630CD2"/>
    <w:rsid w:val="486E7C30"/>
    <w:rsid w:val="48785E05"/>
    <w:rsid w:val="488D0FF3"/>
    <w:rsid w:val="489439BB"/>
    <w:rsid w:val="489C39FC"/>
    <w:rsid w:val="489F42C6"/>
    <w:rsid w:val="48A15155"/>
    <w:rsid w:val="48A608FF"/>
    <w:rsid w:val="48A85700"/>
    <w:rsid w:val="48AC45D2"/>
    <w:rsid w:val="48B20F9A"/>
    <w:rsid w:val="48B70892"/>
    <w:rsid w:val="48C10C24"/>
    <w:rsid w:val="48C25730"/>
    <w:rsid w:val="48E76985"/>
    <w:rsid w:val="48ED5861"/>
    <w:rsid w:val="48F0027B"/>
    <w:rsid w:val="48FA6EEF"/>
    <w:rsid w:val="48FB0DC5"/>
    <w:rsid w:val="48FD369C"/>
    <w:rsid w:val="49056858"/>
    <w:rsid w:val="49162454"/>
    <w:rsid w:val="491F2CDC"/>
    <w:rsid w:val="49244E88"/>
    <w:rsid w:val="49252F0F"/>
    <w:rsid w:val="493D3DF4"/>
    <w:rsid w:val="49457663"/>
    <w:rsid w:val="49686506"/>
    <w:rsid w:val="4971534A"/>
    <w:rsid w:val="4974763B"/>
    <w:rsid w:val="497D45DB"/>
    <w:rsid w:val="4984691B"/>
    <w:rsid w:val="49941FAF"/>
    <w:rsid w:val="4997622A"/>
    <w:rsid w:val="499F393A"/>
    <w:rsid w:val="49AA56B4"/>
    <w:rsid w:val="49AD5801"/>
    <w:rsid w:val="49B4674D"/>
    <w:rsid w:val="49BA5AA8"/>
    <w:rsid w:val="49C91B13"/>
    <w:rsid w:val="49CB6C82"/>
    <w:rsid w:val="49CC0A90"/>
    <w:rsid w:val="49CE6757"/>
    <w:rsid w:val="49D77BEE"/>
    <w:rsid w:val="49E06963"/>
    <w:rsid w:val="49E46390"/>
    <w:rsid w:val="49E71B02"/>
    <w:rsid w:val="49ED1EFC"/>
    <w:rsid w:val="49EE66E3"/>
    <w:rsid w:val="49EF16CD"/>
    <w:rsid w:val="49F26B63"/>
    <w:rsid w:val="49F97AF7"/>
    <w:rsid w:val="49FA72AF"/>
    <w:rsid w:val="4A0216CC"/>
    <w:rsid w:val="4A0C7FFB"/>
    <w:rsid w:val="4A116EA7"/>
    <w:rsid w:val="4A220DBE"/>
    <w:rsid w:val="4A233FF5"/>
    <w:rsid w:val="4A280A75"/>
    <w:rsid w:val="4A2C70A4"/>
    <w:rsid w:val="4A311CC7"/>
    <w:rsid w:val="4A452EF2"/>
    <w:rsid w:val="4A6B2FE5"/>
    <w:rsid w:val="4A7716C1"/>
    <w:rsid w:val="4A7B5EC5"/>
    <w:rsid w:val="4A864F65"/>
    <w:rsid w:val="4A956B8B"/>
    <w:rsid w:val="4A9B2830"/>
    <w:rsid w:val="4A9F5DF0"/>
    <w:rsid w:val="4AA509ED"/>
    <w:rsid w:val="4AAF274D"/>
    <w:rsid w:val="4AB1534E"/>
    <w:rsid w:val="4ABC7620"/>
    <w:rsid w:val="4AC20A20"/>
    <w:rsid w:val="4AF1348E"/>
    <w:rsid w:val="4AF17600"/>
    <w:rsid w:val="4AF65F45"/>
    <w:rsid w:val="4AFF1B11"/>
    <w:rsid w:val="4B161F35"/>
    <w:rsid w:val="4B1D2C08"/>
    <w:rsid w:val="4B3731C6"/>
    <w:rsid w:val="4B45741F"/>
    <w:rsid w:val="4B56190B"/>
    <w:rsid w:val="4B5D6B28"/>
    <w:rsid w:val="4B613C31"/>
    <w:rsid w:val="4B734929"/>
    <w:rsid w:val="4B85544C"/>
    <w:rsid w:val="4B9443B8"/>
    <w:rsid w:val="4B9D69E9"/>
    <w:rsid w:val="4B9E62DE"/>
    <w:rsid w:val="4B9F4A2A"/>
    <w:rsid w:val="4BA97856"/>
    <w:rsid w:val="4BB227F7"/>
    <w:rsid w:val="4BB23665"/>
    <w:rsid w:val="4BCA648C"/>
    <w:rsid w:val="4BCF31D8"/>
    <w:rsid w:val="4BD32587"/>
    <w:rsid w:val="4BDB2508"/>
    <w:rsid w:val="4BE35BA4"/>
    <w:rsid w:val="4BE64AC1"/>
    <w:rsid w:val="4C0277F7"/>
    <w:rsid w:val="4C044832"/>
    <w:rsid w:val="4C0C084B"/>
    <w:rsid w:val="4C0D7261"/>
    <w:rsid w:val="4C1F0C1F"/>
    <w:rsid w:val="4C2069FC"/>
    <w:rsid w:val="4C2A6EEC"/>
    <w:rsid w:val="4C387E5C"/>
    <w:rsid w:val="4C3A1A12"/>
    <w:rsid w:val="4C3C3D57"/>
    <w:rsid w:val="4C3E1195"/>
    <w:rsid w:val="4C430E20"/>
    <w:rsid w:val="4C4420AE"/>
    <w:rsid w:val="4C455AC2"/>
    <w:rsid w:val="4C4B2621"/>
    <w:rsid w:val="4C4D3865"/>
    <w:rsid w:val="4C4F25E3"/>
    <w:rsid w:val="4C50309D"/>
    <w:rsid w:val="4C526654"/>
    <w:rsid w:val="4C5628BF"/>
    <w:rsid w:val="4C6031E0"/>
    <w:rsid w:val="4C8054C0"/>
    <w:rsid w:val="4C8271FA"/>
    <w:rsid w:val="4C877A30"/>
    <w:rsid w:val="4C8F7145"/>
    <w:rsid w:val="4C9F1C47"/>
    <w:rsid w:val="4CA333E5"/>
    <w:rsid w:val="4CA34D34"/>
    <w:rsid w:val="4CA64B70"/>
    <w:rsid w:val="4CA9670E"/>
    <w:rsid w:val="4CAE59F5"/>
    <w:rsid w:val="4CBF324F"/>
    <w:rsid w:val="4CC0531C"/>
    <w:rsid w:val="4CE34668"/>
    <w:rsid w:val="4CEB10F1"/>
    <w:rsid w:val="4CED19E4"/>
    <w:rsid w:val="4CF00075"/>
    <w:rsid w:val="4D0C2D8F"/>
    <w:rsid w:val="4D181A89"/>
    <w:rsid w:val="4D2313F6"/>
    <w:rsid w:val="4D236808"/>
    <w:rsid w:val="4D3812A6"/>
    <w:rsid w:val="4D3A4D36"/>
    <w:rsid w:val="4D3B6A3A"/>
    <w:rsid w:val="4D4608D8"/>
    <w:rsid w:val="4D56422D"/>
    <w:rsid w:val="4D61189F"/>
    <w:rsid w:val="4D6B0D9C"/>
    <w:rsid w:val="4D6F1C8B"/>
    <w:rsid w:val="4D785B9A"/>
    <w:rsid w:val="4D7975A6"/>
    <w:rsid w:val="4D7E2DD6"/>
    <w:rsid w:val="4D7F7A5A"/>
    <w:rsid w:val="4D8279C8"/>
    <w:rsid w:val="4D945845"/>
    <w:rsid w:val="4D990E0C"/>
    <w:rsid w:val="4D9C4F50"/>
    <w:rsid w:val="4DA32CBA"/>
    <w:rsid w:val="4DA35F50"/>
    <w:rsid w:val="4DA76E1D"/>
    <w:rsid w:val="4DB27953"/>
    <w:rsid w:val="4DC53067"/>
    <w:rsid w:val="4DCA1D86"/>
    <w:rsid w:val="4DCC0EDD"/>
    <w:rsid w:val="4DCD30C1"/>
    <w:rsid w:val="4DEF137E"/>
    <w:rsid w:val="4DF86C55"/>
    <w:rsid w:val="4E202508"/>
    <w:rsid w:val="4E216B02"/>
    <w:rsid w:val="4E271D9D"/>
    <w:rsid w:val="4E2E4644"/>
    <w:rsid w:val="4E341096"/>
    <w:rsid w:val="4E375551"/>
    <w:rsid w:val="4E4660E7"/>
    <w:rsid w:val="4E55170C"/>
    <w:rsid w:val="4E5B0177"/>
    <w:rsid w:val="4E6870A2"/>
    <w:rsid w:val="4E6A03BD"/>
    <w:rsid w:val="4E6B2519"/>
    <w:rsid w:val="4E6B739C"/>
    <w:rsid w:val="4E744985"/>
    <w:rsid w:val="4E78203D"/>
    <w:rsid w:val="4E84212F"/>
    <w:rsid w:val="4E872BA7"/>
    <w:rsid w:val="4E9D0F77"/>
    <w:rsid w:val="4E9E03CF"/>
    <w:rsid w:val="4EAF787E"/>
    <w:rsid w:val="4EB35C39"/>
    <w:rsid w:val="4EBC12F9"/>
    <w:rsid w:val="4EBF181D"/>
    <w:rsid w:val="4EDA4D54"/>
    <w:rsid w:val="4EE27B0F"/>
    <w:rsid w:val="4EE6178A"/>
    <w:rsid w:val="4EE909E9"/>
    <w:rsid w:val="4F0524D2"/>
    <w:rsid w:val="4F175715"/>
    <w:rsid w:val="4F1B3BED"/>
    <w:rsid w:val="4F1D43F4"/>
    <w:rsid w:val="4F2543DC"/>
    <w:rsid w:val="4F262D77"/>
    <w:rsid w:val="4F464DA0"/>
    <w:rsid w:val="4F5E241C"/>
    <w:rsid w:val="4F666158"/>
    <w:rsid w:val="4F674F2E"/>
    <w:rsid w:val="4F754179"/>
    <w:rsid w:val="4F7B3228"/>
    <w:rsid w:val="4F87626D"/>
    <w:rsid w:val="4F89661C"/>
    <w:rsid w:val="4F924713"/>
    <w:rsid w:val="4F93064D"/>
    <w:rsid w:val="4F975560"/>
    <w:rsid w:val="4F9F3B8F"/>
    <w:rsid w:val="4FA061EF"/>
    <w:rsid w:val="4FA10A96"/>
    <w:rsid w:val="4FA569BB"/>
    <w:rsid w:val="4FAD02B7"/>
    <w:rsid w:val="4FB677E4"/>
    <w:rsid w:val="4FB739D2"/>
    <w:rsid w:val="4FB92873"/>
    <w:rsid w:val="4FB964EF"/>
    <w:rsid w:val="4FC22AFA"/>
    <w:rsid w:val="4FC27BF1"/>
    <w:rsid w:val="4FC607F5"/>
    <w:rsid w:val="4FC6506F"/>
    <w:rsid w:val="4FCA4A52"/>
    <w:rsid w:val="4FCA5F2B"/>
    <w:rsid w:val="4FCF7A71"/>
    <w:rsid w:val="4FD86CA0"/>
    <w:rsid w:val="50000E80"/>
    <w:rsid w:val="50171F65"/>
    <w:rsid w:val="502679AB"/>
    <w:rsid w:val="502D52FF"/>
    <w:rsid w:val="503677CA"/>
    <w:rsid w:val="503B0F82"/>
    <w:rsid w:val="504253E5"/>
    <w:rsid w:val="50433A51"/>
    <w:rsid w:val="504B3E22"/>
    <w:rsid w:val="50501AD3"/>
    <w:rsid w:val="50566141"/>
    <w:rsid w:val="505A1A1C"/>
    <w:rsid w:val="50625438"/>
    <w:rsid w:val="506C0BAE"/>
    <w:rsid w:val="506C547B"/>
    <w:rsid w:val="50891613"/>
    <w:rsid w:val="50961207"/>
    <w:rsid w:val="509C2374"/>
    <w:rsid w:val="509F7462"/>
    <w:rsid w:val="50A40F8F"/>
    <w:rsid w:val="50AC4B52"/>
    <w:rsid w:val="50C46DC8"/>
    <w:rsid w:val="50C8217D"/>
    <w:rsid w:val="50E90F49"/>
    <w:rsid w:val="50F751AF"/>
    <w:rsid w:val="50FB3913"/>
    <w:rsid w:val="510C6690"/>
    <w:rsid w:val="510D0CD1"/>
    <w:rsid w:val="510E13F3"/>
    <w:rsid w:val="510F1BFC"/>
    <w:rsid w:val="512D3D45"/>
    <w:rsid w:val="513A4884"/>
    <w:rsid w:val="51447DBB"/>
    <w:rsid w:val="515502DF"/>
    <w:rsid w:val="5158325D"/>
    <w:rsid w:val="515A407B"/>
    <w:rsid w:val="51687E58"/>
    <w:rsid w:val="5173022B"/>
    <w:rsid w:val="517E284E"/>
    <w:rsid w:val="5185233E"/>
    <w:rsid w:val="518755B9"/>
    <w:rsid w:val="5191076B"/>
    <w:rsid w:val="519A58A8"/>
    <w:rsid w:val="51A822F7"/>
    <w:rsid w:val="51A873F9"/>
    <w:rsid w:val="51BB57FC"/>
    <w:rsid w:val="51C8429E"/>
    <w:rsid w:val="51CD43C5"/>
    <w:rsid w:val="51CE31F3"/>
    <w:rsid w:val="51E15AC6"/>
    <w:rsid w:val="51E15FA0"/>
    <w:rsid w:val="51E46A57"/>
    <w:rsid w:val="51EB1752"/>
    <w:rsid w:val="51EB33CD"/>
    <w:rsid w:val="51F6701A"/>
    <w:rsid w:val="51FD052F"/>
    <w:rsid w:val="51FF4E43"/>
    <w:rsid w:val="52066699"/>
    <w:rsid w:val="521E1907"/>
    <w:rsid w:val="522B4247"/>
    <w:rsid w:val="52334039"/>
    <w:rsid w:val="5235596A"/>
    <w:rsid w:val="523F3A58"/>
    <w:rsid w:val="52437384"/>
    <w:rsid w:val="5244438F"/>
    <w:rsid w:val="52484021"/>
    <w:rsid w:val="5259196D"/>
    <w:rsid w:val="526670B9"/>
    <w:rsid w:val="52677CB1"/>
    <w:rsid w:val="52712844"/>
    <w:rsid w:val="5272133E"/>
    <w:rsid w:val="52735195"/>
    <w:rsid w:val="5274791C"/>
    <w:rsid w:val="52777AAB"/>
    <w:rsid w:val="5278234B"/>
    <w:rsid w:val="527C30EB"/>
    <w:rsid w:val="527F3260"/>
    <w:rsid w:val="5287786F"/>
    <w:rsid w:val="528F76F9"/>
    <w:rsid w:val="52AE4B32"/>
    <w:rsid w:val="52B33932"/>
    <w:rsid w:val="52BD280D"/>
    <w:rsid w:val="52BF532F"/>
    <w:rsid w:val="52C732C6"/>
    <w:rsid w:val="52D3423F"/>
    <w:rsid w:val="52D6297B"/>
    <w:rsid w:val="52D8640D"/>
    <w:rsid w:val="52E61F80"/>
    <w:rsid w:val="52F21E09"/>
    <w:rsid w:val="52FE43E9"/>
    <w:rsid w:val="53054842"/>
    <w:rsid w:val="530D4272"/>
    <w:rsid w:val="53181A8F"/>
    <w:rsid w:val="532E0428"/>
    <w:rsid w:val="53333DF4"/>
    <w:rsid w:val="533837BC"/>
    <w:rsid w:val="53465C7A"/>
    <w:rsid w:val="53631BA6"/>
    <w:rsid w:val="536C7DCF"/>
    <w:rsid w:val="537C2BBE"/>
    <w:rsid w:val="53887113"/>
    <w:rsid w:val="53A44CD7"/>
    <w:rsid w:val="53AB3283"/>
    <w:rsid w:val="53C818EE"/>
    <w:rsid w:val="53D313A3"/>
    <w:rsid w:val="53D6300D"/>
    <w:rsid w:val="53DC10CE"/>
    <w:rsid w:val="53E408A4"/>
    <w:rsid w:val="53EC3892"/>
    <w:rsid w:val="53FD02A6"/>
    <w:rsid w:val="53FE281D"/>
    <w:rsid w:val="540432A5"/>
    <w:rsid w:val="540F358B"/>
    <w:rsid w:val="54193252"/>
    <w:rsid w:val="541B4B01"/>
    <w:rsid w:val="542C4C31"/>
    <w:rsid w:val="543130D8"/>
    <w:rsid w:val="54346BB5"/>
    <w:rsid w:val="543712F9"/>
    <w:rsid w:val="54480222"/>
    <w:rsid w:val="54543393"/>
    <w:rsid w:val="54687C3D"/>
    <w:rsid w:val="546B207F"/>
    <w:rsid w:val="546C70C8"/>
    <w:rsid w:val="548C6F4B"/>
    <w:rsid w:val="5492601F"/>
    <w:rsid w:val="549B116E"/>
    <w:rsid w:val="549C67E8"/>
    <w:rsid w:val="54AB0269"/>
    <w:rsid w:val="54AD5D03"/>
    <w:rsid w:val="54AE054F"/>
    <w:rsid w:val="54C12DB7"/>
    <w:rsid w:val="54CB62AD"/>
    <w:rsid w:val="54D0103F"/>
    <w:rsid w:val="54DC59EA"/>
    <w:rsid w:val="54DE5DD2"/>
    <w:rsid w:val="54E82A47"/>
    <w:rsid w:val="54E9469E"/>
    <w:rsid w:val="54EB3B40"/>
    <w:rsid w:val="54F364ED"/>
    <w:rsid w:val="55070A34"/>
    <w:rsid w:val="55100AA3"/>
    <w:rsid w:val="55164CD4"/>
    <w:rsid w:val="551A1407"/>
    <w:rsid w:val="55281580"/>
    <w:rsid w:val="55292C12"/>
    <w:rsid w:val="553659BA"/>
    <w:rsid w:val="553764F4"/>
    <w:rsid w:val="55435499"/>
    <w:rsid w:val="55542927"/>
    <w:rsid w:val="55625802"/>
    <w:rsid w:val="55812E1E"/>
    <w:rsid w:val="558F0B7C"/>
    <w:rsid w:val="55910CD6"/>
    <w:rsid w:val="559728AC"/>
    <w:rsid w:val="559771BE"/>
    <w:rsid w:val="559A631A"/>
    <w:rsid w:val="55AC361B"/>
    <w:rsid w:val="55B74EC2"/>
    <w:rsid w:val="55B86D20"/>
    <w:rsid w:val="55BD280C"/>
    <w:rsid w:val="55BE0026"/>
    <w:rsid w:val="55C7522C"/>
    <w:rsid w:val="55D26627"/>
    <w:rsid w:val="55D36317"/>
    <w:rsid w:val="55D62F00"/>
    <w:rsid w:val="55D80559"/>
    <w:rsid w:val="55DD2FC9"/>
    <w:rsid w:val="55DF371A"/>
    <w:rsid w:val="55E715B3"/>
    <w:rsid w:val="56150CD9"/>
    <w:rsid w:val="56283574"/>
    <w:rsid w:val="56325FAE"/>
    <w:rsid w:val="563454ED"/>
    <w:rsid w:val="56360660"/>
    <w:rsid w:val="563966BA"/>
    <w:rsid w:val="56396AFC"/>
    <w:rsid w:val="5644209E"/>
    <w:rsid w:val="56486598"/>
    <w:rsid w:val="564910F6"/>
    <w:rsid w:val="564F655B"/>
    <w:rsid w:val="56534CF9"/>
    <w:rsid w:val="56600C17"/>
    <w:rsid w:val="56635CDF"/>
    <w:rsid w:val="568720DA"/>
    <w:rsid w:val="56891A5E"/>
    <w:rsid w:val="568C7341"/>
    <w:rsid w:val="568D1AB3"/>
    <w:rsid w:val="56975F1E"/>
    <w:rsid w:val="569F1520"/>
    <w:rsid w:val="56B74976"/>
    <w:rsid w:val="56C51C59"/>
    <w:rsid w:val="56D56061"/>
    <w:rsid w:val="56DA0DD8"/>
    <w:rsid w:val="56E17742"/>
    <w:rsid w:val="56E54DA0"/>
    <w:rsid w:val="56F32673"/>
    <w:rsid w:val="56FC299D"/>
    <w:rsid w:val="56FD5D3A"/>
    <w:rsid w:val="570127CE"/>
    <w:rsid w:val="57026357"/>
    <w:rsid w:val="57066388"/>
    <w:rsid w:val="570A1341"/>
    <w:rsid w:val="570B5C25"/>
    <w:rsid w:val="570F3DEF"/>
    <w:rsid w:val="571612B3"/>
    <w:rsid w:val="572E2C7F"/>
    <w:rsid w:val="57434EF2"/>
    <w:rsid w:val="57503EF8"/>
    <w:rsid w:val="57535320"/>
    <w:rsid w:val="575D05DD"/>
    <w:rsid w:val="57741AFB"/>
    <w:rsid w:val="57822D7B"/>
    <w:rsid w:val="57831225"/>
    <w:rsid w:val="57855036"/>
    <w:rsid w:val="578774D3"/>
    <w:rsid w:val="579844F8"/>
    <w:rsid w:val="57A469D4"/>
    <w:rsid w:val="57B4040D"/>
    <w:rsid w:val="57C12030"/>
    <w:rsid w:val="57D14260"/>
    <w:rsid w:val="57E27E9E"/>
    <w:rsid w:val="57F24E33"/>
    <w:rsid w:val="57FB5A25"/>
    <w:rsid w:val="57FD3DAA"/>
    <w:rsid w:val="5805035A"/>
    <w:rsid w:val="58050A14"/>
    <w:rsid w:val="58141642"/>
    <w:rsid w:val="5815371C"/>
    <w:rsid w:val="581A7893"/>
    <w:rsid w:val="581D23A8"/>
    <w:rsid w:val="58281884"/>
    <w:rsid w:val="58357BD1"/>
    <w:rsid w:val="584C5A16"/>
    <w:rsid w:val="585F6369"/>
    <w:rsid w:val="5862646D"/>
    <w:rsid w:val="586A45DE"/>
    <w:rsid w:val="58735F62"/>
    <w:rsid w:val="58762DAD"/>
    <w:rsid w:val="588C7721"/>
    <w:rsid w:val="589A67EA"/>
    <w:rsid w:val="589F5266"/>
    <w:rsid w:val="58AA1D91"/>
    <w:rsid w:val="58AA26EE"/>
    <w:rsid w:val="58C9572C"/>
    <w:rsid w:val="58CE12D4"/>
    <w:rsid w:val="58D832A4"/>
    <w:rsid w:val="58ED6014"/>
    <w:rsid w:val="58EE2D7D"/>
    <w:rsid w:val="58F61C8F"/>
    <w:rsid w:val="590E0B9B"/>
    <w:rsid w:val="590F7306"/>
    <w:rsid w:val="59146433"/>
    <w:rsid w:val="591908DD"/>
    <w:rsid w:val="592D1A16"/>
    <w:rsid w:val="59367631"/>
    <w:rsid w:val="5937188C"/>
    <w:rsid w:val="59571D0A"/>
    <w:rsid w:val="595B3DBD"/>
    <w:rsid w:val="5962382E"/>
    <w:rsid w:val="59676207"/>
    <w:rsid w:val="596A6014"/>
    <w:rsid w:val="596B3835"/>
    <w:rsid w:val="5971443C"/>
    <w:rsid w:val="597466D6"/>
    <w:rsid w:val="5979592E"/>
    <w:rsid w:val="598E55C8"/>
    <w:rsid w:val="598F7E6E"/>
    <w:rsid w:val="59A80C44"/>
    <w:rsid w:val="59BA50DC"/>
    <w:rsid w:val="59C30208"/>
    <w:rsid w:val="59D371D5"/>
    <w:rsid w:val="59E10961"/>
    <w:rsid w:val="59E2075C"/>
    <w:rsid w:val="59E756A2"/>
    <w:rsid w:val="59EB49B0"/>
    <w:rsid w:val="59EB54E6"/>
    <w:rsid w:val="59ED0F80"/>
    <w:rsid w:val="59F748BB"/>
    <w:rsid w:val="59F96E71"/>
    <w:rsid w:val="59FB41A4"/>
    <w:rsid w:val="5A103213"/>
    <w:rsid w:val="5A15343C"/>
    <w:rsid w:val="5A1B64FB"/>
    <w:rsid w:val="5A3146BF"/>
    <w:rsid w:val="5A366C06"/>
    <w:rsid w:val="5A552DF3"/>
    <w:rsid w:val="5A5D28B0"/>
    <w:rsid w:val="5A69373C"/>
    <w:rsid w:val="5A6D46A9"/>
    <w:rsid w:val="5A7C63D3"/>
    <w:rsid w:val="5A8629DC"/>
    <w:rsid w:val="5A870893"/>
    <w:rsid w:val="5A8A7299"/>
    <w:rsid w:val="5A8D5B83"/>
    <w:rsid w:val="5A9508FD"/>
    <w:rsid w:val="5A974BA6"/>
    <w:rsid w:val="5AA47CBA"/>
    <w:rsid w:val="5AD06817"/>
    <w:rsid w:val="5ADA0F2B"/>
    <w:rsid w:val="5AE21E40"/>
    <w:rsid w:val="5AF91887"/>
    <w:rsid w:val="5B05640D"/>
    <w:rsid w:val="5B0A5CE7"/>
    <w:rsid w:val="5B154B04"/>
    <w:rsid w:val="5B16657E"/>
    <w:rsid w:val="5B1F241F"/>
    <w:rsid w:val="5B394A60"/>
    <w:rsid w:val="5B482E48"/>
    <w:rsid w:val="5B4A5578"/>
    <w:rsid w:val="5B4B3CB9"/>
    <w:rsid w:val="5B5732B2"/>
    <w:rsid w:val="5B5D3A73"/>
    <w:rsid w:val="5B607F82"/>
    <w:rsid w:val="5B624DC1"/>
    <w:rsid w:val="5B79214E"/>
    <w:rsid w:val="5B7A20AD"/>
    <w:rsid w:val="5B7A2745"/>
    <w:rsid w:val="5B872848"/>
    <w:rsid w:val="5B8C6A78"/>
    <w:rsid w:val="5BA06750"/>
    <w:rsid w:val="5BA362C5"/>
    <w:rsid w:val="5BD57BD1"/>
    <w:rsid w:val="5BD85569"/>
    <w:rsid w:val="5BF17F64"/>
    <w:rsid w:val="5BFA62FB"/>
    <w:rsid w:val="5BFE7EAB"/>
    <w:rsid w:val="5C260A6C"/>
    <w:rsid w:val="5C2A0DFB"/>
    <w:rsid w:val="5C371F88"/>
    <w:rsid w:val="5C451DC0"/>
    <w:rsid w:val="5C5B5E9C"/>
    <w:rsid w:val="5C5F4545"/>
    <w:rsid w:val="5C7A785A"/>
    <w:rsid w:val="5C7E16C2"/>
    <w:rsid w:val="5C9A2748"/>
    <w:rsid w:val="5CA74EFC"/>
    <w:rsid w:val="5CAC73A4"/>
    <w:rsid w:val="5CB364ED"/>
    <w:rsid w:val="5CB670C0"/>
    <w:rsid w:val="5CBC682B"/>
    <w:rsid w:val="5CC047AD"/>
    <w:rsid w:val="5CC2290D"/>
    <w:rsid w:val="5CC76678"/>
    <w:rsid w:val="5CD008EB"/>
    <w:rsid w:val="5CE06BBF"/>
    <w:rsid w:val="5CE978CF"/>
    <w:rsid w:val="5CEA4A87"/>
    <w:rsid w:val="5CF851FB"/>
    <w:rsid w:val="5D11334D"/>
    <w:rsid w:val="5D131900"/>
    <w:rsid w:val="5D1F0564"/>
    <w:rsid w:val="5D331780"/>
    <w:rsid w:val="5D337C93"/>
    <w:rsid w:val="5D3834D7"/>
    <w:rsid w:val="5D387DCC"/>
    <w:rsid w:val="5D42058F"/>
    <w:rsid w:val="5D42475B"/>
    <w:rsid w:val="5D5C46E5"/>
    <w:rsid w:val="5D5F7368"/>
    <w:rsid w:val="5D627149"/>
    <w:rsid w:val="5D671DE9"/>
    <w:rsid w:val="5DA5578D"/>
    <w:rsid w:val="5DB81A12"/>
    <w:rsid w:val="5DDC36A9"/>
    <w:rsid w:val="5DDC6110"/>
    <w:rsid w:val="5DEB29D9"/>
    <w:rsid w:val="5E151EF7"/>
    <w:rsid w:val="5E173421"/>
    <w:rsid w:val="5E1C432E"/>
    <w:rsid w:val="5E1F7F18"/>
    <w:rsid w:val="5E27538B"/>
    <w:rsid w:val="5E2A7181"/>
    <w:rsid w:val="5E3D7F32"/>
    <w:rsid w:val="5E406E34"/>
    <w:rsid w:val="5E4E07A2"/>
    <w:rsid w:val="5E4E5B8B"/>
    <w:rsid w:val="5E4F107B"/>
    <w:rsid w:val="5E5207A9"/>
    <w:rsid w:val="5E632427"/>
    <w:rsid w:val="5E6A146F"/>
    <w:rsid w:val="5E7151B5"/>
    <w:rsid w:val="5E7E1814"/>
    <w:rsid w:val="5EA34F84"/>
    <w:rsid w:val="5EAB4512"/>
    <w:rsid w:val="5EC336CC"/>
    <w:rsid w:val="5ECD5B5F"/>
    <w:rsid w:val="5ED11659"/>
    <w:rsid w:val="5ED65045"/>
    <w:rsid w:val="5EDA3B4E"/>
    <w:rsid w:val="5EE32C60"/>
    <w:rsid w:val="5EE45355"/>
    <w:rsid w:val="5EE81F38"/>
    <w:rsid w:val="5EFD3980"/>
    <w:rsid w:val="5F002194"/>
    <w:rsid w:val="5F026CCA"/>
    <w:rsid w:val="5F122E22"/>
    <w:rsid w:val="5F1812B0"/>
    <w:rsid w:val="5F194EA6"/>
    <w:rsid w:val="5F2F5853"/>
    <w:rsid w:val="5F3F3C73"/>
    <w:rsid w:val="5F4E2CB0"/>
    <w:rsid w:val="5F540EB0"/>
    <w:rsid w:val="5F5E138B"/>
    <w:rsid w:val="5F697BE8"/>
    <w:rsid w:val="5F6F0AA2"/>
    <w:rsid w:val="5F755EF3"/>
    <w:rsid w:val="5F7564C6"/>
    <w:rsid w:val="5F873D23"/>
    <w:rsid w:val="5F890612"/>
    <w:rsid w:val="5F916BA0"/>
    <w:rsid w:val="5F981EB9"/>
    <w:rsid w:val="5F9A6B79"/>
    <w:rsid w:val="5FA10989"/>
    <w:rsid w:val="5FA425C2"/>
    <w:rsid w:val="5FA91984"/>
    <w:rsid w:val="5FAC2E4B"/>
    <w:rsid w:val="5FAC5672"/>
    <w:rsid w:val="5FB16176"/>
    <w:rsid w:val="5FC0637A"/>
    <w:rsid w:val="5FCB4612"/>
    <w:rsid w:val="5FCC30EB"/>
    <w:rsid w:val="5FD344E6"/>
    <w:rsid w:val="5FDD1303"/>
    <w:rsid w:val="5FDF1974"/>
    <w:rsid w:val="5FE56370"/>
    <w:rsid w:val="5FE97345"/>
    <w:rsid w:val="5FEC5C74"/>
    <w:rsid w:val="5FFC4E19"/>
    <w:rsid w:val="5FFE1A01"/>
    <w:rsid w:val="600920A1"/>
    <w:rsid w:val="600C35ED"/>
    <w:rsid w:val="60134CA7"/>
    <w:rsid w:val="60275B3B"/>
    <w:rsid w:val="602C34C2"/>
    <w:rsid w:val="602F1F20"/>
    <w:rsid w:val="60386050"/>
    <w:rsid w:val="603C085F"/>
    <w:rsid w:val="603D0281"/>
    <w:rsid w:val="603E24CD"/>
    <w:rsid w:val="60443653"/>
    <w:rsid w:val="604670ED"/>
    <w:rsid w:val="6056442D"/>
    <w:rsid w:val="60582B3E"/>
    <w:rsid w:val="606077F2"/>
    <w:rsid w:val="6065406D"/>
    <w:rsid w:val="60660BFF"/>
    <w:rsid w:val="60670C05"/>
    <w:rsid w:val="60761A53"/>
    <w:rsid w:val="6081691A"/>
    <w:rsid w:val="60914D1D"/>
    <w:rsid w:val="60A00EAB"/>
    <w:rsid w:val="60AC71EC"/>
    <w:rsid w:val="60B57322"/>
    <w:rsid w:val="60CA7B3D"/>
    <w:rsid w:val="60D32172"/>
    <w:rsid w:val="60D73E86"/>
    <w:rsid w:val="60E1002A"/>
    <w:rsid w:val="60E47C88"/>
    <w:rsid w:val="60F00848"/>
    <w:rsid w:val="60F47BCA"/>
    <w:rsid w:val="60F53FA7"/>
    <w:rsid w:val="60F643BF"/>
    <w:rsid w:val="61026B27"/>
    <w:rsid w:val="61087953"/>
    <w:rsid w:val="611000D0"/>
    <w:rsid w:val="611C6ED6"/>
    <w:rsid w:val="612B2E68"/>
    <w:rsid w:val="612D161B"/>
    <w:rsid w:val="61324959"/>
    <w:rsid w:val="614C37E7"/>
    <w:rsid w:val="614F1D4E"/>
    <w:rsid w:val="61536F1F"/>
    <w:rsid w:val="61570C23"/>
    <w:rsid w:val="61744294"/>
    <w:rsid w:val="61753FE9"/>
    <w:rsid w:val="6198576A"/>
    <w:rsid w:val="619E53A5"/>
    <w:rsid w:val="61A46D84"/>
    <w:rsid w:val="61BE0B41"/>
    <w:rsid w:val="61D47E0A"/>
    <w:rsid w:val="61D80463"/>
    <w:rsid w:val="61F13B06"/>
    <w:rsid w:val="61F72F5C"/>
    <w:rsid w:val="61F81343"/>
    <w:rsid w:val="61FA0417"/>
    <w:rsid w:val="62040448"/>
    <w:rsid w:val="621006A5"/>
    <w:rsid w:val="621124D0"/>
    <w:rsid w:val="62214B83"/>
    <w:rsid w:val="62490641"/>
    <w:rsid w:val="624C3501"/>
    <w:rsid w:val="62507CDE"/>
    <w:rsid w:val="62515490"/>
    <w:rsid w:val="62517F4F"/>
    <w:rsid w:val="62602ACA"/>
    <w:rsid w:val="62641E97"/>
    <w:rsid w:val="626451E2"/>
    <w:rsid w:val="62680C4F"/>
    <w:rsid w:val="626A03E7"/>
    <w:rsid w:val="626C7822"/>
    <w:rsid w:val="62703761"/>
    <w:rsid w:val="62722C78"/>
    <w:rsid w:val="627D7247"/>
    <w:rsid w:val="628C0C21"/>
    <w:rsid w:val="629C69A1"/>
    <w:rsid w:val="629F6877"/>
    <w:rsid w:val="62A87FCA"/>
    <w:rsid w:val="62BF2437"/>
    <w:rsid w:val="62F2632E"/>
    <w:rsid w:val="62F5216F"/>
    <w:rsid w:val="62FC0795"/>
    <w:rsid w:val="630832D0"/>
    <w:rsid w:val="63095B64"/>
    <w:rsid w:val="6311432A"/>
    <w:rsid w:val="631214CC"/>
    <w:rsid w:val="63123F4E"/>
    <w:rsid w:val="6313160E"/>
    <w:rsid w:val="63175872"/>
    <w:rsid w:val="63176AD0"/>
    <w:rsid w:val="631A1A29"/>
    <w:rsid w:val="631D583D"/>
    <w:rsid w:val="631E06AF"/>
    <w:rsid w:val="631E3DB1"/>
    <w:rsid w:val="632161BD"/>
    <w:rsid w:val="6329235E"/>
    <w:rsid w:val="632E4C55"/>
    <w:rsid w:val="63362B87"/>
    <w:rsid w:val="633C203A"/>
    <w:rsid w:val="6340785F"/>
    <w:rsid w:val="63444928"/>
    <w:rsid w:val="634A79C1"/>
    <w:rsid w:val="635F52F3"/>
    <w:rsid w:val="63635565"/>
    <w:rsid w:val="636826C6"/>
    <w:rsid w:val="63692966"/>
    <w:rsid w:val="6371196A"/>
    <w:rsid w:val="63731D08"/>
    <w:rsid w:val="63770C57"/>
    <w:rsid w:val="637C0FE2"/>
    <w:rsid w:val="637E2F73"/>
    <w:rsid w:val="63831CBE"/>
    <w:rsid w:val="63832BBB"/>
    <w:rsid w:val="63866152"/>
    <w:rsid w:val="63965782"/>
    <w:rsid w:val="63967107"/>
    <w:rsid w:val="63B41B4A"/>
    <w:rsid w:val="63B80BA7"/>
    <w:rsid w:val="63B9113E"/>
    <w:rsid w:val="63BA691E"/>
    <w:rsid w:val="63CB3B0D"/>
    <w:rsid w:val="63D56AD6"/>
    <w:rsid w:val="63E631A2"/>
    <w:rsid w:val="63F00F6E"/>
    <w:rsid w:val="63F37F5E"/>
    <w:rsid w:val="63F56DDC"/>
    <w:rsid w:val="640C1174"/>
    <w:rsid w:val="64167187"/>
    <w:rsid w:val="642B3D97"/>
    <w:rsid w:val="642B7C5A"/>
    <w:rsid w:val="64361456"/>
    <w:rsid w:val="645351E4"/>
    <w:rsid w:val="64593AA6"/>
    <w:rsid w:val="645B4FEC"/>
    <w:rsid w:val="646022E2"/>
    <w:rsid w:val="6466775A"/>
    <w:rsid w:val="64706D38"/>
    <w:rsid w:val="6478458C"/>
    <w:rsid w:val="647A1DD4"/>
    <w:rsid w:val="647D000F"/>
    <w:rsid w:val="647F30AA"/>
    <w:rsid w:val="64884E93"/>
    <w:rsid w:val="648D1EF6"/>
    <w:rsid w:val="64920484"/>
    <w:rsid w:val="64921E61"/>
    <w:rsid w:val="649A6B18"/>
    <w:rsid w:val="649B739D"/>
    <w:rsid w:val="649E04D8"/>
    <w:rsid w:val="64D56CA6"/>
    <w:rsid w:val="64D94AE0"/>
    <w:rsid w:val="64DF467C"/>
    <w:rsid w:val="64E63441"/>
    <w:rsid w:val="64E90253"/>
    <w:rsid w:val="64ED6A6F"/>
    <w:rsid w:val="64EE30A1"/>
    <w:rsid w:val="64FB0EE0"/>
    <w:rsid w:val="65004A55"/>
    <w:rsid w:val="65026129"/>
    <w:rsid w:val="65041D6D"/>
    <w:rsid w:val="65143B86"/>
    <w:rsid w:val="652743AA"/>
    <w:rsid w:val="652D2E8B"/>
    <w:rsid w:val="653A448C"/>
    <w:rsid w:val="653D7A72"/>
    <w:rsid w:val="65531121"/>
    <w:rsid w:val="65585577"/>
    <w:rsid w:val="656F732D"/>
    <w:rsid w:val="65843039"/>
    <w:rsid w:val="65915011"/>
    <w:rsid w:val="659C2C0E"/>
    <w:rsid w:val="659E5067"/>
    <w:rsid w:val="65AF6175"/>
    <w:rsid w:val="65B9699E"/>
    <w:rsid w:val="65C215C3"/>
    <w:rsid w:val="65C42F3A"/>
    <w:rsid w:val="65CA52BC"/>
    <w:rsid w:val="65CC14A8"/>
    <w:rsid w:val="65CE6519"/>
    <w:rsid w:val="65E3605D"/>
    <w:rsid w:val="65E41996"/>
    <w:rsid w:val="65E46A66"/>
    <w:rsid w:val="65F423CC"/>
    <w:rsid w:val="65F752B7"/>
    <w:rsid w:val="65F9494F"/>
    <w:rsid w:val="65FA4744"/>
    <w:rsid w:val="65FB22D4"/>
    <w:rsid w:val="661773D6"/>
    <w:rsid w:val="66237109"/>
    <w:rsid w:val="66253248"/>
    <w:rsid w:val="662764A4"/>
    <w:rsid w:val="662D46E3"/>
    <w:rsid w:val="66356C0F"/>
    <w:rsid w:val="663A0EB9"/>
    <w:rsid w:val="663A7BCE"/>
    <w:rsid w:val="663D7E5E"/>
    <w:rsid w:val="663E5D91"/>
    <w:rsid w:val="66481477"/>
    <w:rsid w:val="664F6B79"/>
    <w:rsid w:val="665732CF"/>
    <w:rsid w:val="665D6E33"/>
    <w:rsid w:val="66621764"/>
    <w:rsid w:val="66625569"/>
    <w:rsid w:val="66727865"/>
    <w:rsid w:val="66791F6F"/>
    <w:rsid w:val="668022C7"/>
    <w:rsid w:val="668B67AA"/>
    <w:rsid w:val="6692697D"/>
    <w:rsid w:val="66952D3C"/>
    <w:rsid w:val="6696022A"/>
    <w:rsid w:val="669752B7"/>
    <w:rsid w:val="66A119B7"/>
    <w:rsid w:val="66AB6F73"/>
    <w:rsid w:val="66AD528E"/>
    <w:rsid w:val="66AF516E"/>
    <w:rsid w:val="66AF709A"/>
    <w:rsid w:val="66C8123B"/>
    <w:rsid w:val="66D91BFE"/>
    <w:rsid w:val="66DB7B42"/>
    <w:rsid w:val="66E62312"/>
    <w:rsid w:val="66EE300D"/>
    <w:rsid w:val="66FE6B99"/>
    <w:rsid w:val="671934C0"/>
    <w:rsid w:val="671A27D7"/>
    <w:rsid w:val="671F707F"/>
    <w:rsid w:val="67245D27"/>
    <w:rsid w:val="67293184"/>
    <w:rsid w:val="672B39B3"/>
    <w:rsid w:val="672C0EC3"/>
    <w:rsid w:val="673967BE"/>
    <w:rsid w:val="674B15EC"/>
    <w:rsid w:val="674B6B50"/>
    <w:rsid w:val="674C4ADC"/>
    <w:rsid w:val="674C69E3"/>
    <w:rsid w:val="674C7F87"/>
    <w:rsid w:val="674E2AD2"/>
    <w:rsid w:val="67560E3C"/>
    <w:rsid w:val="67581C96"/>
    <w:rsid w:val="67600F82"/>
    <w:rsid w:val="676A3E3C"/>
    <w:rsid w:val="676B1710"/>
    <w:rsid w:val="67763C07"/>
    <w:rsid w:val="677A4530"/>
    <w:rsid w:val="677D220C"/>
    <w:rsid w:val="67974C59"/>
    <w:rsid w:val="679E378B"/>
    <w:rsid w:val="67A1710A"/>
    <w:rsid w:val="67AA4329"/>
    <w:rsid w:val="67AF4236"/>
    <w:rsid w:val="67C85FC1"/>
    <w:rsid w:val="67D56D36"/>
    <w:rsid w:val="67DC0679"/>
    <w:rsid w:val="67DF63C5"/>
    <w:rsid w:val="67E44541"/>
    <w:rsid w:val="67E52572"/>
    <w:rsid w:val="67EE3FDA"/>
    <w:rsid w:val="67F274DB"/>
    <w:rsid w:val="68060F4D"/>
    <w:rsid w:val="68061305"/>
    <w:rsid w:val="6817339E"/>
    <w:rsid w:val="68176973"/>
    <w:rsid w:val="68482660"/>
    <w:rsid w:val="68505477"/>
    <w:rsid w:val="685B3850"/>
    <w:rsid w:val="6863409F"/>
    <w:rsid w:val="68645B07"/>
    <w:rsid w:val="686E1B64"/>
    <w:rsid w:val="6884093C"/>
    <w:rsid w:val="688F17BA"/>
    <w:rsid w:val="68B15BE6"/>
    <w:rsid w:val="68B23CDB"/>
    <w:rsid w:val="68C44067"/>
    <w:rsid w:val="68D7375E"/>
    <w:rsid w:val="68E37569"/>
    <w:rsid w:val="68FD15A2"/>
    <w:rsid w:val="690B1374"/>
    <w:rsid w:val="69107771"/>
    <w:rsid w:val="69127272"/>
    <w:rsid w:val="69131C62"/>
    <w:rsid w:val="69286486"/>
    <w:rsid w:val="693B1827"/>
    <w:rsid w:val="693D3AC3"/>
    <w:rsid w:val="69434D26"/>
    <w:rsid w:val="69447099"/>
    <w:rsid w:val="694C61D8"/>
    <w:rsid w:val="695129F9"/>
    <w:rsid w:val="6951793F"/>
    <w:rsid w:val="69585506"/>
    <w:rsid w:val="695F38D5"/>
    <w:rsid w:val="69673BD2"/>
    <w:rsid w:val="69720F7C"/>
    <w:rsid w:val="698476E2"/>
    <w:rsid w:val="698C4E47"/>
    <w:rsid w:val="69935A13"/>
    <w:rsid w:val="69942D53"/>
    <w:rsid w:val="69A25A76"/>
    <w:rsid w:val="69A310D9"/>
    <w:rsid w:val="69AE1764"/>
    <w:rsid w:val="69AF354E"/>
    <w:rsid w:val="69AF6A53"/>
    <w:rsid w:val="69B42F0D"/>
    <w:rsid w:val="69BB36F0"/>
    <w:rsid w:val="69BB5146"/>
    <w:rsid w:val="69BD65F6"/>
    <w:rsid w:val="69DE180C"/>
    <w:rsid w:val="6A091052"/>
    <w:rsid w:val="6A136EB7"/>
    <w:rsid w:val="6A207474"/>
    <w:rsid w:val="6A2E7F26"/>
    <w:rsid w:val="6A3F55CB"/>
    <w:rsid w:val="6A44502F"/>
    <w:rsid w:val="6A55786D"/>
    <w:rsid w:val="6A566EEF"/>
    <w:rsid w:val="6A5C5EC1"/>
    <w:rsid w:val="6A5F716B"/>
    <w:rsid w:val="6A61750F"/>
    <w:rsid w:val="6A693F6F"/>
    <w:rsid w:val="6A717C54"/>
    <w:rsid w:val="6A734D01"/>
    <w:rsid w:val="6A7F4E75"/>
    <w:rsid w:val="6A8711CC"/>
    <w:rsid w:val="6A8A3480"/>
    <w:rsid w:val="6A8C4EBF"/>
    <w:rsid w:val="6A8D6245"/>
    <w:rsid w:val="6A900FAC"/>
    <w:rsid w:val="6A9A0F63"/>
    <w:rsid w:val="6A9B2963"/>
    <w:rsid w:val="6AB475FA"/>
    <w:rsid w:val="6AB507F3"/>
    <w:rsid w:val="6AB571C7"/>
    <w:rsid w:val="6ABB6488"/>
    <w:rsid w:val="6ACB3B4C"/>
    <w:rsid w:val="6AD35E84"/>
    <w:rsid w:val="6AF66D13"/>
    <w:rsid w:val="6AFA0B7F"/>
    <w:rsid w:val="6AFD5CDA"/>
    <w:rsid w:val="6B027BFB"/>
    <w:rsid w:val="6B065DFD"/>
    <w:rsid w:val="6B1F6756"/>
    <w:rsid w:val="6B211362"/>
    <w:rsid w:val="6B263928"/>
    <w:rsid w:val="6B2A6BEA"/>
    <w:rsid w:val="6B315678"/>
    <w:rsid w:val="6B3571A7"/>
    <w:rsid w:val="6B393E7B"/>
    <w:rsid w:val="6B3973A0"/>
    <w:rsid w:val="6B3D49A4"/>
    <w:rsid w:val="6B464F02"/>
    <w:rsid w:val="6B581864"/>
    <w:rsid w:val="6B5D55F9"/>
    <w:rsid w:val="6B627955"/>
    <w:rsid w:val="6B6B52E1"/>
    <w:rsid w:val="6B8C205F"/>
    <w:rsid w:val="6B8C35B7"/>
    <w:rsid w:val="6BA378D4"/>
    <w:rsid w:val="6BBD31BC"/>
    <w:rsid w:val="6BC00DE6"/>
    <w:rsid w:val="6BC1181E"/>
    <w:rsid w:val="6BC971F7"/>
    <w:rsid w:val="6BD36439"/>
    <w:rsid w:val="6BD70F4F"/>
    <w:rsid w:val="6BDB5EED"/>
    <w:rsid w:val="6BE01140"/>
    <w:rsid w:val="6BE67F41"/>
    <w:rsid w:val="6BF26E3F"/>
    <w:rsid w:val="6BF635A3"/>
    <w:rsid w:val="6BF73D1D"/>
    <w:rsid w:val="6BFB52C7"/>
    <w:rsid w:val="6BFE7FE0"/>
    <w:rsid w:val="6C15294C"/>
    <w:rsid w:val="6C244885"/>
    <w:rsid w:val="6C2640FA"/>
    <w:rsid w:val="6C274C98"/>
    <w:rsid w:val="6C346A81"/>
    <w:rsid w:val="6C404B14"/>
    <w:rsid w:val="6C4335AD"/>
    <w:rsid w:val="6C445F7D"/>
    <w:rsid w:val="6C4B7210"/>
    <w:rsid w:val="6C50087A"/>
    <w:rsid w:val="6C5153C9"/>
    <w:rsid w:val="6C5C0EF1"/>
    <w:rsid w:val="6C667AC7"/>
    <w:rsid w:val="6C69347C"/>
    <w:rsid w:val="6C836A3D"/>
    <w:rsid w:val="6C92413D"/>
    <w:rsid w:val="6CA65B77"/>
    <w:rsid w:val="6CC64D5B"/>
    <w:rsid w:val="6CD564D9"/>
    <w:rsid w:val="6CDD023F"/>
    <w:rsid w:val="6CDD165C"/>
    <w:rsid w:val="6CE43C4E"/>
    <w:rsid w:val="6CF31B28"/>
    <w:rsid w:val="6D023DD1"/>
    <w:rsid w:val="6D0B7A82"/>
    <w:rsid w:val="6D0E3AA8"/>
    <w:rsid w:val="6D227B8B"/>
    <w:rsid w:val="6D2D641E"/>
    <w:rsid w:val="6D3A0D71"/>
    <w:rsid w:val="6D5144A8"/>
    <w:rsid w:val="6D5C5094"/>
    <w:rsid w:val="6D646C17"/>
    <w:rsid w:val="6D653636"/>
    <w:rsid w:val="6D71174A"/>
    <w:rsid w:val="6D7B2F11"/>
    <w:rsid w:val="6D833960"/>
    <w:rsid w:val="6D8813F2"/>
    <w:rsid w:val="6D886616"/>
    <w:rsid w:val="6D8A44FE"/>
    <w:rsid w:val="6D96745D"/>
    <w:rsid w:val="6D9D5B0A"/>
    <w:rsid w:val="6DA7434E"/>
    <w:rsid w:val="6DB00B0D"/>
    <w:rsid w:val="6DB453BC"/>
    <w:rsid w:val="6DB67018"/>
    <w:rsid w:val="6DB674E5"/>
    <w:rsid w:val="6DCB36F9"/>
    <w:rsid w:val="6DCC11BC"/>
    <w:rsid w:val="6DD42595"/>
    <w:rsid w:val="6DD66566"/>
    <w:rsid w:val="6DE135D8"/>
    <w:rsid w:val="6DE90061"/>
    <w:rsid w:val="6DFB28E8"/>
    <w:rsid w:val="6E0B5B47"/>
    <w:rsid w:val="6E136441"/>
    <w:rsid w:val="6E1742A0"/>
    <w:rsid w:val="6E19697D"/>
    <w:rsid w:val="6E286CEB"/>
    <w:rsid w:val="6E5C6906"/>
    <w:rsid w:val="6E605DE3"/>
    <w:rsid w:val="6E637CE7"/>
    <w:rsid w:val="6E6C7A63"/>
    <w:rsid w:val="6E733D6C"/>
    <w:rsid w:val="6E796199"/>
    <w:rsid w:val="6E7E38FA"/>
    <w:rsid w:val="6E8241E2"/>
    <w:rsid w:val="6E864124"/>
    <w:rsid w:val="6E971523"/>
    <w:rsid w:val="6E971694"/>
    <w:rsid w:val="6E9F223E"/>
    <w:rsid w:val="6EA6568C"/>
    <w:rsid w:val="6EA9281C"/>
    <w:rsid w:val="6EB67106"/>
    <w:rsid w:val="6EB6763B"/>
    <w:rsid w:val="6EC44E02"/>
    <w:rsid w:val="6ECA5C49"/>
    <w:rsid w:val="6ED85673"/>
    <w:rsid w:val="6EDA219E"/>
    <w:rsid w:val="6EF7479F"/>
    <w:rsid w:val="6F120A7B"/>
    <w:rsid w:val="6F1345C0"/>
    <w:rsid w:val="6F275292"/>
    <w:rsid w:val="6F2F685E"/>
    <w:rsid w:val="6F332011"/>
    <w:rsid w:val="6F354DBB"/>
    <w:rsid w:val="6F43697B"/>
    <w:rsid w:val="6F456E03"/>
    <w:rsid w:val="6F5146BC"/>
    <w:rsid w:val="6F573A03"/>
    <w:rsid w:val="6F5E5B3D"/>
    <w:rsid w:val="6F792303"/>
    <w:rsid w:val="6F951708"/>
    <w:rsid w:val="6FA125F3"/>
    <w:rsid w:val="6FA14C78"/>
    <w:rsid w:val="6FA54667"/>
    <w:rsid w:val="6FA60A78"/>
    <w:rsid w:val="6FB44E07"/>
    <w:rsid w:val="6FC1507E"/>
    <w:rsid w:val="6FCA01AC"/>
    <w:rsid w:val="6FCA2C53"/>
    <w:rsid w:val="6FD40056"/>
    <w:rsid w:val="6FD51A69"/>
    <w:rsid w:val="6FEA46D9"/>
    <w:rsid w:val="6FEC7CC3"/>
    <w:rsid w:val="6FF92746"/>
    <w:rsid w:val="700021CB"/>
    <w:rsid w:val="701E4D0F"/>
    <w:rsid w:val="702E5FD9"/>
    <w:rsid w:val="70494FBF"/>
    <w:rsid w:val="704D3624"/>
    <w:rsid w:val="70542FFA"/>
    <w:rsid w:val="70572683"/>
    <w:rsid w:val="705E0C5B"/>
    <w:rsid w:val="705F4D26"/>
    <w:rsid w:val="706329AB"/>
    <w:rsid w:val="70674B09"/>
    <w:rsid w:val="7075767B"/>
    <w:rsid w:val="70895D36"/>
    <w:rsid w:val="70945933"/>
    <w:rsid w:val="70A35885"/>
    <w:rsid w:val="70AB283A"/>
    <w:rsid w:val="70AB3678"/>
    <w:rsid w:val="70AB454D"/>
    <w:rsid w:val="70B9720F"/>
    <w:rsid w:val="70CB4501"/>
    <w:rsid w:val="70CD7C9C"/>
    <w:rsid w:val="70D56DDC"/>
    <w:rsid w:val="70D81EAB"/>
    <w:rsid w:val="70DC31CA"/>
    <w:rsid w:val="70EF38A2"/>
    <w:rsid w:val="71225574"/>
    <w:rsid w:val="71286D38"/>
    <w:rsid w:val="712D3772"/>
    <w:rsid w:val="7130744C"/>
    <w:rsid w:val="71325718"/>
    <w:rsid w:val="71412B1E"/>
    <w:rsid w:val="71415EC5"/>
    <w:rsid w:val="714557F2"/>
    <w:rsid w:val="714823A5"/>
    <w:rsid w:val="71507215"/>
    <w:rsid w:val="7152611B"/>
    <w:rsid w:val="715854A6"/>
    <w:rsid w:val="7162676E"/>
    <w:rsid w:val="71676633"/>
    <w:rsid w:val="716F3BDB"/>
    <w:rsid w:val="717D5BC9"/>
    <w:rsid w:val="71872E12"/>
    <w:rsid w:val="719D48AE"/>
    <w:rsid w:val="719F495F"/>
    <w:rsid w:val="71A06EAD"/>
    <w:rsid w:val="71B06F96"/>
    <w:rsid w:val="71C02D65"/>
    <w:rsid w:val="71C21F8E"/>
    <w:rsid w:val="71CD789B"/>
    <w:rsid w:val="71DE6C85"/>
    <w:rsid w:val="71E33360"/>
    <w:rsid w:val="71F107BD"/>
    <w:rsid w:val="71F36DF3"/>
    <w:rsid w:val="721029F2"/>
    <w:rsid w:val="721E3453"/>
    <w:rsid w:val="72292136"/>
    <w:rsid w:val="72326F52"/>
    <w:rsid w:val="72387DA1"/>
    <w:rsid w:val="723D63C9"/>
    <w:rsid w:val="724D09D5"/>
    <w:rsid w:val="724E4674"/>
    <w:rsid w:val="725718F8"/>
    <w:rsid w:val="72736685"/>
    <w:rsid w:val="727C1C3E"/>
    <w:rsid w:val="727E1245"/>
    <w:rsid w:val="72895837"/>
    <w:rsid w:val="728F65AA"/>
    <w:rsid w:val="72A67D77"/>
    <w:rsid w:val="72AA71C5"/>
    <w:rsid w:val="72AE13F0"/>
    <w:rsid w:val="72B24F01"/>
    <w:rsid w:val="72C5304D"/>
    <w:rsid w:val="72D15091"/>
    <w:rsid w:val="72D7584D"/>
    <w:rsid w:val="72FD2F81"/>
    <w:rsid w:val="73031D5F"/>
    <w:rsid w:val="730A178C"/>
    <w:rsid w:val="730F13E5"/>
    <w:rsid w:val="73232322"/>
    <w:rsid w:val="73270275"/>
    <w:rsid w:val="732728CC"/>
    <w:rsid w:val="73412E43"/>
    <w:rsid w:val="73443AE0"/>
    <w:rsid w:val="73450299"/>
    <w:rsid w:val="73484C46"/>
    <w:rsid w:val="734E141A"/>
    <w:rsid w:val="73503306"/>
    <w:rsid w:val="7360450E"/>
    <w:rsid w:val="736076AC"/>
    <w:rsid w:val="73765B11"/>
    <w:rsid w:val="73790A95"/>
    <w:rsid w:val="737B3B36"/>
    <w:rsid w:val="738176DC"/>
    <w:rsid w:val="73840016"/>
    <w:rsid w:val="739036B1"/>
    <w:rsid w:val="739D4277"/>
    <w:rsid w:val="73C40499"/>
    <w:rsid w:val="73D1078F"/>
    <w:rsid w:val="73D9160C"/>
    <w:rsid w:val="73DE28FE"/>
    <w:rsid w:val="73E12E8B"/>
    <w:rsid w:val="73E1789D"/>
    <w:rsid w:val="73E71FF5"/>
    <w:rsid w:val="73E9177A"/>
    <w:rsid w:val="73F2149B"/>
    <w:rsid w:val="740C6C7A"/>
    <w:rsid w:val="740D6382"/>
    <w:rsid w:val="740F6A6A"/>
    <w:rsid w:val="741363D8"/>
    <w:rsid w:val="741472C8"/>
    <w:rsid w:val="74245D0A"/>
    <w:rsid w:val="742953BF"/>
    <w:rsid w:val="74306FDE"/>
    <w:rsid w:val="74330C17"/>
    <w:rsid w:val="743546D2"/>
    <w:rsid w:val="74484275"/>
    <w:rsid w:val="74492D74"/>
    <w:rsid w:val="744D562C"/>
    <w:rsid w:val="74691640"/>
    <w:rsid w:val="746B0AC0"/>
    <w:rsid w:val="746C19F2"/>
    <w:rsid w:val="7476332B"/>
    <w:rsid w:val="748664A3"/>
    <w:rsid w:val="748F4943"/>
    <w:rsid w:val="749627D8"/>
    <w:rsid w:val="74995519"/>
    <w:rsid w:val="74A1530A"/>
    <w:rsid w:val="74A47531"/>
    <w:rsid w:val="74A962F7"/>
    <w:rsid w:val="74B27814"/>
    <w:rsid w:val="74B81232"/>
    <w:rsid w:val="74C04F72"/>
    <w:rsid w:val="74C14B6F"/>
    <w:rsid w:val="74D139CC"/>
    <w:rsid w:val="74D26508"/>
    <w:rsid w:val="74D66418"/>
    <w:rsid w:val="74DA5370"/>
    <w:rsid w:val="74E84CE1"/>
    <w:rsid w:val="74F7571C"/>
    <w:rsid w:val="75005399"/>
    <w:rsid w:val="75122FB0"/>
    <w:rsid w:val="751363F9"/>
    <w:rsid w:val="7528247A"/>
    <w:rsid w:val="75326E49"/>
    <w:rsid w:val="75347CD7"/>
    <w:rsid w:val="753B3337"/>
    <w:rsid w:val="754A56D6"/>
    <w:rsid w:val="755259B3"/>
    <w:rsid w:val="7554061F"/>
    <w:rsid w:val="7559431E"/>
    <w:rsid w:val="755970BB"/>
    <w:rsid w:val="75664F76"/>
    <w:rsid w:val="7585415D"/>
    <w:rsid w:val="75A46E88"/>
    <w:rsid w:val="75B14A2E"/>
    <w:rsid w:val="75C47497"/>
    <w:rsid w:val="75D55C2B"/>
    <w:rsid w:val="75E229FC"/>
    <w:rsid w:val="75E650D4"/>
    <w:rsid w:val="75E90279"/>
    <w:rsid w:val="75F22296"/>
    <w:rsid w:val="75F701E4"/>
    <w:rsid w:val="76025745"/>
    <w:rsid w:val="76073F7B"/>
    <w:rsid w:val="760C178C"/>
    <w:rsid w:val="7611373B"/>
    <w:rsid w:val="762D1037"/>
    <w:rsid w:val="76401410"/>
    <w:rsid w:val="764822DA"/>
    <w:rsid w:val="764B2380"/>
    <w:rsid w:val="764B3485"/>
    <w:rsid w:val="76666B3F"/>
    <w:rsid w:val="76667458"/>
    <w:rsid w:val="766A516E"/>
    <w:rsid w:val="767E15DE"/>
    <w:rsid w:val="76832E67"/>
    <w:rsid w:val="76A16EE5"/>
    <w:rsid w:val="76B03CAF"/>
    <w:rsid w:val="76B81A2E"/>
    <w:rsid w:val="76C6318D"/>
    <w:rsid w:val="76EE32A7"/>
    <w:rsid w:val="76F110EF"/>
    <w:rsid w:val="76F31869"/>
    <w:rsid w:val="76F40D88"/>
    <w:rsid w:val="76F504E8"/>
    <w:rsid w:val="76FB0D18"/>
    <w:rsid w:val="76FD3092"/>
    <w:rsid w:val="770F0662"/>
    <w:rsid w:val="77195D64"/>
    <w:rsid w:val="77224EE7"/>
    <w:rsid w:val="772D47AB"/>
    <w:rsid w:val="77312947"/>
    <w:rsid w:val="774969A1"/>
    <w:rsid w:val="77553A5C"/>
    <w:rsid w:val="775C0572"/>
    <w:rsid w:val="775E30E0"/>
    <w:rsid w:val="77613EB2"/>
    <w:rsid w:val="776A4D1D"/>
    <w:rsid w:val="776A79DD"/>
    <w:rsid w:val="777E6FFE"/>
    <w:rsid w:val="778212C1"/>
    <w:rsid w:val="7789146E"/>
    <w:rsid w:val="77A348CD"/>
    <w:rsid w:val="77A840F0"/>
    <w:rsid w:val="77B52EBD"/>
    <w:rsid w:val="77B6368C"/>
    <w:rsid w:val="77B93336"/>
    <w:rsid w:val="77C66A3B"/>
    <w:rsid w:val="77D0007C"/>
    <w:rsid w:val="77DB3424"/>
    <w:rsid w:val="77DC1ED3"/>
    <w:rsid w:val="77DD3E36"/>
    <w:rsid w:val="77DF0802"/>
    <w:rsid w:val="77DF430E"/>
    <w:rsid w:val="77E2303F"/>
    <w:rsid w:val="77E47A01"/>
    <w:rsid w:val="77FE75C9"/>
    <w:rsid w:val="77FF7294"/>
    <w:rsid w:val="78063F30"/>
    <w:rsid w:val="780978A6"/>
    <w:rsid w:val="781F0FD1"/>
    <w:rsid w:val="78234A9E"/>
    <w:rsid w:val="783106CD"/>
    <w:rsid w:val="7836149B"/>
    <w:rsid w:val="783D044E"/>
    <w:rsid w:val="784F5C87"/>
    <w:rsid w:val="784F7C18"/>
    <w:rsid w:val="785C4B09"/>
    <w:rsid w:val="78767AC5"/>
    <w:rsid w:val="78803127"/>
    <w:rsid w:val="78A04D48"/>
    <w:rsid w:val="78A5383F"/>
    <w:rsid w:val="78A71DA2"/>
    <w:rsid w:val="78AA2B8D"/>
    <w:rsid w:val="78B100FC"/>
    <w:rsid w:val="78B10C71"/>
    <w:rsid w:val="78BD22E5"/>
    <w:rsid w:val="78BF5E13"/>
    <w:rsid w:val="78C707AB"/>
    <w:rsid w:val="78C94646"/>
    <w:rsid w:val="78D20329"/>
    <w:rsid w:val="78D72CEF"/>
    <w:rsid w:val="78DB46E2"/>
    <w:rsid w:val="78E702F0"/>
    <w:rsid w:val="78EB254D"/>
    <w:rsid w:val="78F374C8"/>
    <w:rsid w:val="78F5636B"/>
    <w:rsid w:val="78FF6758"/>
    <w:rsid w:val="7917356B"/>
    <w:rsid w:val="7921126D"/>
    <w:rsid w:val="79367333"/>
    <w:rsid w:val="79485D8C"/>
    <w:rsid w:val="794B48A6"/>
    <w:rsid w:val="794D7DCA"/>
    <w:rsid w:val="79541883"/>
    <w:rsid w:val="79541916"/>
    <w:rsid w:val="795734D9"/>
    <w:rsid w:val="795D2325"/>
    <w:rsid w:val="795D294E"/>
    <w:rsid w:val="795D446A"/>
    <w:rsid w:val="795F5BDF"/>
    <w:rsid w:val="796F4BDC"/>
    <w:rsid w:val="79701E66"/>
    <w:rsid w:val="797252FA"/>
    <w:rsid w:val="797778A7"/>
    <w:rsid w:val="79831019"/>
    <w:rsid w:val="798A2E34"/>
    <w:rsid w:val="798F0B03"/>
    <w:rsid w:val="79943048"/>
    <w:rsid w:val="79984935"/>
    <w:rsid w:val="799B55B8"/>
    <w:rsid w:val="79A841B4"/>
    <w:rsid w:val="79A91DE3"/>
    <w:rsid w:val="79BC3149"/>
    <w:rsid w:val="79C36B2A"/>
    <w:rsid w:val="79C86E3E"/>
    <w:rsid w:val="79CB5586"/>
    <w:rsid w:val="79D627E2"/>
    <w:rsid w:val="79E31E1E"/>
    <w:rsid w:val="79F613FE"/>
    <w:rsid w:val="79F73A26"/>
    <w:rsid w:val="79FE0964"/>
    <w:rsid w:val="7A0B516F"/>
    <w:rsid w:val="7A2C6D75"/>
    <w:rsid w:val="7A31206D"/>
    <w:rsid w:val="7A40208E"/>
    <w:rsid w:val="7A4872DE"/>
    <w:rsid w:val="7A4918F9"/>
    <w:rsid w:val="7A4D5BE5"/>
    <w:rsid w:val="7A532F54"/>
    <w:rsid w:val="7A630419"/>
    <w:rsid w:val="7A66357A"/>
    <w:rsid w:val="7A665299"/>
    <w:rsid w:val="7A703F5E"/>
    <w:rsid w:val="7A713310"/>
    <w:rsid w:val="7A7A79CC"/>
    <w:rsid w:val="7A9036A0"/>
    <w:rsid w:val="7A936A7E"/>
    <w:rsid w:val="7A993C7F"/>
    <w:rsid w:val="7AA81020"/>
    <w:rsid w:val="7AAB0D10"/>
    <w:rsid w:val="7AAE12B5"/>
    <w:rsid w:val="7AB63520"/>
    <w:rsid w:val="7AC36D03"/>
    <w:rsid w:val="7AC75597"/>
    <w:rsid w:val="7ACC1790"/>
    <w:rsid w:val="7AD30DBF"/>
    <w:rsid w:val="7AE41BF5"/>
    <w:rsid w:val="7AE42F6A"/>
    <w:rsid w:val="7AE828C6"/>
    <w:rsid w:val="7AEB4A40"/>
    <w:rsid w:val="7B025CF6"/>
    <w:rsid w:val="7B0E45F5"/>
    <w:rsid w:val="7B0E679A"/>
    <w:rsid w:val="7B113627"/>
    <w:rsid w:val="7B370A34"/>
    <w:rsid w:val="7B3B0E19"/>
    <w:rsid w:val="7B562EE9"/>
    <w:rsid w:val="7B6B78F7"/>
    <w:rsid w:val="7B7035DF"/>
    <w:rsid w:val="7B72121A"/>
    <w:rsid w:val="7B741BEC"/>
    <w:rsid w:val="7B7974EF"/>
    <w:rsid w:val="7B7D1B7C"/>
    <w:rsid w:val="7B7E353D"/>
    <w:rsid w:val="7B830013"/>
    <w:rsid w:val="7B874321"/>
    <w:rsid w:val="7B8A3F9D"/>
    <w:rsid w:val="7BBD7866"/>
    <w:rsid w:val="7BC914EB"/>
    <w:rsid w:val="7BD06FB2"/>
    <w:rsid w:val="7BD26968"/>
    <w:rsid w:val="7BD927E4"/>
    <w:rsid w:val="7BF05AF6"/>
    <w:rsid w:val="7BF60840"/>
    <w:rsid w:val="7BF67253"/>
    <w:rsid w:val="7C0345C6"/>
    <w:rsid w:val="7C044982"/>
    <w:rsid w:val="7C076AA0"/>
    <w:rsid w:val="7C194C79"/>
    <w:rsid w:val="7C1C44E0"/>
    <w:rsid w:val="7C1C5B6D"/>
    <w:rsid w:val="7C1F1D42"/>
    <w:rsid w:val="7C211324"/>
    <w:rsid w:val="7C2328CD"/>
    <w:rsid w:val="7C300C93"/>
    <w:rsid w:val="7C3D79BD"/>
    <w:rsid w:val="7C454D54"/>
    <w:rsid w:val="7C454FF3"/>
    <w:rsid w:val="7C715833"/>
    <w:rsid w:val="7C762DB4"/>
    <w:rsid w:val="7C865F86"/>
    <w:rsid w:val="7C8832EF"/>
    <w:rsid w:val="7C943FA8"/>
    <w:rsid w:val="7CB13F56"/>
    <w:rsid w:val="7CBB76AD"/>
    <w:rsid w:val="7CBE67DE"/>
    <w:rsid w:val="7CC925DB"/>
    <w:rsid w:val="7CD41130"/>
    <w:rsid w:val="7CE44EE5"/>
    <w:rsid w:val="7CF06193"/>
    <w:rsid w:val="7CF72BF2"/>
    <w:rsid w:val="7D005CD2"/>
    <w:rsid w:val="7D033B60"/>
    <w:rsid w:val="7D2404F6"/>
    <w:rsid w:val="7D242341"/>
    <w:rsid w:val="7D246C6B"/>
    <w:rsid w:val="7D2A0AFA"/>
    <w:rsid w:val="7D2E6422"/>
    <w:rsid w:val="7D302254"/>
    <w:rsid w:val="7D411579"/>
    <w:rsid w:val="7D57305D"/>
    <w:rsid w:val="7D58212C"/>
    <w:rsid w:val="7D65745B"/>
    <w:rsid w:val="7D723C7E"/>
    <w:rsid w:val="7D8D1CDA"/>
    <w:rsid w:val="7D945C71"/>
    <w:rsid w:val="7DA66574"/>
    <w:rsid w:val="7DA9048B"/>
    <w:rsid w:val="7DB12C47"/>
    <w:rsid w:val="7DB355A7"/>
    <w:rsid w:val="7DC71F55"/>
    <w:rsid w:val="7DD11A46"/>
    <w:rsid w:val="7DD8109D"/>
    <w:rsid w:val="7DDC6819"/>
    <w:rsid w:val="7DE034E8"/>
    <w:rsid w:val="7DE371C7"/>
    <w:rsid w:val="7DE47B9F"/>
    <w:rsid w:val="7DEF0B22"/>
    <w:rsid w:val="7DF07B6F"/>
    <w:rsid w:val="7DF15E47"/>
    <w:rsid w:val="7DF96BF8"/>
    <w:rsid w:val="7E00406B"/>
    <w:rsid w:val="7E075143"/>
    <w:rsid w:val="7E0F4537"/>
    <w:rsid w:val="7E1E3177"/>
    <w:rsid w:val="7E212EB1"/>
    <w:rsid w:val="7E220016"/>
    <w:rsid w:val="7E241B31"/>
    <w:rsid w:val="7E242494"/>
    <w:rsid w:val="7E2B69C3"/>
    <w:rsid w:val="7E3B72CA"/>
    <w:rsid w:val="7E4A609F"/>
    <w:rsid w:val="7E5150FF"/>
    <w:rsid w:val="7E5B6E35"/>
    <w:rsid w:val="7E5E676E"/>
    <w:rsid w:val="7E78475D"/>
    <w:rsid w:val="7E7B5F02"/>
    <w:rsid w:val="7E8A1D16"/>
    <w:rsid w:val="7E937DDD"/>
    <w:rsid w:val="7EA86698"/>
    <w:rsid w:val="7EB17A6E"/>
    <w:rsid w:val="7EBD4CAE"/>
    <w:rsid w:val="7EBE71F4"/>
    <w:rsid w:val="7EBF5E18"/>
    <w:rsid w:val="7ED90CE3"/>
    <w:rsid w:val="7EE0302B"/>
    <w:rsid w:val="7EEA5DCF"/>
    <w:rsid w:val="7EED3709"/>
    <w:rsid w:val="7F002FCC"/>
    <w:rsid w:val="7F042C2A"/>
    <w:rsid w:val="7F067043"/>
    <w:rsid w:val="7F0962F9"/>
    <w:rsid w:val="7F186716"/>
    <w:rsid w:val="7F193D6D"/>
    <w:rsid w:val="7F203307"/>
    <w:rsid w:val="7F2B225C"/>
    <w:rsid w:val="7F2B30BF"/>
    <w:rsid w:val="7F3966A7"/>
    <w:rsid w:val="7F3D2797"/>
    <w:rsid w:val="7F43392B"/>
    <w:rsid w:val="7F5D1B80"/>
    <w:rsid w:val="7F6B4CA3"/>
    <w:rsid w:val="7F6D6EE9"/>
    <w:rsid w:val="7F702044"/>
    <w:rsid w:val="7F7C6FBE"/>
    <w:rsid w:val="7F840CE6"/>
    <w:rsid w:val="7F890C82"/>
    <w:rsid w:val="7F8A67BA"/>
    <w:rsid w:val="7F973236"/>
    <w:rsid w:val="7F991986"/>
    <w:rsid w:val="7F9A5717"/>
    <w:rsid w:val="7FBA1B8E"/>
    <w:rsid w:val="7FCC0EAB"/>
    <w:rsid w:val="7FCF1C99"/>
    <w:rsid w:val="7FD74032"/>
    <w:rsid w:val="7FDB452C"/>
    <w:rsid w:val="7FF06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next w:val="3"/>
    <w:link w:val="23"/>
    <w:qFormat/>
    <w:uiPriority w:val="0"/>
    <w:pPr>
      <w:snapToGrid w:val="0"/>
      <w:jc w:val="left"/>
    </w:pPr>
    <w:rPr>
      <w:sz w:val="18"/>
      <w:szCs w:val="18"/>
    </w:rPr>
  </w:style>
  <w:style w:type="paragraph" w:styleId="3">
    <w:name w:val="index 5"/>
    <w:basedOn w:val="1"/>
    <w:next w:val="1"/>
    <w:qFormat/>
    <w:uiPriority w:val="0"/>
    <w:pPr>
      <w:ind w:left="1680"/>
    </w:pPr>
  </w:style>
  <w:style w:type="paragraph" w:styleId="6">
    <w:name w:val="Normal Indent"/>
    <w:basedOn w:val="1"/>
    <w:qFormat/>
    <w:uiPriority w:val="0"/>
    <w:pPr>
      <w:spacing w:line="360" w:lineRule="auto"/>
      <w:ind w:firstLine="420"/>
    </w:pPr>
    <w:rPr>
      <w:rFonts w:eastAsia="仿宋"/>
    </w:rPr>
  </w:style>
  <w:style w:type="paragraph" w:styleId="7">
    <w:name w:val="annotation text"/>
    <w:basedOn w:val="1"/>
    <w:qFormat/>
    <w:uiPriority w:val="0"/>
    <w:pPr>
      <w:jc w:val="left"/>
    </w:pPr>
  </w:style>
  <w:style w:type="paragraph" w:styleId="8">
    <w:name w:val="Body Text"/>
    <w:basedOn w:val="1"/>
    <w:qFormat/>
    <w:uiPriority w:val="99"/>
  </w:style>
  <w:style w:type="paragraph" w:styleId="9">
    <w:name w:val="toc 3"/>
    <w:basedOn w:val="1"/>
    <w:next w:val="1"/>
    <w:unhideWhenUsed/>
    <w:qFormat/>
    <w:uiPriority w:val="39"/>
    <w:pPr>
      <w:widowControl/>
      <w:adjustRightInd w:val="0"/>
      <w:snapToGrid w:val="0"/>
      <w:spacing w:line="600" w:lineRule="exact"/>
      <w:ind w:left="170" w:firstLine="400" w:firstLineChars="400"/>
      <w:jc w:val="left"/>
    </w:pPr>
    <w:rPr>
      <w:rFonts w:eastAsia="仿宋_GB2312" w:cs="Times New Roman"/>
      <w:kern w:val="0"/>
      <w:sz w:val="30"/>
      <w:szCs w:val="22"/>
    </w:rPr>
  </w:style>
  <w:style w:type="paragraph" w:styleId="10">
    <w:name w:val="endnote text"/>
    <w:basedOn w:val="1"/>
    <w:qFormat/>
    <w:uiPriority w:val="0"/>
    <w:pPr>
      <w:snapToGrid w:val="0"/>
      <w:jc w:val="left"/>
    </w:p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adjustRightInd w:val="0"/>
      <w:snapToGrid w:val="0"/>
      <w:spacing w:line="600" w:lineRule="exact"/>
      <w:jc w:val="left"/>
    </w:pPr>
    <w:rPr>
      <w:rFonts w:eastAsia="黑体" w:cs="Times New Roman"/>
      <w:b/>
      <w:kern w:val="0"/>
      <w:sz w:val="32"/>
      <w:szCs w:val="22"/>
    </w:rPr>
  </w:style>
  <w:style w:type="paragraph" w:styleId="13">
    <w:name w:val="toc 2"/>
    <w:basedOn w:val="1"/>
    <w:next w:val="1"/>
    <w:unhideWhenUsed/>
    <w:qFormat/>
    <w:uiPriority w:val="39"/>
    <w:pPr>
      <w:widowControl/>
      <w:tabs>
        <w:tab w:val="right" w:leader="dot" w:pos="8296"/>
      </w:tabs>
      <w:adjustRightInd w:val="0"/>
      <w:snapToGrid w:val="0"/>
      <w:spacing w:line="600" w:lineRule="exact"/>
      <w:ind w:firstLine="640" w:firstLineChars="200"/>
      <w:jc w:val="left"/>
    </w:pPr>
    <w:rPr>
      <w:rFonts w:ascii="Times New Roman" w:hAnsi="Times New Roman" w:eastAsia="楷体_GB2312" w:cs="Times New Roman"/>
      <w:bCs/>
      <w:w w:val="90"/>
      <w:kern w:val="0"/>
      <w:sz w:val="32"/>
      <w:szCs w:val="22"/>
    </w:rPr>
  </w:style>
  <w:style w:type="paragraph" w:styleId="14">
    <w:name w:val="Title"/>
    <w:basedOn w:val="3"/>
    <w:next w:val="1"/>
    <w:link w:val="21"/>
    <w:qFormat/>
    <w:uiPriority w:val="0"/>
    <w:pPr>
      <w:ind w:left="0"/>
      <w:jc w:val="center"/>
    </w:pPr>
    <w:rPr>
      <w:rFonts w:ascii="黑体" w:hAnsi="黑体" w:eastAsia="黑体" w:cs="Times New Roman"/>
      <w:b/>
      <w:bCs/>
      <w:kern w:val="44"/>
      <w:sz w:val="32"/>
      <w:szCs w:val="32"/>
    </w:rPr>
  </w:style>
  <w:style w:type="character" w:styleId="16">
    <w:name w:val="endnote reference"/>
    <w:basedOn w:val="15"/>
    <w:qFormat/>
    <w:uiPriority w:val="0"/>
    <w:rPr>
      <w:vertAlign w:val="superscript"/>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页眉 字符"/>
    <w:basedOn w:val="15"/>
    <w:link w:val="11"/>
    <w:qFormat/>
    <w:uiPriority w:val="0"/>
    <w:rPr>
      <w:rFonts w:asciiTheme="minorHAnsi" w:hAnsiTheme="minorHAnsi" w:eastAsiaTheme="minorEastAsia" w:cstheme="minorBidi"/>
      <w:kern w:val="2"/>
      <w:sz w:val="18"/>
      <w:szCs w:val="18"/>
    </w:rPr>
  </w:style>
  <w:style w:type="character" w:customStyle="1" w:styleId="21">
    <w:name w:val="标题 字符"/>
    <w:basedOn w:val="15"/>
    <w:link w:val="14"/>
    <w:qFormat/>
    <w:uiPriority w:val="0"/>
    <w:rPr>
      <w:rFonts w:ascii="黑体" w:hAnsi="黑体" w:eastAsia="黑体"/>
      <w:b/>
      <w:bCs/>
      <w:kern w:val="44"/>
      <w:sz w:val="32"/>
      <w:szCs w:val="32"/>
    </w:rPr>
  </w:style>
  <w:style w:type="paragraph" w:customStyle="1" w:styleId="22">
    <w:name w:val="列表段落1"/>
    <w:basedOn w:val="1"/>
    <w:unhideWhenUsed/>
    <w:qFormat/>
    <w:uiPriority w:val="99"/>
    <w:pPr>
      <w:ind w:firstLine="420" w:firstLineChars="200"/>
    </w:pPr>
  </w:style>
  <w:style w:type="character" w:customStyle="1" w:styleId="23">
    <w:name w:val="页脚 字符"/>
    <w:link w:val="2"/>
    <w:qFormat/>
    <w:uiPriority w:val="0"/>
    <w:rPr>
      <w:rFonts w:asciiTheme="minorHAnsi" w:hAnsiTheme="minorHAnsi" w:eastAsiaTheme="minorEastAsia" w:cstheme="minorBidi"/>
      <w:kern w:val="2"/>
      <w:sz w:val="18"/>
      <w:szCs w:val="18"/>
    </w:rPr>
  </w:style>
  <w:style w:type="character" w:customStyle="1" w:styleId="24">
    <w:name w:val="标题 1 字符"/>
    <w:basedOn w:val="15"/>
    <w:link w:val="4"/>
    <w:qFormat/>
    <w:uiPriority w:val="0"/>
    <w:rPr>
      <w:rFonts w:asciiTheme="minorHAnsi" w:hAnsiTheme="minorHAnsi" w:eastAsiaTheme="minorEastAsia" w:cstheme="minorBidi"/>
      <w:b/>
      <w:bCs/>
      <w:kern w:val="44"/>
      <w:sz w:val="44"/>
      <w:szCs w:val="44"/>
    </w:rPr>
  </w:style>
  <w:style w:type="paragraph" w:customStyle="1" w:styleId="25">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未处理的提及1"/>
    <w:basedOn w:val="15"/>
    <w:unhideWhenUsed/>
    <w:qFormat/>
    <w:uiPriority w:val="99"/>
    <w:rPr>
      <w:color w:val="605E5C"/>
      <w:shd w:val="clear" w:color="auto" w:fill="E1DFDD"/>
    </w:rPr>
  </w:style>
  <w:style w:type="paragraph" w:customStyle="1" w:styleId="27">
    <w:name w:val="TOC 标题2"/>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8">
    <w:name w:val="TOC 标题3"/>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NormalCharacter"/>
    <w:semiHidden/>
    <w:qFormat/>
    <w:uiPriority w:val="99"/>
  </w:style>
  <w:style w:type="paragraph" w:styleId="30">
    <w:name w:val="List Paragraph"/>
    <w:basedOn w:val="1"/>
    <w:qFormat/>
    <w:uiPriority w:val="34"/>
    <w:pPr>
      <w:ind w:firstLine="420" w:firstLineChars="200"/>
    </w:pPr>
  </w:style>
  <w:style w:type="paragraph" w:customStyle="1" w:styleId="31">
    <w:name w:val="WPSOffice手动目录 1"/>
    <w:qFormat/>
    <w:uiPriority w:val="0"/>
    <w:pPr>
      <w:ind w:leftChars="0"/>
    </w:pPr>
    <w:rPr>
      <w:rFonts w:ascii="Calibri" w:hAnsi="Calibri" w:eastAsia="宋体" w:cs="Times New Roman"/>
      <w:sz w:val="20"/>
      <w:szCs w:val="20"/>
    </w:rPr>
  </w:style>
  <w:style w:type="paragraph" w:customStyle="1" w:styleId="32">
    <w:name w:val="WPSOffice手动目录 2"/>
    <w:qFormat/>
    <w:uiPriority w:val="0"/>
    <w:pPr>
      <w:ind w:leftChars="200"/>
    </w:pPr>
    <w:rPr>
      <w:rFonts w:ascii="Calibri" w:hAnsi="Calibri" w:eastAsia="宋体" w:cs="Times New Roman"/>
      <w:sz w:val="20"/>
      <w:szCs w:val="20"/>
    </w:rPr>
  </w:style>
  <w:style w:type="paragraph" w:customStyle="1" w:styleId="33">
    <w:name w:val="WPSOffice手动目录 3"/>
    <w:qFormat/>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endnotes" Target="end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4009fb2-280b-4842-8a50-3c0c663f4cce}"/>
        <w:style w:val=""/>
        <w:category>
          <w:name w:val="常规"/>
          <w:gallery w:val="placeholder"/>
        </w:category>
        <w:types>
          <w:type w:val="bbPlcHdr"/>
        </w:types>
        <w:behaviors>
          <w:behavior w:val="content"/>
        </w:behaviors>
        <w:description w:val=""/>
        <w:guid w:val="{f4009fb2-280b-4842-8a50-3c0c663f4cce}"/>
      </w:docPartPr>
      <w:docPartBody>
        <w:p>
          <w:r>
            <w:rPr>
              <w:color w:val="808080"/>
            </w:rPr>
            <w:t>单击此处输入文字。</w:t>
          </w:r>
        </w:p>
      </w:docPartBody>
    </w:docPart>
    <w:docPart>
      <w:docPartPr>
        <w:name w:val="{200b7cb5-113d-44ad-8711-0d296bd7a930}"/>
        <w:style w:val=""/>
        <w:category>
          <w:name w:val="常规"/>
          <w:gallery w:val="placeholder"/>
        </w:category>
        <w:types>
          <w:type w:val="bbPlcHdr"/>
        </w:types>
        <w:behaviors>
          <w:behavior w:val="content"/>
        </w:behaviors>
        <w:description w:val=""/>
        <w:guid w:val="{200b7cb5-113d-44ad-8711-0d296bd7a930}"/>
      </w:docPartPr>
      <w:docPartBody>
        <w:p>
          <w:r>
            <w:rPr>
              <w:color w:val="808080"/>
            </w:rPr>
            <w:t>单击此处输入文字。</w:t>
          </w:r>
        </w:p>
      </w:docPartBody>
    </w:docPart>
    <w:docPart>
      <w:docPartPr>
        <w:name w:val="{89868d0e-73be-4eb7-bd7c-1e66386520df}"/>
        <w:style w:val=""/>
        <w:category>
          <w:name w:val="常规"/>
          <w:gallery w:val="placeholder"/>
        </w:category>
        <w:types>
          <w:type w:val="bbPlcHdr"/>
        </w:types>
        <w:behaviors>
          <w:behavior w:val="content"/>
        </w:behaviors>
        <w:description w:val=""/>
        <w:guid w:val="{89868d0e-73be-4eb7-bd7c-1e66386520df}"/>
      </w:docPartPr>
      <w:docPartBody>
        <w:p>
          <w:r>
            <w:rPr>
              <w:color w:val="808080"/>
            </w:rPr>
            <w:t>单击此处输入文字。</w:t>
          </w:r>
        </w:p>
      </w:docPartBody>
    </w:docPart>
    <w:docPart>
      <w:docPartPr>
        <w:name w:val="{c540e12a-b982-4b7e-91e6-cf88260a5adf}"/>
        <w:style w:val=""/>
        <w:category>
          <w:name w:val="常规"/>
          <w:gallery w:val="placeholder"/>
        </w:category>
        <w:types>
          <w:type w:val="bbPlcHdr"/>
        </w:types>
        <w:behaviors>
          <w:behavior w:val="content"/>
        </w:behaviors>
        <w:description w:val=""/>
        <w:guid w:val="{c540e12a-b982-4b7e-91e6-cf88260a5adf}"/>
      </w:docPartPr>
      <w:docPartBody>
        <w:p>
          <w:r>
            <w:rPr>
              <w:color w:val="808080"/>
            </w:rPr>
            <w:t>单击此处输入文字。</w:t>
          </w:r>
        </w:p>
      </w:docPartBody>
    </w:docPart>
    <w:docPart>
      <w:docPartPr>
        <w:name w:val="{39298b24-8804-43cc-bc7b-bc92c8d56b69}"/>
        <w:style w:val=""/>
        <w:category>
          <w:name w:val="常规"/>
          <w:gallery w:val="placeholder"/>
        </w:category>
        <w:types>
          <w:type w:val="bbPlcHdr"/>
        </w:types>
        <w:behaviors>
          <w:behavior w:val="content"/>
        </w:behaviors>
        <w:description w:val=""/>
        <w:guid w:val="{39298b24-8804-43cc-bc7b-bc92c8d56b69}"/>
      </w:docPartPr>
      <w:docPartBody>
        <w:p>
          <w:r>
            <w:rPr>
              <w:color w:val="808080"/>
            </w:rPr>
            <w:t>单击此处输入文字。</w:t>
          </w:r>
        </w:p>
      </w:docPartBody>
    </w:docPart>
    <w:docPart>
      <w:docPartPr>
        <w:name w:val="{5725ac98-bf06-40fa-aeec-742229e24425}"/>
        <w:style w:val=""/>
        <w:category>
          <w:name w:val="常规"/>
          <w:gallery w:val="placeholder"/>
        </w:category>
        <w:types>
          <w:type w:val="bbPlcHdr"/>
        </w:types>
        <w:behaviors>
          <w:behavior w:val="content"/>
        </w:behaviors>
        <w:description w:val=""/>
        <w:guid w:val="{5725ac98-bf06-40fa-aeec-742229e24425}"/>
      </w:docPartPr>
      <w:docPartBody>
        <w:p>
          <w:r>
            <w:rPr>
              <w:color w:val="808080"/>
            </w:rPr>
            <w:t>单击此处输入文字。</w:t>
          </w:r>
        </w:p>
      </w:docPartBody>
    </w:docPart>
    <w:docPart>
      <w:docPartPr>
        <w:name w:val="{6060a42b-b1e5-44ad-abf0-3e5171fb4710}"/>
        <w:style w:val=""/>
        <w:category>
          <w:name w:val="常规"/>
          <w:gallery w:val="placeholder"/>
        </w:category>
        <w:types>
          <w:type w:val="bbPlcHdr"/>
        </w:types>
        <w:behaviors>
          <w:behavior w:val="content"/>
        </w:behaviors>
        <w:description w:val=""/>
        <w:guid w:val="{6060a42b-b1e5-44ad-abf0-3e5171fb4710}"/>
      </w:docPartPr>
      <w:docPartBody>
        <w:p>
          <w:r>
            <w:rPr>
              <w:color w:val="808080"/>
            </w:rPr>
            <w:t>单击此处输入文字。</w:t>
          </w:r>
        </w:p>
      </w:docPartBody>
    </w:docPart>
    <w:docPart>
      <w:docPartPr>
        <w:name w:val="{6c86d7d5-e8ec-4d81-b743-b99a80847d7e}"/>
        <w:style w:val=""/>
        <w:category>
          <w:name w:val="常规"/>
          <w:gallery w:val="placeholder"/>
        </w:category>
        <w:types>
          <w:type w:val="bbPlcHdr"/>
        </w:types>
        <w:behaviors>
          <w:behavior w:val="content"/>
        </w:behaviors>
        <w:description w:val=""/>
        <w:guid w:val="{6c86d7d5-e8ec-4d81-b743-b99a80847d7e}"/>
      </w:docPartPr>
      <w:docPartBody>
        <w:p>
          <w:r>
            <w:rPr>
              <w:color w:val="808080"/>
            </w:rPr>
            <w:t>单击此处输入文字。</w:t>
          </w:r>
        </w:p>
      </w:docPartBody>
    </w:docPart>
    <w:docPart>
      <w:docPartPr>
        <w:name w:val="{995a1280-8891-4d0b-a5ba-76c8ae5ce4d0}"/>
        <w:style w:val=""/>
        <w:category>
          <w:name w:val="常规"/>
          <w:gallery w:val="placeholder"/>
        </w:category>
        <w:types>
          <w:type w:val="bbPlcHdr"/>
        </w:types>
        <w:behaviors>
          <w:behavior w:val="content"/>
        </w:behaviors>
        <w:description w:val=""/>
        <w:guid w:val="{995a1280-8891-4d0b-a5ba-76c8ae5ce4d0}"/>
      </w:docPartPr>
      <w:docPartBody>
        <w:p>
          <w:r>
            <w:rPr>
              <w:color w:val="808080"/>
            </w:rPr>
            <w:t>单击此处输入文字。</w:t>
          </w:r>
        </w:p>
      </w:docPartBody>
    </w:docPart>
    <w:docPart>
      <w:docPartPr>
        <w:name w:val="{58aae96a-4416-4582-9bf8-de8c7feb2a06}"/>
        <w:style w:val=""/>
        <w:category>
          <w:name w:val="常规"/>
          <w:gallery w:val="placeholder"/>
        </w:category>
        <w:types>
          <w:type w:val="bbPlcHdr"/>
        </w:types>
        <w:behaviors>
          <w:behavior w:val="content"/>
        </w:behaviors>
        <w:description w:val=""/>
        <w:guid w:val="{58aae96a-4416-4582-9bf8-de8c7feb2a06}"/>
      </w:docPartPr>
      <w:docPartBody>
        <w:p>
          <w:r>
            <w:rPr>
              <w:color w:val="808080"/>
            </w:rPr>
            <w:t>单击此处输入文字。</w:t>
          </w:r>
        </w:p>
      </w:docPartBody>
    </w:docPart>
    <w:docPart>
      <w:docPartPr>
        <w:name w:val="{8df18fae-3735-408c-bfec-423871bfc1f5}"/>
        <w:style w:val=""/>
        <w:category>
          <w:name w:val="常规"/>
          <w:gallery w:val="placeholder"/>
        </w:category>
        <w:types>
          <w:type w:val="bbPlcHdr"/>
        </w:types>
        <w:behaviors>
          <w:behavior w:val="content"/>
        </w:behaviors>
        <w:description w:val=""/>
        <w:guid w:val="{8df18fae-3735-408c-bfec-423871bfc1f5}"/>
      </w:docPartPr>
      <w:docPartBody>
        <w:p>
          <w:r>
            <w:rPr>
              <w:color w:val="808080"/>
            </w:rPr>
            <w:t>单击此处输入文字。</w:t>
          </w:r>
        </w:p>
      </w:docPartBody>
    </w:docPart>
    <w:docPart>
      <w:docPartPr>
        <w:name w:val="{e3a7076e-bd95-4593-bd57-573626d056d0}"/>
        <w:style w:val=""/>
        <w:category>
          <w:name w:val="常规"/>
          <w:gallery w:val="placeholder"/>
        </w:category>
        <w:types>
          <w:type w:val="bbPlcHdr"/>
        </w:types>
        <w:behaviors>
          <w:behavior w:val="content"/>
        </w:behaviors>
        <w:description w:val=""/>
        <w:guid w:val="{e3a7076e-bd95-4593-bd57-573626d056d0}"/>
      </w:docPartPr>
      <w:docPartBody>
        <w:p>
          <w:r>
            <w:rPr>
              <w:color w:val="808080"/>
            </w:rPr>
            <w:t>单击此处输入文字。</w:t>
          </w:r>
        </w:p>
      </w:docPartBody>
    </w:docPart>
    <w:docPart>
      <w:docPartPr>
        <w:name w:val="{02a56965-3b74-475b-a715-889e0b6f0b79}"/>
        <w:style w:val=""/>
        <w:category>
          <w:name w:val="常规"/>
          <w:gallery w:val="placeholder"/>
        </w:category>
        <w:types>
          <w:type w:val="bbPlcHdr"/>
        </w:types>
        <w:behaviors>
          <w:behavior w:val="content"/>
        </w:behaviors>
        <w:description w:val=""/>
        <w:guid w:val="{02a56965-3b74-475b-a715-889e0b6f0b79}"/>
      </w:docPartPr>
      <w:docPartBody>
        <w:p>
          <w:r>
            <w:rPr>
              <w:color w:val="808080"/>
            </w:rPr>
            <w:t>单击此处输入文字。</w:t>
          </w:r>
        </w:p>
      </w:docPartBody>
    </w:docPart>
    <w:docPart>
      <w:docPartPr>
        <w:name w:val="{cd6c6825-3273-4b6d-8e26-aa3659d04101}"/>
        <w:style w:val=""/>
        <w:category>
          <w:name w:val="常规"/>
          <w:gallery w:val="placeholder"/>
        </w:category>
        <w:types>
          <w:type w:val="bbPlcHdr"/>
        </w:types>
        <w:behaviors>
          <w:behavior w:val="content"/>
        </w:behaviors>
        <w:description w:val=""/>
        <w:guid w:val="{cd6c6825-3273-4b6d-8e26-aa3659d04101}"/>
      </w:docPartPr>
      <w:docPartBody>
        <w:p>
          <w:r>
            <w:rPr>
              <w:color w:val="808080"/>
            </w:rPr>
            <w:t>单击此处输入文字。</w:t>
          </w:r>
        </w:p>
      </w:docPartBody>
    </w:docPart>
    <w:docPart>
      <w:docPartPr>
        <w:name w:val="{5aa06adb-2d57-44bf-b547-7e278d110729}"/>
        <w:style w:val=""/>
        <w:category>
          <w:name w:val="常规"/>
          <w:gallery w:val="placeholder"/>
        </w:category>
        <w:types>
          <w:type w:val="bbPlcHdr"/>
        </w:types>
        <w:behaviors>
          <w:behavior w:val="content"/>
        </w:behaviors>
        <w:description w:val=""/>
        <w:guid w:val="{5aa06adb-2d57-44bf-b547-7e278d110729}"/>
      </w:docPartPr>
      <w:docPartBody>
        <w:p>
          <w:r>
            <w:rPr>
              <w:color w:val="808080"/>
            </w:rPr>
            <w:t>单击此处输入文字。</w:t>
          </w:r>
        </w:p>
      </w:docPartBody>
    </w:docPart>
    <w:docPart>
      <w:docPartPr>
        <w:name w:val="{d3fa1d2a-e287-46c6-ac98-41d3eb628276}"/>
        <w:style w:val=""/>
        <w:category>
          <w:name w:val="常规"/>
          <w:gallery w:val="placeholder"/>
        </w:category>
        <w:types>
          <w:type w:val="bbPlcHdr"/>
        </w:types>
        <w:behaviors>
          <w:behavior w:val="content"/>
        </w:behaviors>
        <w:description w:val=""/>
        <w:guid w:val="{d3fa1d2a-e287-46c6-ac98-41d3eb628276}"/>
      </w:docPartPr>
      <w:docPartBody>
        <w:p>
          <w:r>
            <w:rPr>
              <w:color w:val="808080"/>
            </w:rPr>
            <w:t>单击此处输入文字。</w:t>
          </w:r>
        </w:p>
      </w:docPartBody>
    </w:docPart>
    <w:docPart>
      <w:docPartPr>
        <w:name w:val="{84aca5c0-1cf9-418b-84b0-543d50cc1129}"/>
        <w:style w:val=""/>
        <w:category>
          <w:name w:val="常规"/>
          <w:gallery w:val="placeholder"/>
        </w:category>
        <w:types>
          <w:type w:val="bbPlcHdr"/>
        </w:types>
        <w:behaviors>
          <w:behavior w:val="content"/>
        </w:behaviors>
        <w:description w:val=""/>
        <w:guid w:val="{84aca5c0-1cf9-418b-84b0-543d50cc1129}"/>
      </w:docPartPr>
      <w:docPartBody>
        <w:p>
          <w:r>
            <w:rPr>
              <w:color w:val="808080"/>
            </w:rPr>
            <w:t>单击此处输入文字。</w:t>
          </w:r>
        </w:p>
      </w:docPartBody>
    </w:docPart>
    <w:docPart>
      <w:docPartPr>
        <w:name w:val="{0facb6e7-40ba-41b9-89ec-f493104ff805}"/>
        <w:style w:val=""/>
        <w:category>
          <w:name w:val="常规"/>
          <w:gallery w:val="placeholder"/>
        </w:category>
        <w:types>
          <w:type w:val="bbPlcHdr"/>
        </w:types>
        <w:behaviors>
          <w:behavior w:val="content"/>
        </w:behaviors>
        <w:description w:val=""/>
        <w:guid w:val="{0facb6e7-40ba-41b9-89ec-f493104ff805}"/>
      </w:docPartPr>
      <w:docPartBody>
        <w:p>
          <w:r>
            <w:rPr>
              <w:color w:val="808080"/>
            </w:rPr>
            <w:t>单击此处输入文字。</w:t>
          </w:r>
        </w:p>
      </w:docPartBody>
    </w:docPart>
    <w:docPart>
      <w:docPartPr>
        <w:name w:val="{0fd9c080-58c7-41a1-b7ff-59826d834996}"/>
        <w:style w:val=""/>
        <w:category>
          <w:name w:val="常规"/>
          <w:gallery w:val="placeholder"/>
        </w:category>
        <w:types>
          <w:type w:val="bbPlcHdr"/>
        </w:types>
        <w:behaviors>
          <w:behavior w:val="content"/>
        </w:behaviors>
        <w:description w:val=""/>
        <w:guid w:val="{0fd9c080-58c7-41a1-b7ff-59826d834996}"/>
      </w:docPartPr>
      <w:docPartBody>
        <w:p>
          <w:r>
            <w:rPr>
              <w:color w:val="808080"/>
            </w:rPr>
            <w:t>单击此处输入文字。</w:t>
          </w:r>
        </w:p>
      </w:docPartBody>
    </w:docPart>
    <w:docPart>
      <w:docPartPr>
        <w:name w:val="{dbd225e3-53fa-4291-8ec7-162c7b005541}"/>
        <w:style w:val=""/>
        <w:category>
          <w:name w:val="常规"/>
          <w:gallery w:val="placeholder"/>
        </w:category>
        <w:types>
          <w:type w:val="bbPlcHdr"/>
        </w:types>
        <w:behaviors>
          <w:behavior w:val="content"/>
        </w:behaviors>
        <w:description w:val=""/>
        <w:guid w:val="{dbd225e3-53fa-4291-8ec7-162c7b005541}"/>
      </w:docPartPr>
      <w:docPartBody>
        <w:p>
          <w:r>
            <w:rPr>
              <w:color w:val="808080"/>
            </w:rPr>
            <w:t>单击此处输入文字。</w:t>
          </w:r>
        </w:p>
      </w:docPartBody>
    </w:docPart>
    <w:docPart>
      <w:docPartPr>
        <w:name w:val="{fa04b668-ce8b-4f4e-a35b-9ba2fbac212e}"/>
        <w:style w:val=""/>
        <w:category>
          <w:name w:val="常规"/>
          <w:gallery w:val="placeholder"/>
        </w:category>
        <w:types>
          <w:type w:val="bbPlcHdr"/>
        </w:types>
        <w:behaviors>
          <w:behavior w:val="content"/>
        </w:behaviors>
        <w:description w:val=""/>
        <w:guid w:val="{fa04b668-ce8b-4f4e-a35b-9ba2fbac212e}"/>
      </w:docPartPr>
      <w:docPartBody>
        <w:p>
          <w:r>
            <w:rPr>
              <w:color w:val="808080"/>
            </w:rPr>
            <w:t>单击此处输入文字。</w:t>
          </w:r>
        </w:p>
      </w:docPartBody>
    </w:docPart>
    <w:docPart>
      <w:docPartPr>
        <w:name w:val="{4dadc0c8-6313-4ea9-8cd9-b292a1c73310}"/>
        <w:style w:val=""/>
        <w:category>
          <w:name w:val="常规"/>
          <w:gallery w:val="placeholder"/>
        </w:category>
        <w:types>
          <w:type w:val="bbPlcHdr"/>
        </w:types>
        <w:behaviors>
          <w:behavior w:val="content"/>
        </w:behaviors>
        <w:description w:val=""/>
        <w:guid w:val="{4dadc0c8-6313-4ea9-8cd9-b292a1c73310}"/>
      </w:docPartPr>
      <w:docPartBody>
        <w:p>
          <w:r>
            <w:rPr>
              <w:color w:val="808080"/>
            </w:rPr>
            <w:t>单击此处输入文字。</w:t>
          </w:r>
        </w:p>
      </w:docPartBody>
    </w:docPart>
    <w:docPart>
      <w:docPartPr>
        <w:name w:val="{32d539a2-ecf3-42c4-9864-3541e4678ca2}"/>
        <w:style w:val=""/>
        <w:category>
          <w:name w:val="常规"/>
          <w:gallery w:val="placeholder"/>
        </w:category>
        <w:types>
          <w:type w:val="bbPlcHdr"/>
        </w:types>
        <w:behaviors>
          <w:behavior w:val="content"/>
        </w:behaviors>
        <w:description w:val=""/>
        <w:guid w:val="{32d539a2-ecf3-42c4-9864-3541e4678ca2}"/>
      </w:docPartPr>
      <w:docPartBody>
        <w:p>
          <w:r>
            <w:rPr>
              <w:color w:val="808080"/>
            </w:rPr>
            <w:t>单击此处输入文字。</w:t>
          </w:r>
        </w:p>
      </w:docPartBody>
    </w:docPart>
    <w:docPart>
      <w:docPartPr>
        <w:name w:val="{0964eb11-5bfe-4d9d-9652-8b0b7ac5333a}"/>
        <w:style w:val=""/>
        <w:category>
          <w:name w:val="常规"/>
          <w:gallery w:val="placeholder"/>
        </w:category>
        <w:types>
          <w:type w:val="bbPlcHdr"/>
        </w:types>
        <w:behaviors>
          <w:behavior w:val="content"/>
        </w:behaviors>
        <w:description w:val=""/>
        <w:guid w:val="{0964eb11-5bfe-4d9d-9652-8b0b7ac5333a}"/>
      </w:docPartPr>
      <w:docPartBody>
        <w:p>
          <w:r>
            <w:rPr>
              <w:color w:val="808080"/>
            </w:rPr>
            <w:t>单击此处输入文字。</w:t>
          </w:r>
        </w:p>
      </w:docPartBody>
    </w:docPart>
    <w:docPart>
      <w:docPartPr>
        <w:name w:val="{58ff0301-22ae-42b4-82e4-0f873e18a551}"/>
        <w:style w:val=""/>
        <w:category>
          <w:name w:val="常规"/>
          <w:gallery w:val="placeholder"/>
        </w:category>
        <w:types>
          <w:type w:val="bbPlcHdr"/>
        </w:types>
        <w:behaviors>
          <w:behavior w:val="content"/>
        </w:behaviors>
        <w:description w:val=""/>
        <w:guid w:val="{58ff0301-22ae-42b4-82e4-0f873e18a551}"/>
      </w:docPartPr>
      <w:docPartBody>
        <w:p>
          <w:r>
            <w:rPr>
              <w:color w:val="808080"/>
            </w:rPr>
            <w:t>单击此处输入文字。</w:t>
          </w:r>
        </w:p>
      </w:docPartBody>
    </w:docPart>
    <w:docPart>
      <w:docPartPr>
        <w:name w:val="{93c54799-614f-4863-8d0a-4f428786dd54}"/>
        <w:style w:val=""/>
        <w:category>
          <w:name w:val="常规"/>
          <w:gallery w:val="placeholder"/>
        </w:category>
        <w:types>
          <w:type w:val="bbPlcHdr"/>
        </w:types>
        <w:behaviors>
          <w:behavior w:val="content"/>
        </w:behaviors>
        <w:description w:val=""/>
        <w:guid w:val="{93c54799-614f-4863-8d0a-4f428786dd54}"/>
      </w:docPartPr>
      <w:docPartBody>
        <w:p>
          <w:r>
            <w:rPr>
              <w:color w:val="808080"/>
            </w:rPr>
            <w:t>单击此处输入文字。</w:t>
          </w:r>
        </w:p>
      </w:docPartBody>
    </w:docPart>
    <w:docPart>
      <w:docPartPr>
        <w:name w:val="{4a11cc79-50d1-4375-85b5-62dfc8ec2bfe}"/>
        <w:style w:val=""/>
        <w:category>
          <w:name w:val="常规"/>
          <w:gallery w:val="placeholder"/>
        </w:category>
        <w:types>
          <w:type w:val="bbPlcHdr"/>
        </w:types>
        <w:behaviors>
          <w:behavior w:val="content"/>
        </w:behaviors>
        <w:description w:val=""/>
        <w:guid w:val="{4a11cc79-50d1-4375-85b5-62dfc8ec2bfe}"/>
      </w:docPartPr>
      <w:docPartBody>
        <w:p>
          <w:r>
            <w:rPr>
              <w:color w:val="808080"/>
            </w:rPr>
            <w:t>单击此处输入文字。</w:t>
          </w:r>
        </w:p>
      </w:docPartBody>
    </w:docPart>
    <w:docPart>
      <w:docPartPr>
        <w:name w:val="{1a5521a5-589d-4ef4-9af7-d34909117105}"/>
        <w:style w:val=""/>
        <w:category>
          <w:name w:val="常规"/>
          <w:gallery w:val="placeholder"/>
        </w:category>
        <w:types>
          <w:type w:val="bbPlcHdr"/>
        </w:types>
        <w:behaviors>
          <w:behavior w:val="content"/>
        </w:behaviors>
        <w:description w:val=""/>
        <w:guid w:val="{1a5521a5-589d-4ef4-9af7-d34909117105}"/>
      </w:docPartPr>
      <w:docPartBody>
        <w:p>
          <w:r>
            <w:rPr>
              <w:color w:val="808080"/>
            </w:rPr>
            <w:t>单击此处输入文字。</w:t>
          </w:r>
        </w:p>
      </w:docPartBody>
    </w:docPart>
    <w:docPart>
      <w:docPartPr>
        <w:name w:val="{78db415f-d80e-41e5-8b6c-4331a127f728}"/>
        <w:style w:val=""/>
        <w:category>
          <w:name w:val="常规"/>
          <w:gallery w:val="placeholder"/>
        </w:category>
        <w:types>
          <w:type w:val="bbPlcHdr"/>
        </w:types>
        <w:behaviors>
          <w:behavior w:val="content"/>
        </w:behaviors>
        <w:description w:val=""/>
        <w:guid w:val="{78db415f-d80e-41e5-8b6c-4331a127f728}"/>
      </w:docPartPr>
      <w:docPartBody>
        <w:p>
          <w:r>
            <w:rPr>
              <w:color w:val="808080"/>
            </w:rPr>
            <w:t>单击此处输入文字。</w:t>
          </w:r>
        </w:p>
      </w:docPartBody>
    </w:docPart>
    <w:docPart>
      <w:docPartPr>
        <w:name w:val="{b23f0dc6-ea05-477e-8135-ba2eba136921}"/>
        <w:style w:val=""/>
        <w:category>
          <w:name w:val="常规"/>
          <w:gallery w:val="placeholder"/>
        </w:category>
        <w:types>
          <w:type w:val="bbPlcHdr"/>
        </w:types>
        <w:behaviors>
          <w:behavior w:val="content"/>
        </w:behaviors>
        <w:description w:val=""/>
        <w:guid w:val="{b23f0dc6-ea05-477e-8135-ba2eba136921}"/>
      </w:docPartPr>
      <w:docPartBody>
        <w:p>
          <w:r>
            <w:rPr>
              <w:color w:val="808080"/>
            </w:rPr>
            <w:t>单击此处输入文字。</w:t>
          </w:r>
        </w:p>
      </w:docPartBody>
    </w:docPart>
    <w:docPart>
      <w:docPartPr>
        <w:name w:val="{83db775a-32e7-41eb-bc4d-57bf21b59b5e}"/>
        <w:style w:val=""/>
        <w:category>
          <w:name w:val="常规"/>
          <w:gallery w:val="placeholder"/>
        </w:category>
        <w:types>
          <w:type w:val="bbPlcHdr"/>
        </w:types>
        <w:behaviors>
          <w:behavior w:val="content"/>
        </w:behaviors>
        <w:description w:val=""/>
        <w:guid w:val="{83db775a-32e7-41eb-bc4d-57bf21b59b5e}"/>
      </w:docPartPr>
      <w:docPartBody>
        <w:p>
          <w:r>
            <w:rPr>
              <w:color w:val="808080"/>
            </w:rPr>
            <w:t>单击此处输入文字。</w:t>
          </w:r>
        </w:p>
      </w:docPartBody>
    </w:docPart>
    <w:docPart>
      <w:docPartPr>
        <w:name w:val="{99a87d0e-8766-458d-a2ca-d268fd00d850}"/>
        <w:style w:val=""/>
        <w:category>
          <w:name w:val="常规"/>
          <w:gallery w:val="placeholder"/>
        </w:category>
        <w:types>
          <w:type w:val="bbPlcHdr"/>
        </w:types>
        <w:behaviors>
          <w:behavior w:val="content"/>
        </w:behaviors>
        <w:description w:val=""/>
        <w:guid w:val="{99a87d0e-8766-458d-a2ca-d268fd00d850}"/>
      </w:docPartPr>
      <w:docPartBody>
        <w:p>
          <w:r>
            <w:rPr>
              <w:color w:val="808080"/>
            </w:rPr>
            <w:t>单击此处输入文字。</w:t>
          </w:r>
        </w:p>
      </w:docPartBody>
    </w:docPart>
    <w:docPart>
      <w:docPartPr>
        <w:name w:val="{957bc35d-9b41-4c9a-aef2-2d5c16c7508b}"/>
        <w:style w:val=""/>
        <w:category>
          <w:name w:val="常规"/>
          <w:gallery w:val="placeholder"/>
        </w:category>
        <w:types>
          <w:type w:val="bbPlcHdr"/>
        </w:types>
        <w:behaviors>
          <w:behavior w:val="content"/>
        </w:behaviors>
        <w:description w:val=""/>
        <w:guid w:val="{957bc35d-9b41-4c9a-aef2-2d5c16c7508b}"/>
      </w:docPartPr>
      <w:docPartBody>
        <w:p>
          <w:r>
            <w:rPr>
              <w:color w:val="808080"/>
            </w:rPr>
            <w:t>单击此处输入文字。</w:t>
          </w:r>
        </w:p>
      </w:docPartBody>
    </w:docPart>
    <w:docPart>
      <w:docPartPr>
        <w:name w:val="{60a42a12-f106-44d2-b399-13a1b045af48}"/>
        <w:style w:val=""/>
        <w:category>
          <w:name w:val="常规"/>
          <w:gallery w:val="placeholder"/>
        </w:category>
        <w:types>
          <w:type w:val="bbPlcHdr"/>
        </w:types>
        <w:behaviors>
          <w:behavior w:val="content"/>
        </w:behaviors>
        <w:description w:val=""/>
        <w:guid w:val="{60a42a12-f106-44d2-b399-13a1b045af48}"/>
      </w:docPartPr>
      <w:docPartBody>
        <w:p>
          <w:r>
            <w:rPr>
              <w:color w:val="808080"/>
            </w:rPr>
            <w:t>单击此处输入文字。</w:t>
          </w:r>
        </w:p>
      </w:docPartBody>
    </w:docPart>
    <w:docPart>
      <w:docPartPr>
        <w:name w:val="{25be9a46-ac84-4b22-b42f-5fb8dbbb888a}"/>
        <w:style w:val=""/>
        <w:category>
          <w:name w:val="常规"/>
          <w:gallery w:val="placeholder"/>
        </w:category>
        <w:types>
          <w:type w:val="bbPlcHdr"/>
        </w:types>
        <w:behaviors>
          <w:behavior w:val="content"/>
        </w:behaviors>
        <w:description w:val=""/>
        <w:guid w:val="{25be9a46-ac84-4b22-b42f-5fb8dbbb888a}"/>
      </w:docPartPr>
      <w:docPartBody>
        <w:p>
          <w:r>
            <w:rPr>
              <w:color w:val="808080"/>
            </w:rPr>
            <w:t>单击此处输入文字。</w:t>
          </w:r>
        </w:p>
      </w:docPartBody>
    </w:docPart>
    <w:docPart>
      <w:docPartPr>
        <w:name w:val="{522915ee-4a7f-43a4-9403-deb49846d818}"/>
        <w:style w:val=""/>
        <w:category>
          <w:name w:val="常规"/>
          <w:gallery w:val="placeholder"/>
        </w:category>
        <w:types>
          <w:type w:val="bbPlcHdr"/>
        </w:types>
        <w:behaviors>
          <w:behavior w:val="content"/>
        </w:behaviors>
        <w:description w:val=""/>
        <w:guid w:val="{522915ee-4a7f-43a4-9403-deb49846d818}"/>
      </w:docPartPr>
      <w:docPartBody>
        <w:p>
          <w:r>
            <w:rPr>
              <w:color w:val="808080"/>
            </w:rPr>
            <w:t>单击此处输入文字。</w:t>
          </w:r>
        </w:p>
      </w:docPartBody>
    </w:docPart>
    <w:docPart>
      <w:docPartPr>
        <w:name w:val="{56b69415-e402-4542-9e78-8ddae9cf6980}"/>
        <w:style w:val=""/>
        <w:category>
          <w:name w:val="常规"/>
          <w:gallery w:val="placeholder"/>
        </w:category>
        <w:types>
          <w:type w:val="bbPlcHdr"/>
        </w:types>
        <w:behaviors>
          <w:behavior w:val="content"/>
        </w:behaviors>
        <w:description w:val=""/>
        <w:guid w:val="{56b69415-e402-4542-9e78-8ddae9cf6980}"/>
      </w:docPartPr>
      <w:docPartBody>
        <w:p>
          <w:r>
            <w:rPr>
              <w:color w:val="808080"/>
            </w:rPr>
            <w:t>单击此处输入文字。</w:t>
          </w:r>
        </w:p>
      </w:docPartBody>
    </w:docPart>
    <w:docPart>
      <w:docPartPr>
        <w:name w:val="{fbc58548-8c99-4cb0-8e42-1a949122ebe1}"/>
        <w:style w:val=""/>
        <w:category>
          <w:name w:val="常规"/>
          <w:gallery w:val="placeholder"/>
        </w:category>
        <w:types>
          <w:type w:val="bbPlcHdr"/>
        </w:types>
        <w:behaviors>
          <w:behavior w:val="content"/>
        </w:behaviors>
        <w:description w:val=""/>
        <w:guid w:val="{fbc58548-8c99-4cb0-8e42-1a949122ebe1}"/>
      </w:docPartPr>
      <w:docPartBody>
        <w:p>
          <w:r>
            <w:rPr>
              <w:color w:val="808080"/>
            </w:rPr>
            <w:t>单击此处输入文字。</w:t>
          </w:r>
        </w:p>
      </w:docPartBody>
    </w:docPart>
    <w:docPart>
      <w:docPartPr>
        <w:name w:val="{23cd9a8a-ded5-4f47-a1d9-9eea982a83a8}"/>
        <w:style w:val=""/>
        <w:category>
          <w:name w:val="常规"/>
          <w:gallery w:val="placeholder"/>
        </w:category>
        <w:types>
          <w:type w:val="bbPlcHdr"/>
        </w:types>
        <w:behaviors>
          <w:behavior w:val="content"/>
        </w:behaviors>
        <w:description w:val=""/>
        <w:guid w:val="{23cd9a8a-ded5-4f47-a1d9-9eea982a83a8}"/>
      </w:docPartPr>
      <w:docPartBody>
        <w:p>
          <w:r>
            <w:rPr>
              <w:color w:val="808080"/>
            </w:rPr>
            <w:t>单击此处输入文字。</w:t>
          </w:r>
        </w:p>
      </w:docPartBody>
    </w:docPart>
    <w:docPart>
      <w:docPartPr>
        <w:name w:val="{53577141-74df-4a56-a446-62e6b2f9ffc3}"/>
        <w:style w:val=""/>
        <w:category>
          <w:name w:val="常规"/>
          <w:gallery w:val="placeholder"/>
        </w:category>
        <w:types>
          <w:type w:val="bbPlcHdr"/>
        </w:types>
        <w:behaviors>
          <w:behavior w:val="content"/>
        </w:behaviors>
        <w:description w:val=""/>
        <w:guid w:val="{53577141-74df-4a56-a446-62e6b2f9ffc3}"/>
      </w:docPartPr>
      <w:docPartBody>
        <w:p>
          <w:r>
            <w:rPr>
              <w:color w:val="808080"/>
            </w:rPr>
            <w:t>单击此处输入文字。</w:t>
          </w:r>
        </w:p>
      </w:docPartBody>
    </w:docPart>
    <w:docPart>
      <w:docPartPr>
        <w:name w:val="{ae86308f-15f0-4f91-a6c6-e959a15316c0}"/>
        <w:style w:val=""/>
        <w:category>
          <w:name w:val="常规"/>
          <w:gallery w:val="placeholder"/>
        </w:category>
        <w:types>
          <w:type w:val="bbPlcHdr"/>
        </w:types>
        <w:behaviors>
          <w:behavior w:val="content"/>
        </w:behaviors>
        <w:description w:val=""/>
        <w:guid w:val="{ae86308f-15f0-4f91-a6c6-e959a15316c0}"/>
      </w:docPartPr>
      <w:docPartBody>
        <w:p>
          <w:r>
            <w:rPr>
              <w:color w:val="808080"/>
            </w:rPr>
            <w:t>单击此处输入文字。</w:t>
          </w:r>
        </w:p>
      </w:docPartBody>
    </w:docPart>
    <w:docPart>
      <w:docPartPr>
        <w:name w:val="{b041a8aa-f0c0-4723-9924-e38a3a382da2}"/>
        <w:style w:val=""/>
        <w:category>
          <w:name w:val="常规"/>
          <w:gallery w:val="placeholder"/>
        </w:category>
        <w:types>
          <w:type w:val="bbPlcHdr"/>
        </w:types>
        <w:behaviors>
          <w:behavior w:val="content"/>
        </w:behaviors>
        <w:description w:val=""/>
        <w:guid w:val="{b041a8aa-f0c0-4723-9924-e38a3a382da2}"/>
      </w:docPartPr>
      <w:docPartBody>
        <w:p>
          <w:r>
            <w:rPr>
              <w:color w:val="808080"/>
            </w:rPr>
            <w:t>单击此处输入文字。</w:t>
          </w:r>
        </w:p>
      </w:docPartBody>
    </w:docPart>
    <w:docPart>
      <w:docPartPr>
        <w:name w:val="{bf48b7bf-1c04-4659-b61f-bb19b185df36}"/>
        <w:style w:val=""/>
        <w:category>
          <w:name w:val="常规"/>
          <w:gallery w:val="placeholder"/>
        </w:category>
        <w:types>
          <w:type w:val="bbPlcHdr"/>
        </w:types>
        <w:behaviors>
          <w:behavior w:val="content"/>
        </w:behaviors>
        <w:description w:val=""/>
        <w:guid w:val="{bf48b7bf-1c04-4659-b61f-bb19b185df36}"/>
      </w:docPartPr>
      <w:docPartBody>
        <w:p>
          <w:r>
            <w:rPr>
              <w:color w:val="808080"/>
            </w:rPr>
            <w:t>单击此处输入文字。</w:t>
          </w:r>
        </w:p>
      </w:docPartBody>
    </w:docPart>
    <w:docPart>
      <w:docPartPr>
        <w:name w:val="{f22f68b9-13ff-457e-80a6-4ce0f6a02d46}"/>
        <w:style w:val=""/>
        <w:category>
          <w:name w:val="常规"/>
          <w:gallery w:val="placeholder"/>
        </w:category>
        <w:types>
          <w:type w:val="bbPlcHdr"/>
        </w:types>
        <w:behaviors>
          <w:behavior w:val="content"/>
        </w:behaviors>
        <w:description w:val=""/>
        <w:guid w:val="{f22f68b9-13ff-457e-80a6-4ce0f6a02d46}"/>
      </w:docPartPr>
      <w:docPartBody>
        <w:p>
          <w:r>
            <w:rPr>
              <w:color w:val="808080"/>
            </w:rPr>
            <w:t>单击此处输入文字。</w:t>
          </w:r>
        </w:p>
      </w:docPartBody>
    </w:docPart>
    <w:docPart>
      <w:docPartPr>
        <w:name w:val="{1c5866d2-f4a9-4160-9394-3e2b1cd77ec3}"/>
        <w:style w:val=""/>
        <w:category>
          <w:name w:val="常规"/>
          <w:gallery w:val="placeholder"/>
        </w:category>
        <w:types>
          <w:type w:val="bbPlcHdr"/>
        </w:types>
        <w:behaviors>
          <w:behavior w:val="content"/>
        </w:behaviors>
        <w:description w:val=""/>
        <w:guid w:val="{1c5866d2-f4a9-4160-9394-3e2b1cd77ec3}"/>
      </w:docPartPr>
      <w:docPartBody>
        <w:p>
          <w:r>
            <w:rPr>
              <w:color w:val="808080"/>
            </w:rPr>
            <w:t>单击此处输入文字。</w:t>
          </w:r>
        </w:p>
      </w:docPartBody>
    </w:docPart>
    <w:docPart>
      <w:docPartPr>
        <w:name w:val="{15ef0119-af2a-4471-92d8-00ef3ed563a9}"/>
        <w:style w:val=""/>
        <w:category>
          <w:name w:val="常规"/>
          <w:gallery w:val="placeholder"/>
        </w:category>
        <w:types>
          <w:type w:val="bbPlcHdr"/>
        </w:types>
        <w:behaviors>
          <w:behavior w:val="content"/>
        </w:behaviors>
        <w:description w:val=""/>
        <w:guid w:val="{15ef0119-af2a-4471-92d8-00ef3ed563a9}"/>
      </w:docPartPr>
      <w:docPartBody>
        <w:p>
          <w:r>
            <w:rPr>
              <w:color w:val="808080"/>
            </w:rPr>
            <w:t>单击此处输入文字。</w:t>
          </w:r>
        </w:p>
      </w:docPartBody>
    </w:docPart>
    <w:docPart>
      <w:docPartPr>
        <w:name w:val="{b35fffd6-b16c-4841-be6e-ca9e80e45c2f}"/>
        <w:style w:val=""/>
        <w:category>
          <w:name w:val="常规"/>
          <w:gallery w:val="placeholder"/>
        </w:category>
        <w:types>
          <w:type w:val="bbPlcHdr"/>
        </w:types>
        <w:behaviors>
          <w:behavior w:val="content"/>
        </w:behaviors>
        <w:description w:val=""/>
        <w:guid w:val="{b35fffd6-b16c-4841-be6e-ca9e80e45c2f}"/>
      </w:docPartPr>
      <w:docPartBody>
        <w:p>
          <w:r>
            <w:rPr>
              <w:color w:val="808080"/>
            </w:rPr>
            <w:t>单击此处输入文字。</w:t>
          </w:r>
        </w:p>
      </w:docPartBody>
    </w:docPart>
    <w:docPart>
      <w:docPartPr>
        <w:name w:val="{52067aa4-da30-41dc-9f89-1d5c35354284}"/>
        <w:style w:val=""/>
        <w:category>
          <w:name w:val="常规"/>
          <w:gallery w:val="placeholder"/>
        </w:category>
        <w:types>
          <w:type w:val="bbPlcHdr"/>
        </w:types>
        <w:behaviors>
          <w:behavior w:val="content"/>
        </w:behaviors>
        <w:description w:val=""/>
        <w:guid w:val="{52067aa4-da30-41dc-9f89-1d5c35354284}"/>
      </w:docPartPr>
      <w:docPartBody>
        <w:p>
          <w:r>
            <w:rPr>
              <w:color w:val="808080"/>
            </w:rPr>
            <w:t>单击此处输入文字。</w:t>
          </w:r>
        </w:p>
      </w:docPartBody>
    </w:docPart>
    <w:docPart>
      <w:docPartPr>
        <w:name w:val="{c42604cb-5bc3-488d-ba30-3da1990db580}"/>
        <w:style w:val=""/>
        <w:category>
          <w:name w:val="常规"/>
          <w:gallery w:val="placeholder"/>
        </w:category>
        <w:types>
          <w:type w:val="bbPlcHdr"/>
        </w:types>
        <w:behaviors>
          <w:behavior w:val="content"/>
        </w:behaviors>
        <w:description w:val=""/>
        <w:guid w:val="{c42604cb-5bc3-488d-ba30-3da1990db580}"/>
      </w:docPartPr>
      <w:docPartBody>
        <w:p>
          <w:r>
            <w:rPr>
              <w:color w:val="808080"/>
            </w:rPr>
            <w:t>单击此处输入文字。</w:t>
          </w:r>
        </w:p>
      </w:docPartBody>
    </w:docPart>
    <w:docPart>
      <w:docPartPr>
        <w:name w:val="{85b6bd07-491e-4872-bf4b-2f32fc152f08}"/>
        <w:style w:val=""/>
        <w:category>
          <w:name w:val="常规"/>
          <w:gallery w:val="placeholder"/>
        </w:category>
        <w:types>
          <w:type w:val="bbPlcHdr"/>
        </w:types>
        <w:behaviors>
          <w:behavior w:val="content"/>
        </w:behaviors>
        <w:description w:val=""/>
        <w:guid w:val="{85b6bd07-491e-4872-bf4b-2f32fc152f08}"/>
      </w:docPartPr>
      <w:docPartBody>
        <w:p>
          <w:r>
            <w:rPr>
              <w:color w:val="808080"/>
            </w:rPr>
            <w:t>单击此处输入文字。</w:t>
          </w:r>
        </w:p>
      </w:docPartBody>
    </w:docPart>
    <w:docPart>
      <w:docPartPr>
        <w:name w:val="{adac1aae-e724-49a3-9c1d-c77ca3fea644}"/>
        <w:style w:val=""/>
        <w:category>
          <w:name w:val="常规"/>
          <w:gallery w:val="placeholder"/>
        </w:category>
        <w:types>
          <w:type w:val="bbPlcHdr"/>
        </w:types>
        <w:behaviors>
          <w:behavior w:val="content"/>
        </w:behaviors>
        <w:description w:val=""/>
        <w:guid w:val="{adac1aae-e724-49a3-9c1d-c77ca3fea644}"/>
      </w:docPartPr>
      <w:docPartBody>
        <w:p>
          <w:r>
            <w:rPr>
              <w:color w:val="808080"/>
            </w:rPr>
            <w:t>单击此处输入文字。</w:t>
          </w:r>
        </w:p>
      </w:docPartBody>
    </w:docPart>
    <w:docPart>
      <w:docPartPr>
        <w:name w:val="{3c9c5aae-3dca-4dbb-b207-9c2001e4908b}"/>
        <w:style w:val=""/>
        <w:category>
          <w:name w:val="常规"/>
          <w:gallery w:val="placeholder"/>
        </w:category>
        <w:types>
          <w:type w:val="bbPlcHdr"/>
        </w:types>
        <w:behaviors>
          <w:behavior w:val="content"/>
        </w:behaviors>
        <w:description w:val=""/>
        <w:guid w:val="{3c9c5aae-3dca-4dbb-b207-9c2001e4908b}"/>
      </w:docPartPr>
      <w:docPartBody>
        <w:p>
          <w:r>
            <w:rPr>
              <w:color w:val="808080"/>
            </w:rPr>
            <w:t>单击此处输入文字。</w:t>
          </w:r>
        </w:p>
      </w:docPartBody>
    </w:docPart>
    <w:docPart>
      <w:docPartPr>
        <w:name w:val="{17475176-65c4-472d-b259-0f43e05dc2dc}"/>
        <w:style w:val=""/>
        <w:category>
          <w:name w:val="常规"/>
          <w:gallery w:val="placeholder"/>
        </w:category>
        <w:types>
          <w:type w:val="bbPlcHdr"/>
        </w:types>
        <w:behaviors>
          <w:behavior w:val="content"/>
        </w:behaviors>
        <w:description w:val=""/>
        <w:guid w:val="{17475176-65c4-472d-b259-0f43e05dc2dc}"/>
      </w:docPartPr>
      <w:docPartBody>
        <w:p>
          <w:r>
            <w:rPr>
              <w:color w:val="808080"/>
            </w:rPr>
            <w:t>单击此处输入文字。</w:t>
          </w:r>
        </w:p>
      </w:docPartBody>
    </w:docPart>
    <w:docPart>
      <w:docPartPr>
        <w:name w:val="{6eaa7396-1e8d-4d14-8069-142c4d810f2c}"/>
        <w:style w:val=""/>
        <w:category>
          <w:name w:val="常规"/>
          <w:gallery w:val="placeholder"/>
        </w:category>
        <w:types>
          <w:type w:val="bbPlcHdr"/>
        </w:types>
        <w:behaviors>
          <w:behavior w:val="content"/>
        </w:behaviors>
        <w:description w:val=""/>
        <w:guid w:val="{6eaa7396-1e8d-4d14-8069-142c4d810f2c}"/>
      </w:docPartPr>
      <w:docPartBody>
        <w:p>
          <w:r>
            <w:rPr>
              <w:color w:val="808080"/>
            </w:rPr>
            <w:t>单击此处输入文字。</w:t>
          </w:r>
        </w:p>
      </w:docPartBody>
    </w:docPart>
    <w:docPart>
      <w:docPartPr>
        <w:name w:val="{5b4c96cb-3f01-46d9-9ff1-d1d964675c28}"/>
        <w:style w:val=""/>
        <w:category>
          <w:name w:val="常规"/>
          <w:gallery w:val="placeholder"/>
        </w:category>
        <w:types>
          <w:type w:val="bbPlcHdr"/>
        </w:types>
        <w:behaviors>
          <w:behavior w:val="content"/>
        </w:behaviors>
        <w:description w:val=""/>
        <w:guid w:val="{5b4c96cb-3f01-46d9-9ff1-d1d964675c28}"/>
      </w:docPartPr>
      <w:docPartBody>
        <w:p>
          <w:r>
            <w:rPr>
              <w:color w:val="808080"/>
            </w:rPr>
            <w:t>单击此处输入文字。</w:t>
          </w:r>
        </w:p>
      </w:docPartBody>
    </w:docPart>
    <w:docPart>
      <w:docPartPr>
        <w:name w:val="{04ed9968-fbeb-4c36-b896-5a8ecca6e86c}"/>
        <w:style w:val=""/>
        <w:category>
          <w:name w:val="常规"/>
          <w:gallery w:val="placeholder"/>
        </w:category>
        <w:types>
          <w:type w:val="bbPlcHdr"/>
        </w:types>
        <w:behaviors>
          <w:behavior w:val="content"/>
        </w:behaviors>
        <w:description w:val=""/>
        <w:guid w:val="{04ed9968-fbeb-4c36-b896-5a8ecca6e86c}"/>
      </w:docPartPr>
      <w:docPartBody>
        <w:p>
          <w:r>
            <w:rPr>
              <w:color w:val="808080"/>
            </w:rPr>
            <w:t>单击此处输入文字。</w:t>
          </w:r>
        </w:p>
      </w:docPartBody>
    </w:docPart>
    <w:docPart>
      <w:docPartPr>
        <w:name w:val="{dc2f68a0-fb08-4ba4-a5da-c367850dced6}"/>
        <w:style w:val=""/>
        <w:category>
          <w:name w:val="常规"/>
          <w:gallery w:val="placeholder"/>
        </w:category>
        <w:types>
          <w:type w:val="bbPlcHdr"/>
        </w:types>
        <w:behaviors>
          <w:behavior w:val="content"/>
        </w:behaviors>
        <w:description w:val=""/>
        <w:guid w:val="{dc2f68a0-fb08-4ba4-a5da-c367850dced6}"/>
      </w:docPartPr>
      <w:docPartBody>
        <w:p>
          <w:r>
            <w:rPr>
              <w:color w:val="808080"/>
            </w:rPr>
            <w:t>单击此处输入文字。</w:t>
          </w:r>
        </w:p>
      </w:docPartBody>
    </w:docPart>
    <w:docPart>
      <w:docPartPr>
        <w:name w:val="{06a0087e-4814-42b5-bd62-9f77cc1830ac}"/>
        <w:style w:val=""/>
        <w:category>
          <w:name w:val="常规"/>
          <w:gallery w:val="placeholder"/>
        </w:category>
        <w:types>
          <w:type w:val="bbPlcHdr"/>
        </w:types>
        <w:behaviors>
          <w:behavior w:val="content"/>
        </w:behaviors>
        <w:description w:val=""/>
        <w:guid w:val="{06a0087e-4814-42b5-bd62-9f77cc1830ac}"/>
      </w:docPartPr>
      <w:docPartBody>
        <w:p>
          <w:r>
            <w:rPr>
              <w:color w:val="808080"/>
            </w:rPr>
            <w:t>单击此处输入文字。</w:t>
          </w:r>
        </w:p>
      </w:docPartBody>
    </w:docPart>
    <w:docPart>
      <w:docPartPr>
        <w:name w:val="{0e9ccdbf-b851-495b-b3c7-08654eb255ab}"/>
        <w:style w:val=""/>
        <w:category>
          <w:name w:val="常规"/>
          <w:gallery w:val="placeholder"/>
        </w:category>
        <w:types>
          <w:type w:val="bbPlcHdr"/>
        </w:types>
        <w:behaviors>
          <w:behavior w:val="content"/>
        </w:behaviors>
        <w:description w:val=""/>
        <w:guid w:val="{0e9ccdbf-b851-495b-b3c7-08654eb255ab}"/>
      </w:docPartPr>
      <w:docPartBody>
        <w:p>
          <w:r>
            <w:rPr>
              <w:color w:val="808080"/>
            </w:rPr>
            <w:t>单击此处输入文字。</w:t>
          </w:r>
        </w:p>
      </w:docPartBody>
    </w:docPart>
    <w:docPart>
      <w:docPartPr>
        <w:name w:val="{531c5a1f-a6c4-4f81-80c7-aa6102b8722a}"/>
        <w:style w:val=""/>
        <w:category>
          <w:name w:val="常规"/>
          <w:gallery w:val="placeholder"/>
        </w:category>
        <w:types>
          <w:type w:val="bbPlcHdr"/>
        </w:types>
        <w:behaviors>
          <w:behavior w:val="content"/>
        </w:behaviors>
        <w:description w:val=""/>
        <w:guid w:val="{531c5a1f-a6c4-4f81-80c7-aa6102b8722a}"/>
      </w:docPartPr>
      <w:docPartBody>
        <w:p>
          <w:r>
            <w:rPr>
              <w:color w:val="808080"/>
            </w:rPr>
            <w:t>单击此处输入文字。</w:t>
          </w:r>
        </w:p>
      </w:docPartBody>
    </w:docPart>
    <w:docPart>
      <w:docPartPr>
        <w:name w:val="{304017bf-3067-4d76-8c54-2fb00a0f3d03}"/>
        <w:style w:val=""/>
        <w:category>
          <w:name w:val="常规"/>
          <w:gallery w:val="placeholder"/>
        </w:category>
        <w:types>
          <w:type w:val="bbPlcHdr"/>
        </w:types>
        <w:behaviors>
          <w:behavior w:val="content"/>
        </w:behaviors>
        <w:description w:val=""/>
        <w:guid w:val="{304017bf-3067-4d76-8c54-2fb00a0f3d03}"/>
      </w:docPartPr>
      <w:docPartBody>
        <w:p>
          <w:r>
            <w:rPr>
              <w:color w:val="808080"/>
            </w:rPr>
            <w:t>单击此处输入文字。</w:t>
          </w:r>
        </w:p>
      </w:docPartBody>
    </w:docPart>
    <w:docPart>
      <w:docPartPr>
        <w:name w:val="{0f2bdcce-8827-4aef-86a6-4849cad0d357}"/>
        <w:style w:val=""/>
        <w:category>
          <w:name w:val="常规"/>
          <w:gallery w:val="placeholder"/>
        </w:category>
        <w:types>
          <w:type w:val="bbPlcHdr"/>
        </w:types>
        <w:behaviors>
          <w:behavior w:val="content"/>
        </w:behaviors>
        <w:description w:val=""/>
        <w:guid w:val="{0f2bdcce-8827-4aef-86a6-4849cad0d357}"/>
      </w:docPartPr>
      <w:docPartBody>
        <w:p>
          <w:r>
            <w:rPr>
              <w:color w:val="808080"/>
            </w:rPr>
            <w:t>单击此处输入文字。</w:t>
          </w:r>
        </w:p>
      </w:docPartBody>
    </w:docPart>
    <w:docPart>
      <w:docPartPr>
        <w:name w:val="{13917131-3909-4b33-8931-1b15307f800a}"/>
        <w:style w:val=""/>
        <w:category>
          <w:name w:val="常规"/>
          <w:gallery w:val="placeholder"/>
        </w:category>
        <w:types>
          <w:type w:val="bbPlcHdr"/>
        </w:types>
        <w:behaviors>
          <w:behavior w:val="content"/>
        </w:behaviors>
        <w:description w:val=""/>
        <w:guid w:val="{13917131-3909-4b33-8931-1b15307f800a}"/>
      </w:docPartPr>
      <w:docPartBody>
        <w:p>
          <w:r>
            <w:rPr>
              <w:color w:val="808080"/>
            </w:rPr>
            <w:t>单击此处输入文字。</w:t>
          </w:r>
        </w:p>
      </w:docPartBody>
    </w:docPart>
    <w:docPart>
      <w:docPartPr>
        <w:name w:val="{af95cb7f-648d-4cfd-8d04-6c5eeedc43e0}"/>
        <w:style w:val=""/>
        <w:category>
          <w:name w:val="常规"/>
          <w:gallery w:val="placeholder"/>
        </w:category>
        <w:types>
          <w:type w:val="bbPlcHdr"/>
        </w:types>
        <w:behaviors>
          <w:behavior w:val="content"/>
        </w:behaviors>
        <w:description w:val=""/>
        <w:guid w:val="{af95cb7f-648d-4cfd-8d04-6c5eeedc43e0}"/>
      </w:docPartPr>
      <w:docPartBody>
        <w:p>
          <w:r>
            <w:rPr>
              <w:color w:val="808080"/>
            </w:rPr>
            <w:t>单击此处输入文字。</w:t>
          </w:r>
        </w:p>
      </w:docPartBody>
    </w:docPart>
    <w:docPart>
      <w:docPartPr>
        <w:name w:val="{5a992f7e-6431-4b26-aeff-11566e983281}"/>
        <w:style w:val=""/>
        <w:category>
          <w:name w:val="常规"/>
          <w:gallery w:val="placeholder"/>
        </w:category>
        <w:types>
          <w:type w:val="bbPlcHdr"/>
        </w:types>
        <w:behaviors>
          <w:behavior w:val="content"/>
        </w:behaviors>
        <w:description w:val=""/>
        <w:guid w:val="{5a992f7e-6431-4b26-aeff-11566e983281}"/>
      </w:docPartPr>
      <w:docPartBody>
        <w:p>
          <w:r>
            <w:rPr>
              <w:color w:val="808080"/>
            </w:rPr>
            <w:t>单击此处输入文字。</w:t>
          </w:r>
        </w:p>
      </w:docPartBody>
    </w:docPart>
    <w:docPart>
      <w:docPartPr>
        <w:name w:val="{d4f2597b-af7b-478c-9e3b-61dc3c0b7529}"/>
        <w:style w:val=""/>
        <w:category>
          <w:name w:val="常规"/>
          <w:gallery w:val="placeholder"/>
        </w:category>
        <w:types>
          <w:type w:val="bbPlcHdr"/>
        </w:types>
        <w:behaviors>
          <w:behavior w:val="content"/>
        </w:behaviors>
        <w:description w:val=""/>
        <w:guid w:val="{d4f2597b-af7b-478c-9e3b-61dc3c0b7529}"/>
      </w:docPartPr>
      <w:docPartBody>
        <w:p>
          <w:r>
            <w:rPr>
              <w:color w:val="808080"/>
            </w:rPr>
            <w:t>单击此处输入文字。</w:t>
          </w:r>
        </w:p>
      </w:docPartBody>
    </w:docPart>
    <w:docPart>
      <w:docPartPr>
        <w:name w:val="{58cc875f-0d37-4db1-99a4-81f4a5dc598b}"/>
        <w:style w:val=""/>
        <w:category>
          <w:name w:val="常规"/>
          <w:gallery w:val="placeholder"/>
        </w:category>
        <w:types>
          <w:type w:val="bbPlcHdr"/>
        </w:types>
        <w:behaviors>
          <w:behavior w:val="content"/>
        </w:behaviors>
        <w:description w:val=""/>
        <w:guid w:val="{58cc875f-0d37-4db1-99a4-81f4a5dc598b}"/>
      </w:docPartPr>
      <w:docPartBody>
        <w:p>
          <w:r>
            <w:rPr>
              <w:color w:val="808080"/>
            </w:rPr>
            <w:t>单击此处输入文字。</w:t>
          </w:r>
        </w:p>
      </w:docPartBody>
    </w:docPart>
    <w:docPart>
      <w:docPartPr>
        <w:name w:val="{5df0e470-b715-4e3c-a76a-cb12fd16e1e7}"/>
        <w:style w:val=""/>
        <w:category>
          <w:name w:val="常规"/>
          <w:gallery w:val="placeholder"/>
        </w:category>
        <w:types>
          <w:type w:val="bbPlcHdr"/>
        </w:types>
        <w:behaviors>
          <w:behavior w:val="content"/>
        </w:behaviors>
        <w:description w:val=""/>
        <w:guid w:val="{5df0e470-b715-4e3c-a76a-cb12fd16e1e7}"/>
      </w:docPartPr>
      <w:docPartBody>
        <w:p>
          <w:r>
            <w:rPr>
              <w:color w:val="808080"/>
            </w:rPr>
            <w:t>单击此处输入文字。</w:t>
          </w:r>
        </w:p>
      </w:docPartBody>
    </w:docPart>
    <w:docPart>
      <w:docPartPr>
        <w:name w:val="{4c72159c-0b5f-468e-80c4-9b0b9a8bda87}"/>
        <w:style w:val=""/>
        <w:category>
          <w:name w:val="常规"/>
          <w:gallery w:val="placeholder"/>
        </w:category>
        <w:types>
          <w:type w:val="bbPlcHdr"/>
        </w:types>
        <w:behaviors>
          <w:behavior w:val="content"/>
        </w:behaviors>
        <w:description w:val=""/>
        <w:guid w:val="{4c72159c-0b5f-468e-80c4-9b0b9a8bda87}"/>
      </w:docPartPr>
      <w:docPartBody>
        <w:p>
          <w:r>
            <w:rPr>
              <w:color w:val="808080"/>
            </w:rPr>
            <w:t>单击此处输入文字。</w:t>
          </w:r>
        </w:p>
      </w:docPartBody>
    </w:docPart>
    <w:docPart>
      <w:docPartPr>
        <w:name w:val="{b2744563-012d-4fff-b3e6-612df03b00dd}"/>
        <w:style w:val=""/>
        <w:category>
          <w:name w:val="常规"/>
          <w:gallery w:val="placeholder"/>
        </w:category>
        <w:types>
          <w:type w:val="bbPlcHdr"/>
        </w:types>
        <w:behaviors>
          <w:behavior w:val="content"/>
        </w:behaviors>
        <w:description w:val=""/>
        <w:guid w:val="{b2744563-012d-4fff-b3e6-612df03b00dd}"/>
      </w:docPartPr>
      <w:docPartBody>
        <w:p>
          <w:r>
            <w:rPr>
              <w:color w:val="808080"/>
            </w:rPr>
            <w:t>单击此处输入文字。</w:t>
          </w:r>
        </w:p>
      </w:docPartBody>
    </w:docPart>
    <w:docPart>
      <w:docPartPr>
        <w:name w:val="{da126d15-7263-4296-a5f8-86c472787121}"/>
        <w:style w:val=""/>
        <w:category>
          <w:name w:val="常规"/>
          <w:gallery w:val="placeholder"/>
        </w:category>
        <w:types>
          <w:type w:val="bbPlcHdr"/>
        </w:types>
        <w:behaviors>
          <w:behavior w:val="content"/>
        </w:behaviors>
        <w:description w:val=""/>
        <w:guid w:val="{da126d15-7263-4296-a5f8-86c472787121}"/>
      </w:docPartPr>
      <w:docPartBody>
        <w:p>
          <w:r>
            <w:rPr>
              <w:color w:val="808080"/>
            </w:rPr>
            <w:t>单击此处输入文字。</w:t>
          </w:r>
        </w:p>
      </w:docPartBody>
    </w:docPart>
    <w:docPart>
      <w:docPartPr>
        <w:name w:val="{8dcc6e91-8779-4475-affc-3d3f2af64f91}"/>
        <w:style w:val=""/>
        <w:category>
          <w:name w:val="常规"/>
          <w:gallery w:val="placeholder"/>
        </w:category>
        <w:types>
          <w:type w:val="bbPlcHdr"/>
        </w:types>
        <w:behaviors>
          <w:behavior w:val="content"/>
        </w:behaviors>
        <w:description w:val=""/>
        <w:guid w:val="{8dcc6e91-8779-4475-affc-3d3f2af64f91}"/>
      </w:docPartPr>
      <w:docPartBody>
        <w:p>
          <w:r>
            <w:rPr>
              <w:color w:val="808080"/>
            </w:rPr>
            <w:t>单击此处输入文字。</w:t>
          </w:r>
        </w:p>
      </w:docPartBody>
    </w:docPart>
    <w:docPart>
      <w:docPartPr>
        <w:name w:val="{1b3127d0-0707-4d40-bbf2-3a650108108e}"/>
        <w:style w:val=""/>
        <w:category>
          <w:name w:val="常规"/>
          <w:gallery w:val="placeholder"/>
        </w:category>
        <w:types>
          <w:type w:val="bbPlcHdr"/>
        </w:types>
        <w:behaviors>
          <w:behavior w:val="content"/>
        </w:behaviors>
        <w:description w:val=""/>
        <w:guid w:val="{1b3127d0-0707-4d40-bbf2-3a650108108e}"/>
      </w:docPartPr>
      <w:docPartBody>
        <w:p>
          <w:r>
            <w:rPr>
              <w:color w:val="808080"/>
            </w:rPr>
            <w:t>单击此处输入文字。</w:t>
          </w:r>
        </w:p>
      </w:docPartBody>
    </w:docPart>
    <w:docPart>
      <w:docPartPr>
        <w:name w:val="{c8453d98-6b7d-49a3-94c0-c4212da1e043}"/>
        <w:style w:val=""/>
        <w:category>
          <w:name w:val="常规"/>
          <w:gallery w:val="placeholder"/>
        </w:category>
        <w:types>
          <w:type w:val="bbPlcHdr"/>
        </w:types>
        <w:behaviors>
          <w:behavior w:val="content"/>
        </w:behaviors>
        <w:description w:val=""/>
        <w:guid w:val="{c8453d98-6b7d-49a3-94c0-c4212da1e043}"/>
      </w:docPartPr>
      <w:docPartBody>
        <w:p>
          <w:r>
            <w:rPr>
              <w:color w:val="808080"/>
            </w:rPr>
            <w:t>单击此处输入文字。</w:t>
          </w:r>
        </w:p>
      </w:docPartBody>
    </w:docPart>
    <w:docPart>
      <w:docPartPr>
        <w:name w:val="{40cc6180-33b2-432a-bca5-f2c63a96dff4}"/>
        <w:style w:val=""/>
        <w:category>
          <w:name w:val="常规"/>
          <w:gallery w:val="placeholder"/>
        </w:category>
        <w:types>
          <w:type w:val="bbPlcHdr"/>
        </w:types>
        <w:behaviors>
          <w:behavior w:val="content"/>
        </w:behaviors>
        <w:description w:val=""/>
        <w:guid w:val="{40cc6180-33b2-432a-bca5-f2c63a96dff4}"/>
      </w:docPartPr>
      <w:docPartBody>
        <w:p>
          <w:r>
            <w:rPr>
              <w:color w:val="808080"/>
            </w:rPr>
            <w:t>单击此处输入文字。</w:t>
          </w:r>
        </w:p>
      </w:docPartBody>
    </w:docPart>
    <w:docPart>
      <w:docPartPr>
        <w:name w:val="{b5f4c148-29a1-48b9-8d53-6c182389efcf}"/>
        <w:style w:val=""/>
        <w:category>
          <w:name w:val="常规"/>
          <w:gallery w:val="placeholder"/>
        </w:category>
        <w:types>
          <w:type w:val="bbPlcHdr"/>
        </w:types>
        <w:behaviors>
          <w:behavior w:val="content"/>
        </w:behaviors>
        <w:description w:val=""/>
        <w:guid w:val="{b5f4c148-29a1-48b9-8d53-6c182389efcf}"/>
      </w:docPartPr>
      <w:docPartBody>
        <w:p>
          <w:r>
            <w:rPr>
              <w:color w:val="808080"/>
            </w:rPr>
            <w:t>单击此处输入文字。</w:t>
          </w:r>
        </w:p>
      </w:docPartBody>
    </w:docPart>
    <w:docPart>
      <w:docPartPr>
        <w:name w:val="{f10dcc2d-9e05-479b-934d-e334aba14416}"/>
        <w:style w:val=""/>
        <w:category>
          <w:name w:val="常规"/>
          <w:gallery w:val="placeholder"/>
        </w:category>
        <w:types>
          <w:type w:val="bbPlcHdr"/>
        </w:types>
        <w:behaviors>
          <w:behavior w:val="content"/>
        </w:behaviors>
        <w:description w:val=""/>
        <w:guid w:val="{f10dcc2d-9e05-479b-934d-e334aba14416}"/>
      </w:docPartPr>
      <w:docPartBody>
        <w:p>
          <w:r>
            <w:rPr>
              <w:color w:val="808080"/>
            </w:rPr>
            <w:t>单击此处输入文字。</w:t>
          </w:r>
        </w:p>
      </w:docPartBody>
    </w:docPart>
    <w:docPart>
      <w:docPartPr>
        <w:name w:val="{f22dc5a8-c02f-44a9-ba03-2f0721967380}"/>
        <w:style w:val=""/>
        <w:category>
          <w:name w:val="常规"/>
          <w:gallery w:val="placeholder"/>
        </w:category>
        <w:types>
          <w:type w:val="bbPlcHdr"/>
        </w:types>
        <w:behaviors>
          <w:behavior w:val="content"/>
        </w:behaviors>
        <w:description w:val=""/>
        <w:guid w:val="{f22dc5a8-c02f-44a9-ba03-2f0721967380}"/>
      </w:docPartPr>
      <w:docPartBody>
        <w:p>
          <w:r>
            <w:rPr>
              <w:color w:val="808080"/>
            </w:rPr>
            <w:t>单击此处输入文字。</w:t>
          </w:r>
        </w:p>
      </w:docPartBody>
    </w:docPart>
    <w:docPart>
      <w:docPartPr>
        <w:name w:val="{d5aa25e5-858b-4a67-9292-64f3c326f909}"/>
        <w:style w:val=""/>
        <w:category>
          <w:name w:val="常规"/>
          <w:gallery w:val="placeholder"/>
        </w:category>
        <w:types>
          <w:type w:val="bbPlcHdr"/>
        </w:types>
        <w:behaviors>
          <w:behavior w:val="content"/>
        </w:behaviors>
        <w:description w:val=""/>
        <w:guid w:val="{d5aa25e5-858b-4a67-9292-64f3c326f909}"/>
      </w:docPartPr>
      <w:docPartBody>
        <w:p>
          <w:r>
            <w:rPr>
              <w:color w:val="808080"/>
            </w:rPr>
            <w:t>单击此处输入文字。</w:t>
          </w:r>
        </w:p>
      </w:docPartBody>
    </w:docPart>
    <w:docPart>
      <w:docPartPr>
        <w:name w:val="{46b6172b-46d5-4ce9-834b-cdb279e5a1bf}"/>
        <w:style w:val=""/>
        <w:category>
          <w:name w:val="常规"/>
          <w:gallery w:val="placeholder"/>
        </w:category>
        <w:types>
          <w:type w:val="bbPlcHdr"/>
        </w:types>
        <w:behaviors>
          <w:behavior w:val="content"/>
        </w:behaviors>
        <w:description w:val=""/>
        <w:guid w:val="{46b6172b-46d5-4ce9-834b-cdb279e5a1bf}"/>
      </w:docPartPr>
      <w:docPartBody>
        <w:p>
          <w:r>
            <w:rPr>
              <w:color w:val="808080"/>
            </w:rPr>
            <w:t>单击此处输入文字。</w:t>
          </w:r>
        </w:p>
      </w:docPartBody>
    </w:docPart>
    <w:docPart>
      <w:docPartPr>
        <w:name w:val="{4897e141-d85b-4f5e-8155-f64cea817efd}"/>
        <w:style w:val=""/>
        <w:category>
          <w:name w:val="常规"/>
          <w:gallery w:val="placeholder"/>
        </w:category>
        <w:types>
          <w:type w:val="bbPlcHdr"/>
        </w:types>
        <w:behaviors>
          <w:behavior w:val="content"/>
        </w:behaviors>
        <w:description w:val=""/>
        <w:guid w:val="{4897e141-d85b-4f5e-8155-f64cea817efd}"/>
      </w:docPartPr>
      <w:docPartBody>
        <w:p>
          <w:r>
            <w:rPr>
              <w:color w:val="808080"/>
            </w:rPr>
            <w:t>单击此处输入文字。</w:t>
          </w:r>
        </w:p>
      </w:docPartBody>
    </w:docPart>
    <w:docPart>
      <w:docPartPr>
        <w:name w:val="{92ce1eac-e4cb-4b6a-81b9-9c1bbaa0f6c8}"/>
        <w:style w:val=""/>
        <w:category>
          <w:name w:val="常规"/>
          <w:gallery w:val="placeholder"/>
        </w:category>
        <w:types>
          <w:type w:val="bbPlcHdr"/>
        </w:types>
        <w:behaviors>
          <w:behavior w:val="content"/>
        </w:behaviors>
        <w:description w:val=""/>
        <w:guid w:val="{92ce1eac-e4cb-4b6a-81b9-9c1bbaa0f6c8}"/>
      </w:docPartPr>
      <w:docPartBody>
        <w:p>
          <w:r>
            <w:rPr>
              <w:color w:val="808080"/>
            </w:rPr>
            <w:t>单击此处输入文字。</w:t>
          </w:r>
        </w:p>
      </w:docPartBody>
    </w:docPart>
    <w:docPart>
      <w:docPartPr>
        <w:name w:val="{2c944c02-0263-427f-a88c-f53424269656}"/>
        <w:style w:val=""/>
        <w:category>
          <w:name w:val="常规"/>
          <w:gallery w:val="placeholder"/>
        </w:category>
        <w:types>
          <w:type w:val="bbPlcHdr"/>
        </w:types>
        <w:behaviors>
          <w:behavior w:val="content"/>
        </w:behaviors>
        <w:description w:val=""/>
        <w:guid w:val="{2c944c02-0263-427f-a88c-f5342426965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F621CC-D23F-48DE-ADA9-1A88D9717889}">
  <ds:schemaRefs/>
</ds:datastoreItem>
</file>

<file path=docProps/app.xml><?xml version="1.0" encoding="utf-8"?>
<Properties xmlns="http://schemas.openxmlformats.org/officeDocument/2006/extended-properties" xmlns:vt="http://schemas.openxmlformats.org/officeDocument/2006/docPropsVTypes">
  <Template>Normal.dotm</Template>
  <Pages>175</Pages>
  <Words>91248</Words>
  <Characters>94255</Characters>
  <Lines>75</Lines>
  <Paragraphs>200</Paragraphs>
  <TotalTime>9</TotalTime>
  <ScaleCrop>false</ScaleCrop>
  <LinksUpToDate>false</LinksUpToDate>
  <CharactersWithSpaces>94940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2020-12-18T06:44:00Z</dcterms:created>
  <dc:creator>Delfino</dc:creator>
  <cp:lastModifiedBy>黄明艳</cp:lastModifiedBy>
  <cp:lastPrinted>2021-11-01T05:02:00Z</cp:lastPrinted>
  <dcterms:modified xsi:type="dcterms:W3CDTF">2021-11-05T06:16:20Z</dcterms:modified>
  <cp:revision>1463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F9E24E06880F4333A0464D8983946F99</vt:lpwstr>
  </property>
</Properties>
</file>