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24424"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u w:val="none"/>
          <w:lang w:val="en-US" w:eastAsia="zh-CN"/>
        </w:rPr>
        <w:t>龙山县人民医院天然气锅炉安装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项目环境影响评价基本情况表</w:t>
      </w:r>
    </w:p>
    <w:p w14:paraId="02598BC7">
      <w:pPr>
        <w:jc w:val="center"/>
        <w:rPr>
          <w:rFonts w:hint="default"/>
          <w:sz w:val="24"/>
          <w:szCs w:val="24"/>
          <w:lang w:val="en-US" w:eastAsia="zh-CN"/>
        </w:rPr>
      </w:pPr>
    </w:p>
    <w:p w14:paraId="3209A5AB">
      <w:pPr>
        <w:pStyle w:val="15"/>
        <w:rPr>
          <w:rFonts w:hint="default"/>
          <w:lang w:val="en-US" w:eastAsia="zh-CN"/>
        </w:rPr>
      </w:pPr>
    </w:p>
    <w:tbl>
      <w:tblPr>
        <w:tblStyle w:val="11"/>
        <w:tblW w:w="8820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7471"/>
      </w:tblGrid>
      <w:tr w14:paraId="2CC5C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EB8F8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7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89F70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龙山县人民医院天然气锅炉安装项目</w:t>
            </w:r>
          </w:p>
        </w:tc>
      </w:tr>
      <w:tr w14:paraId="3829A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F2D36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建设地点</w:t>
            </w:r>
          </w:p>
        </w:tc>
        <w:tc>
          <w:tcPr>
            <w:tcW w:w="7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D39BF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  <w:rPr>
                <w:rFonts w:hint="default" w:ascii="宋体" w:hAnsi="宋体" w:cs="宋体" w:eastAsiaTheme="minorEastAsia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auto"/>
                <w:lang w:eastAsia="zh-CN"/>
              </w:rPr>
              <w:t>龙山县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华塘街道办事处</w:t>
            </w:r>
          </w:p>
        </w:tc>
      </w:tr>
      <w:tr w14:paraId="5345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FBAB0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建设单位</w:t>
            </w:r>
          </w:p>
        </w:tc>
        <w:tc>
          <w:tcPr>
            <w:tcW w:w="7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F8B13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龙山县人民医院</w:t>
            </w:r>
          </w:p>
        </w:tc>
      </w:tr>
      <w:tr w14:paraId="09B0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3E5DD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环境影响评价机构</w:t>
            </w:r>
          </w:p>
        </w:tc>
        <w:tc>
          <w:tcPr>
            <w:tcW w:w="7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E2441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长沙博大环保科技有限公司</w:t>
            </w:r>
          </w:p>
        </w:tc>
      </w:tr>
      <w:tr w14:paraId="40FD1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3" w:hRule="atLeast"/>
        </w:trPr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4C0B7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  <w:t>项</w:t>
            </w:r>
          </w:p>
          <w:p w14:paraId="2645655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  <w:t>目</w:t>
            </w:r>
          </w:p>
          <w:p w14:paraId="29E073A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  <w:t>概</w:t>
            </w:r>
          </w:p>
          <w:p w14:paraId="3D6D007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  <w:t>况</w:t>
            </w:r>
          </w:p>
        </w:tc>
        <w:tc>
          <w:tcPr>
            <w:tcW w:w="74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61FE0A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  <w:t>（1）项目名称：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龙山县人民医院天然气锅炉安装项目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  <w:t>；</w:t>
            </w:r>
          </w:p>
          <w:p w14:paraId="6F05EE5A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  <w:t>（2）项目所在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地：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auto"/>
                <w:lang w:eastAsia="zh-CN"/>
              </w:rPr>
              <w:t>龙山县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华塘街道办事处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；</w:t>
            </w:r>
          </w:p>
          <w:p w14:paraId="00890CCE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（3）建设单位：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龙山县人民医院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；</w:t>
            </w:r>
          </w:p>
          <w:p w14:paraId="62165904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  <w:t>（4）建设性质：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  <w:t>建；</w:t>
            </w:r>
          </w:p>
          <w:p w14:paraId="18B9CC58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  <w:t>（5）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总投资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243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auto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auto"/>
              </w:rPr>
              <w:t>元，其中环保投资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auto"/>
              </w:rPr>
              <w:t>万元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占总投资的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13.17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  <w:t>；</w:t>
            </w:r>
          </w:p>
          <w:p w14:paraId="21786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  <w:t>（6）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项目情况：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  <w:t>位于湘西自治州龙山县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华塘街道办事处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具体位置位于龙山县人民医院用地范围内，地上一层，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用地面积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632.20m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共有2台2t/h的天然气锅炉，为医院提供热水，并配套建设相关设施，锅炉用水为城镇自来水，未设置软水制备系统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48A1C1AC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  <w:t>（7）建设工期：</w:t>
            </w:r>
            <w:r>
              <w:rPr>
                <w:rFonts w:hint="eastAsia" w:ascii="Times New Roman" w:hAnsi="宋体" w:eastAsia="宋体" w:cs="Times New Roman"/>
                <w:color w:val="auto"/>
                <w:sz w:val="24"/>
                <w:u w:val="none"/>
                <w:lang w:val="en-US" w:eastAsia="zh-CN"/>
              </w:rPr>
              <w:t>已建设。</w:t>
            </w:r>
          </w:p>
          <w:p w14:paraId="4B64A09C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（8）劳动定员：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本项目劳动定员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3人（无新增人员，原有职工调剂）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，实行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  <w:t>3班制，每班8小时，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</w:rPr>
              <w:t>年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  <w:t>生产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  <w:t>3</w:t>
            </w:r>
            <w:r>
              <w:rPr>
                <w:rFonts w:hint="eastAsia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  <w:t>65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 w:color="auto"/>
              </w:rPr>
              <w:t>天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  <w:tr w14:paraId="089A1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</w:trPr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EABDE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  <w:p w14:paraId="29D2651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  <w:p w14:paraId="0F4A0DE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  <w:p w14:paraId="598478F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  <w:p w14:paraId="38D51C0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  <w:p w14:paraId="2A742B8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  <w:p w14:paraId="2D04226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  <w:p w14:paraId="0DA4B5D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  <w:t>主要环境影响及预防或者减轻不良环境影响的对策和措施</w:t>
            </w:r>
          </w:p>
        </w:tc>
        <w:tc>
          <w:tcPr>
            <w:tcW w:w="7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tbl>
            <w:tblPr>
              <w:tblStyle w:val="11"/>
              <w:tblW w:w="7373" w:type="dxa"/>
              <w:jc w:val="center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0"/>
              <w:gridCol w:w="1125"/>
              <w:gridCol w:w="1620"/>
              <w:gridCol w:w="1748"/>
              <w:gridCol w:w="1740"/>
            </w:tblGrid>
            <w:tr w14:paraId="1DBAA497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4" w:hRule="atLeast"/>
                <w:jc w:val="center"/>
              </w:trPr>
              <w:tc>
                <w:tcPr>
                  <w:tcW w:w="1140" w:type="dxa"/>
                  <w:tcBorders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312D0CF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>
                            <wp:simplePos x="0" y="0"/>
                            <wp:positionH relativeFrom="page">
                              <wp:posOffset>11430</wp:posOffset>
                            </wp:positionH>
                            <wp:positionV relativeFrom="paragraph">
                              <wp:posOffset>7620</wp:posOffset>
                            </wp:positionV>
                            <wp:extent cx="695325" cy="762000"/>
                            <wp:effectExtent l="3810" t="3175" r="5715" b="15875"/>
                            <wp:wrapNone/>
                            <wp:docPr id="5" name="直接连接符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95325" cy="762000"/>
                                    </a:xfrm>
                                    <a:prstGeom prst="line">
                                      <a:avLst/>
                                    </a:prstGeom>
                                    <a:ln w="6096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_x0000_s1026" o:spid="_x0000_s1026" o:spt="20" style="position:absolute;left:0pt;margin-left:0.9pt;margin-top:0.6pt;height:60pt;width:54.75pt;mso-position-horizontal-relative:page;z-index:-251657216;mso-width-relative:page;mso-height-relative:page;" filled="f" stroked="t" coordsize="21600,21600" o:gfxdata="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lf7P9MAAAAHAQAADwAAAAAAAAABACAAAAAiAAAAZHJzL2Rvd25yZXYueG1sUEsBAhQAFAAA&#10;AAgAh07iQM529cr0AQAA6gMAAA4AAAAAAAAAAQAgAAAAIgEAAGRycy9lMm9Eb2MueG1sUEsFBgAA&#10;AAAGAAYAWQEAAIgFAAAAAA==&#10;">
                            <v:fill on="f" focussize="0,0"/>
                            <v:stroke weight="0.48pt" color="#000000" joinstyle="round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                </w:t>
                  </w:r>
                  <w:r>
                    <w:rPr>
                      <w:rFonts w:hint="default"/>
                      <w:sz w:val="24"/>
                      <w:szCs w:val="24"/>
                    </w:rPr>
                    <w:t>内容</w:t>
                  </w:r>
                </w:p>
                <w:p w14:paraId="3EDEFCB5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</w:rPr>
                  </w:pPr>
                </w:p>
                <w:p w14:paraId="39114472">
                  <w:pPr>
                    <w:pStyle w:val="24"/>
                    <w:bidi w:val="0"/>
                    <w:jc w:val="both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要素</w:t>
                  </w:r>
                </w:p>
              </w:tc>
              <w:tc>
                <w:tcPr>
                  <w:tcW w:w="112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E4257B1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排放口</w:t>
                  </w:r>
                </w:p>
              </w:tc>
              <w:tc>
                <w:tcPr>
                  <w:tcW w:w="162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D28CC8B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污染物项目</w:t>
                  </w:r>
                </w:p>
              </w:tc>
              <w:tc>
                <w:tcPr>
                  <w:tcW w:w="1748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9E6B920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环境保护措施</w:t>
                  </w:r>
                </w:p>
              </w:tc>
              <w:tc>
                <w:tcPr>
                  <w:tcW w:w="1740" w:type="dxa"/>
                  <w:tcBorders>
                    <w:left w:val="single" w:color="000000" w:sz="4" w:space="0"/>
                    <w:bottom w:val="single" w:color="000000" w:sz="4" w:space="0"/>
                  </w:tcBorders>
                  <w:noWrap w:val="0"/>
                  <w:vAlign w:val="center"/>
                </w:tcPr>
                <w:p w14:paraId="4CEFED92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执行标准</w:t>
                  </w:r>
                </w:p>
              </w:tc>
            </w:tr>
            <w:tr w14:paraId="6F3F8CA5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4" w:hRule="atLeast"/>
                <w:jc w:val="center"/>
              </w:trPr>
              <w:tc>
                <w:tcPr>
                  <w:tcW w:w="1140" w:type="dxa"/>
                  <w:vMerge w:val="restart"/>
                  <w:tcBorders>
                    <w:top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A1F00E5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大气环境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C50954C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锅炉废气（DA001）</w:t>
                  </w:r>
                </w:p>
              </w:tc>
              <w:tc>
                <w:tcPr>
                  <w:tcW w:w="1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A7BF83D">
                  <w:pPr>
                    <w:pStyle w:val="24"/>
                    <w:bidi w:val="0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氮氧化物、二氧化硫、颗粒物、烟气黑度</w:t>
                  </w: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1E4F07D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由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m高排气筒高空排放</w:t>
                  </w:r>
                </w:p>
              </w:tc>
              <w:tc>
                <w:tcPr>
                  <w:tcW w:w="17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</w:tcBorders>
                  <w:noWrap w:val="0"/>
                  <w:vAlign w:val="center"/>
                </w:tcPr>
                <w:p w14:paraId="6248A1CC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《锅炉大气污染物排放标准》（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HB13271-2014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）表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2燃气锅炉排放标准</w:t>
                  </w:r>
                </w:p>
              </w:tc>
            </w:tr>
            <w:tr w14:paraId="1570A124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4" w:hRule="atLeast"/>
                <w:jc w:val="center"/>
              </w:trPr>
              <w:tc>
                <w:tcPr>
                  <w:tcW w:w="1140" w:type="dxa"/>
                  <w:vMerge w:val="continue"/>
                  <w:tcBorders>
                    <w:right w:val="single" w:color="000000" w:sz="4" w:space="0"/>
                  </w:tcBorders>
                  <w:noWrap w:val="0"/>
                  <w:vAlign w:val="center"/>
                </w:tcPr>
                <w:p w14:paraId="1F808078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8FE21AA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锅炉废气（DA001）</w:t>
                  </w:r>
                </w:p>
              </w:tc>
              <w:tc>
                <w:tcPr>
                  <w:tcW w:w="1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1B2B3F3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氮氧化物、二氧化硫、颗粒物、烟气黑度</w:t>
                  </w: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5D042A6">
                  <w:pPr>
                    <w:pStyle w:val="24"/>
                    <w:bidi w:val="0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由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m高排气筒排放</w:t>
                  </w:r>
                </w:p>
              </w:tc>
              <w:tc>
                <w:tcPr>
                  <w:tcW w:w="174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</w:tcBorders>
                  <w:noWrap w:val="0"/>
                  <w:vAlign w:val="center"/>
                </w:tcPr>
                <w:p w14:paraId="319E347A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  <w:tr w14:paraId="4B82A32F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4" w:hRule="atLeast"/>
                <w:jc w:val="center"/>
              </w:trPr>
              <w:tc>
                <w:tcPr>
                  <w:tcW w:w="1140" w:type="dxa"/>
                  <w:tcBorders>
                    <w:top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3615A85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地表水环境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25C9787">
                  <w:pPr>
                    <w:pStyle w:val="24"/>
                    <w:bidi w:val="0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锅炉废水、生活废水</w:t>
                  </w:r>
                </w:p>
              </w:tc>
              <w:tc>
                <w:tcPr>
                  <w:tcW w:w="1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7816CA8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pH、COD、BOD</w:t>
                  </w:r>
                  <w:r>
                    <w:rPr>
                      <w:rFonts w:hint="eastAsia"/>
                      <w:sz w:val="24"/>
                      <w:szCs w:val="24"/>
                      <w:vertAlign w:val="subscript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、SS、NH</w:t>
                  </w:r>
                  <w:r>
                    <w:rPr>
                      <w:rFonts w:hint="eastAsia"/>
                      <w:sz w:val="24"/>
                      <w:szCs w:val="24"/>
                      <w:vertAlign w:val="subscript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-N</w:t>
                  </w: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F29CE68">
                  <w:pPr>
                    <w:pStyle w:val="24"/>
                    <w:bidi w:val="0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依托龙山县人民医院综合污水处理站</w:t>
                  </w:r>
                </w:p>
              </w:tc>
              <w:tc>
                <w:tcPr>
                  <w:tcW w:w="17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noWrap w:val="0"/>
                  <w:vAlign w:val="center"/>
                </w:tcPr>
                <w:p w14:paraId="0F8239A8">
                  <w:pPr>
                    <w:pStyle w:val="24"/>
                    <w:bidi w:val="0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 w14:paraId="5387C2B7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4" w:hRule="atLeast"/>
                <w:jc w:val="center"/>
              </w:trPr>
              <w:tc>
                <w:tcPr>
                  <w:tcW w:w="1140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AE5953A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声环境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439E3FC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设备噪声</w:t>
                  </w:r>
                </w:p>
              </w:tc>
              <w:tc>
                <w:tcPr>
                  <w:tcW w:w="1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E255AA5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设备噪声</w:t>
                  </w:r>
                </w:p>
              </w:tc>
              <w:tc>
                <w:tcPr>
                  <w:tcW w:w="1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4ADE7C4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选用先进的、噪声地设备、减震措施、绿化隔离、隔音设备、警示标志</w:t>
                  </w:r>
                </w:p>
              </w:tc>
              <w:tc>
                <w:tcPr>
                  <w:tcW w:w="17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noWrap w:val="0"/>
                  <w:vAlign w:val="center"/>
                </w:tcPr>
                <w:p w14:paraId="01A3CA91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东南西北侧厂界执行</w:t>
                  </w:r>
                  <w:r>
                    <w:rPr>
                      <w:rFonts w:hint="default"/>
                      <w:sz w:val="24"/>
                      <w:szCs w:val="24"/>
                    </w:rPr>
                    <w:t>《工业企业厂界环境噪声排放标准》(GB12348-2008)中的</w:t>
                  </w:r>
                  <w:r>
                    <w:rPr>
                      <w:rFonts w:hint="default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default"/>
                      <w:sz w:val="24"/>
                      <w:szCs w:val="24"/>
                    </w:rPr>
                    <w:t>类标准</w:t>
                  </w:r>
                </w:p>
              </w:tc>
            </w:tr>
            <w:tr w14:paraId="78745BE8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4" w:hRule="atLeast"/>
                <w:jc w:val="center"/>
              </w:trPr>
              <w:tc>
                <w:tcPr>
                  <w:tcW w:w="1140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9893C2B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固体废物</w:t>
                  </w:r>
                </w:p>
              </w:tc>
              <w:tc>
                <w:tcPr>
                  <w:tcW w:w="6233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noWrap w:val="0"/>
                  <w:vAlign w:val="center"/>
                </w:tcPr>
                <w:p w14:paraId="54C4148B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zh-CN"/>
                    </w:rPr>
                    <w:t>无固体废物产生</w:t>
                  </w:r>
                </w:p>
              </w:tc>
            </w:tr>
            <w:tr w14:paraId="06123414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4" w:hRule="atLeast"/>
                <w:jc w:val="center"/>
              </w:trPr>
              <w:tc>
                <w:tcPr>
                  <w:tcW w:w="1140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333DEFA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土壤及地下水污染防治措施</w:t>
                  </w:r>
                </w:p>
              </w:tc>
              <w:tc>
                <w:tcPr>
                  <w:tcW w:w="6233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noWrap w:val="0"/>
                  <w:vAlign w:val="center"/>
                </w:tcPr>
                <w:p w14:paraId="1CACFEF3">
                  <w:pPr>
                    <w:pStyle w:val="24"/>
                    <w:bidi w:val="0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项目厂区地面均已进行硬化，隔断了污染途径，可有效进行分区防渗。</w:t>
                  </w:r>
                </w:p>
              </w:tc>
            </w:tr>
            <w:tr w14:paraId="4B22416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4" w:hRule="atLeast"/>
                <w:jc w:val="center"/>
              </w:trPr>
              <w:tc>
                <w:tcPr>
                  <w:tcW w:w="1140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C77AFBE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 xml:space="preserve">生态保护措施 </w:t>
                  </w:r>
                </w:p>
              </w:tc>
              <w:tc>
                <w:tcPr>
                  <w:tcW w:w="6233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noWrap w:val="0"/>
                  <w:vAlign w:val="center"/>
                </w:tcPr>
                <w:p w14:paraId="7C957939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 w14:paraId="7A206EC5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4" w:hRule="atLeast"/>
                <w:jc w:val="center"/>
              </w:trPr>
              <w:tc>
                <w:tcPr>
                  <w:tcW w:w="1140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7A2CC6A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环境风险防范措施</w:t>
                  </w:r>
                </w:p>
              </w:tc>
              <w:tc>
                <w:tcPr>
                  <w:tcW w:w="6233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noWrap w:val="0"/>
                  <w:vAlign w:val="center"/>
                </w:tcPr>
                <w:p w14:paraId="14F585AF">
                  <w:pPr>
                    <w:pStyle w:val="24"/>
                    <w:bidi w:val="0"/>
                    <w:jc w:val="left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①建立健全并严格执行防火防爆的规章制度，严格遵守各项操作规章。</w:t>
                  </w:r>
                </w:p>
                <w:p w14:paraId="5A812487">
                  <w:pPr>
                    <w:pStyle w:val="24"/>
                    <w:bidi w:val="0"/>
                    <w:jc w:val="left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②储罐应储存于阴凉干燥、通风处，远离高温、明火、避免阳光直射，远离热源、火种和容易起火的地方。</w:t>
                  </w:r>
                </w:p>
                <w:p w14:paraId="7260E2C9">
                  <w:pPr>
                    <w:pStyle w:val="24"/>
                    <w:bidi w:val="0"/>
                    <w:jc w:val="left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③根据建筑设计防火规范、建筑灭火器配置设计规范等规范要求，企业应定期对消防器材进行检测与更换，确保其完好状态。</w:t>
                  </w:r>
                </w:p>
                <w:p w14:paraId="1040AA12">
                  <w:pPr>
                    <w:pStyle w:val="24"/>
                    <w:bidi w:val="0"/>
                    <w:jc w:val="left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④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多种途径宣传消防安全，培训有较好数值和经验的巡查人员，及时发现火灾隐患，管理到位，正确使用消防设施、设备。</w:t>
                  </w:r>
                </w:p>
              </w:tc>
            </w:tr>
            <w:tr w14:paraId="712699A6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4" w:hRule="atLeast"/>
                <w:jc w:val="center"/>
              </w:trPr>
              <w:tc>
                <w:tcPr>
                  <w:tcW w:w="1140" w:type="dxa"/>
                  <w:tcBorders>
                    <w:top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5434F33">
                  <w:pPr>
                    <w:pStyle w:val="24"/>
                    <w:bidi w:val="0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其他环境管理要求</w:t>
                  </w:r>
                </w:p>
              </w:tc>
              <w:tc>
                <w:tcPr>
                  <w:tcW w:w="6233" w:type="dxa"/>
                  <w:gridSpan w:val="4"/>
                  <w:tcBorders>
                    <w:top w:val="single" w:color="000000" w:sz="4" w:space="0"/>
                    <w:left w:val="single" w:color="000000" w:sz="4" w:space="0"/>
                  </w:tcBorders>
                  <w:noWrap w:val="0"/>
                  <w:vAlign w:val="center"/>
                </w:tcPr>
                <w:p w14:paraId="3B8629FE">
                  <w:pPr>
                    <w:pStyle w:val="24"/>
                    <w:bidi w:val="0"/>
                    <w:jc w:val="left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/>
                      <w:sz w:val="24"/>
                      <w:szCs w:val="24"/>
                      <w:lang w:val="en-US" w:eastAsia="zh-CN"/>
                    </w:rPr>
                    <w:t>1、排污许可制度</w:t>
                  </w:r>
                </w:p>
                <w:p w14:paraId="717500B2">
                  <w:pPr>
                    <w:pStyle w:val="24"/>
                    <w:bidi w:val="0"/>
                    <w:jc w:val="left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/>
                      <w:sz w:val="24"/>
                      <w:szCs w:val="24"/>
                      <w:lang w:eastAsia="zh-CN"/>
                    </w:rPr>
                    <w:t>根据《固定污染源排污许可分类管理名录（2019年版）》（以下简称《名录》），本项目属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“三十九、电力、热力生产和供应业”</w:t>
                  </w:r>
                  <w:r>
                    <w:rPr>
                      <w:rFonts w:hint="default"/>
                      <w:sz w:val="24"/>
                      <w:szCs w:val="24"/>
                      <w:lang w:eastAsia="zh-CN"/>
                    </w:rPr>
                    <w:t>行业的排污单位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。</w:t>
                  </w:r>
                  <w:r>
                    <w:rPr>
                      <w:rFonts w:hint="default"/>
                      <w:sz w:val="24"/>
                      <w:szCs w:val="24"/>
                      <w:lang w:eastAsia="zh-CN"/>
                    </w:rPr>
                    <w:t>根据《排污许可管 理办法（试行》“第一章 第三条：纳入固定污染源排污许可分类管理名录的企业事业单位和 其他生产经营者（以下简称排污单位）应当按照规定的时限申请并取得排污许可证”。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项目于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2022年建成，龙山县人民医院所取得的hb433100500000152Y001V排的污许可证仍可使用。</w:t>
                  </w:r>
                </w:p>
                <w:p w14:paraId="3CEB61C0">
                  <w:pPr>
                    <w:pStyle w:val="24"/>
                    <w:bidi w:val="0"/>
                    <w:jc w:val="left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/>
                      <w:sz w:val="24"/>
                      <w:szCs w:val="24"/>
                      <w:lang w:val="en-US" w:eastAsia="zh-CN"/>
                    </w:rPr>
                    <w:t>2、排污口规范化设置</w:t>
                  </w:r>
                </w:p>
                <w:p w14:paraId="07CA5A90">
                  <w:pPr>
                    <w:pStyle w:val="24"/>
                    <w:bidi w:val="0"/>
                    <w:jc w:val="left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/>
                      <w:sz w:val="24"/>
                      <w:szCs w:val="24"/>
                      <w:lang w:val="en-US" w:eastAsia="zh-CN"/>
                    </w:rPr>
                    <w:t>根据环发[1999]24号《关于开展排污口规范化整治工作的通知》及省、市环境保护主管部门的有关文件精神，项目必须建设规范化的污水排放口、废气排放口。</w:t>
                  </w:r>
                </w:p>
                <w:p w14:paraId="26137F87">
                  <w:pPr>
                    <w:pStyle w:val="24"/>
                    <w:bidi w:val="0"/>
                    <w:jc w:val="left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/>
                      <w:sz w:val="24"/>
                      <w:szCs w:val="24"/>
                      <w:lang w:val="en-US" w:eastAsia="zh-CN"/>
                    </w:rPr>
                    <w:t>针对本项目，排污口规范化整治技术要求应包括以下内容：</w:t>
                  </w:r>
                </w:p>
                <w:p w14:paraId="17768CDB">
                  <w:pPr>
                    <w:pStyle w:val="24"/>
                    <w:bidi w:val="0"/>
                    <w:jc w:val="left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/>
                      <w:sz w:val="24"/>
                      <w:szCs w:val="24"/>
                      <w:lang w:val="en-US" w:eastAsia="zh-CN"/>
                    </w:rPr>
                    <w:t>（1）合理确定排污口位置，并按《污染源监测技术规范》设置采样点；</w:t>
                  </w:r>
                </w:p>
                <w:p w14:paraId="1A4EFD61">
                  <w:pPr>
                    <w:pStyle w:val="24"/>
                    <w:bidi w:val="0"/>
                    <w:jc w:val="left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/>
                      <w:sz w:val="24"/>
                      <w:szCs w:val="24"/>
                      <w:lang w:val="en-US" w:eastAsia="zh-CN"/>
                    </w:rPr>
                    <w:t>（2）废气排放口必须符合规定的高度和按照《污染源监测技术规范》便于采样、监测的要求，设置直径不小于75mm的采样口。在废气排放口设置采样口及采样平台。</w:t>
                  </w:r>
                </w:p>
                <w:p w14:paraId="7E6246BD">
                  <w:pPr>
                    <w:pStyle w:val="24"/>
                    <w:bidi w:val="0"/>
                    <w:jc w:val="left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/>
                      <w:sz w:val="24"/>
                      <w:szCs w:val="24"/>
                      <w:lang w:val="en-US" w:eastAsia="zh-CN"/>
                    </w:rPr>
                    <w:t>（3）按照《环境保护图形标志》（GB15562-1995）中规定，规范化的排污口应设置相应的环境保护图形标志牌；</w:t>
                  </w:r>
                </w:p>
                <w:p w14:paraId="1267EFF2">
                  <w:pPr>
                    <w:pStyle w:val="24"/>
                    <w:bidi w:val="0"/>
                    <w:jc w:val="left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/>
                      <w:sz w:val="24"/>
                      <w:szCs w:val="24"/>
                      <w:lang w:val="en-US" w:eastAsia="zh-CN"/>
                    </w:rPr>
                    <w:t>（4）按要求填写由国家环境保护总局统一印刷的《中华人民共和国规范化排污口标志登记证》并根据登记证的内容建立排污口管理档案，项目投产运行后，应建立各主要污染物类别、数量、浓度、排放方式、排放去向、达标情况等的台帐，并按环保部门要求及时上报。</w:t>
                  </w:r>
                </w:p>
                <w:p w14:paraId="476F4D5D">
                  <w:pPr>
                    <w:pStyle w:val="24"/>
                    <w:bidi w:val="0"/>
                    <w:jc w:val="left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  <w:lang w:val="en-US" w:eastAsia="zh-CN"/>
                    </w:rPr>
                    <w:t>（5）规范化排污口有关设施属环境保护设施，企业应将其纳入本单位设备管理，并选派责任心强、有专业知识和技能的兼、专职人员进行管理。</w:t>
                  </w:r>
                </w:p>
              </w:tc>
            </w:tr>
          </w:tbl>
          <w:p w14:paraId="5BBEBA2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</w:p>
        </w:tc>
      </w:tr>
    </w:tbl>
    <w:p w14:paraId="7E45DA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Mzc3NzFjYjJjMGI1MmRmN2IwNjYzN2YzZDNkY2MifQ=="/>
  </w:docVars>
  <w:rsids>
    <w:rsidRoot w:val="0FA3211F"/>
    <w:rsid w:val="04A34388"/>
    <w:rsid w:val="0D3F08C2"/>
    <w:rsid w:val="0FA3211F"/>
    <w:rsid w:val="1C4C6447"/>
    <w:rsid w:val="300818CC"/>
    <w:rsid w:val="33A83682"/>
    <w:rsid w:val="3D2500D0"/>
    <w:rsid w:val="49B45E64"/>
    <w:rsid w:val="4D812E59"/>
    <w:rsid w:val="590D5D3B"/>
    <w:rsid w:val="5B5C071E"/>
    <w:rsid w:val="729107CB"/>
    <w:rsid w:val="730B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00" w:after="200" w:line="240" w:lineRule="auto"/>
      <w:ind w:firstLine="0" w:firstLineChars="0"/>
      <w:outlineLvl w:val="1"/>
    </w:pPr>
    <w:rPr>
      <w:rFonts w:cs="Times New Roman"/>
      <w:b/>
      <w:bCs/>
      <w:sz w:val="30"/>
      <w:szCs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autoRedefine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5">
    <w:name w:val="Body Text Indent"/>
    <w:basedOn w:val="1"/>
    <w:next w:val="1"/>
    <w:autoRedefine/>
    <w:qFormat/>
    <w:uiPriority w:val="0"/>
    <w:pPr>
      <w:ind w:left="420" w:leftChars="200"/>
    </w:pPr>
  </w:style>
  <w:style w:type="paragraph" w:styleId="6">
    <w:name w:val="List"/>
    <w:basedOn w:val="1"/>
    <w:qFormat/>
    <w:uiPriority w:val="0"/>
    <w:pPr>
      <w:ind w:left="200" w:hanging="200" w:hangingChars="200"/>
    </w:pPr>
  </w:style>
  <w:style w:type="paragraph" w:styleId="7">
    <w:name w:val="Body Text 2"/>
    <w:basedOn w:val="1"/>
    <w:next w:val="1"/>
    <w:unhideWhenUsed/>
    <w:qFormat/>
    <w:uiPriority w:val="0"/>
    <w:rPr>
      <w:b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next w:val="1"/>
    <w:qFormat/>
    <w:uiPriority w:val="0"/>
    <w:pPr>
      <w:ind w:firstLine="420" w:firstLineChars="100"/>
    </w:pPr>
  </w:style>
  <w:style w:type="paragraph" w:styleId="10">
    <w:name w:val="Body Text First Indent 2"/>
    <w:basedOn w:val="5"/>
    <w:next w:val="1"/>
    <w:qFormat/>
    <w:uiPriority w:val="0"/>
    <w:pPr>
      <w:ind w:firstLine="42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Default"/>
    <w:basedOn w:val="16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纯文本1"/>
    <w:basedOn w:val="1"/>
    <w:autoRedefine/>
    <w:qFormat/>
    <w:uiPriority w:val="0"/>
    <w:rPr>
      <w:rFonts w:hint="eastAsia" w:ascii="宋体" w:hAnsi="Courier New"/>
      <w:szCs w:val="24"/>
    </w:rPr>
  </w:style>
  <w:style w:type="paragraph" w:customStyle="1" w:styleId="17">
    <w:name w:val="批注文字1"/>
    <w:autoRedefine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18">
    <w:name w:val="Char11"/>
    <w:basedOn w:val="1"/>
    <w:qFormat/>
    <w:uiPriority w:val="0"/>
    <w:pPr>
      <w:spacing w:line="360" w:lineRule="auto"/>
      <w:ind w:firstLine="200" w:firstLineChars="200"/>
    </w:pPr>
    <w:rPr>
      <w:kern w:val="0"/>
      <w:sz w:val="24"/>
      <w:szCs w:val="20"/>
    </w:rPr>
  </w:style>
  <w:style w:type="paragraph" w:customStyle="1" w:styleId="19">
    <w:name w:val="正文2"/>
    <w:basedOn w:val="1"/>
    <w:qFormat/>
    <w:uiPriority w:val="0"/>
    <w:pPr>
      <w:ind w:firstLine="200" w:firstLineChars="200"/>
      <w:jc w:val="both"/>
    </w:pPr>
  </w:style>
  <w:style w:type="paragraph" w:customStyle="1" w:styleId="20">
    <w:name w:val="表文字"/>
    <w:basedOn w:val="1"/>
    <w:next w:val="1"/>
    <w:autoRedefine/>
    <w:qFormat/>
    <w:uiPriority w:val="0"/>
    <w:pPr>
      <w:spacing w:line="240" w:lineRule="auto"/>
      <w:jc w:val="center"/>
    </w:pPr>
    <w:rPr>
      <w:sz w:val="21"/>
      <w:szCs w:val="21"/>
    </w:rPr>
  </w:style>
  <w:style w:type="paragraph" w:customStyle="1" w:styleId="21">
    <w:name w:val="表内文字"/>
    <w:qFormat/>
    <w:uiPriority w:val="99"/>
    <w:pPr>
      <w:wordWrap w:val="0"/>
      <w:adjustRightInd w:val="0"/>
      <w:snapToGrid w:val="0"/>
      <w:jc w:val="center"/>
    </w:pPr>
    <w:rPr>
      <w:rFonts w:ascii="Times New Roman" w:hAnsi="Times New Roman" w:eastAsia="宋体" w:cs="Times New Roman"/>
      <w:kern w:val="0"/>
      <w:sz w:val="21"/>
      <w:szCs w:val="21"/>
    </w:rPr>
  </w:style>
  <w:style w:type="paragraph" w:customStyle="1" w:styleId="22">
    <w:name w:val="表头李"/>
    <w:basedOn w:val="1"/>
    <w:next w:val="23"/>
    <w:autoRedefine/>
    <w:qFormat/>
    <w:uiPriority w:val="0"/>
    <w:pPr>
      <w:spacing w:line="240" w:lineRule="auto"/>
      <w:jc w:val="center"/>
    </w:pPr>
    <w:rPr>
      <w:rFonts w:hint="eastAsia" w:ascii="Times New Roman" w:hAnsi="Times New Roman" w:eastAsia="宋体" w:cs="Times New Roman"/>
      <w:b/>
      <w:bCs/>
      <w:sz w:val="21"/>
      <w:szCs w:val="21"/>
    </w:rPr>
  </w:style>
  <w:style w:type="paragraph" w:customStyle="1" w:styleId="23">
    <w:name w:val="表格"/>
    <w:basedOn w:val="6"/>
    <w:next w:val="1"/>
    <w:qFormat/>
    <w:uiPriority w:val="0"/>
    <w:pPr>
      <w:adjustRightInd w:val="0"/>
      <w:snapToGrid w:val="0"/>
      <w:spacing w:line="240" w:lineRule="auto"/>
      <w:ind w:left="0" w:firstLine="0" w:firstLineChars="0"/>
      <w:jc w:val="center"/>
    </w:pPr>
    <w:rPr>
      <w:rFonts w:ascii="Times New Roman" w:hAnsi="Times New Roman" w:eastAsia="宋体"/>
      <w:kern w:val="0"/>
      <w:szCs w:val="20"/>
    </w:rPr>
  </w:style>
  <w:style w:type="paragraph" w:customStyle="1" w:styleId="24">
    <w:name w:val="丽~表格"/>
    <w:basedOn w:val="1"/>
    <w:qFormat/>
    <w:uiPriority w:val="0"/>
    <w:pPr>
      <w:spacing w:line="240" w:lineRule="auto"/>
      <w:ind w:firstLine="0" w:firstLineChars="0"/>
      <w:jc w:val="center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1501</Words>
  <Characters>1614</Characters>
  <Lines>0</Lines>
  <Paragraphs>0</Paragraphs>
  <TotalTime>1</TotalTime>
  <ScaleCrop>false</ScaleCrop>
  <LinksUpToDate>false</LinksUpToDate>
  <CharactersWithSpaces>1635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2023-04-23T08:23:00Z</dcterms:created>
  <dc:creator>dell</dc:creator>
  <cp:lastModifiedBy>dell</cp:lastModifiedBy>
  <dcterms:modified xsi:type="dcterms:W3CDTF">2024-08-26T07:23:52Z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34F53C08A3D144B1B52FDCD24550470C_11</vt:lpwstr>
  </property>
</Properties>
</file>