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u w:val="none"/>
          <w:lang w:val="en-US" w:eastAsia="zh-CN"/>
        </w:rPr>
        <w:t>龙山县振鑫石材有限责任公司欧溪坪矿区绿色矿山建设</w:t>
      </w:r>
      <w:r>
        <w:rPr>
          <w:rFonts w:hint="eastAsia" w:ascii="宋体" w:hAnsi="宋体" w:eastAsia="宋体" w:cs="宋体"/>
          <w:b/>
          <w:bCs/>
          <w:sz w:val="24"/>
          <w:szCs w:val="24"/>
          <w:lang w:val="en-US" w:eastAsia="zh-CN"/>
        </w:rPr>
        <w:t>项目环境影响评价</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基本情况表</w:t>
      </w:r>
    </w:p>
    <w:p>
      <w:pPr>
        <w:jc w:val="center"/>
        <w:rPr>
          <w:rFonts w:hint="default"/>
          <w:sz w:val="24"/>
          <w:szCs w:val="24"/>
          <w:lang w:val="en-US" w:eastAsia="zh-CN"/>
        </w:rPr>
      </w:pPr>
    </w:p>
    <w:p>
      <w:pPr>
        <w:pStyle w:val="18"/>
        <w:rPr>
          <w:rFonts w:hint="default"/>
          <w:lang w:val="en-US" w:eastAsia="zh-CN"/>
        </w:rPr>
      </w:pPr>
    </w:p>
    <w:tbl>
      <w:tblPr>
        <w:tblStyle w:val="14"/>
        <w:tblW w:w="882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9"/>
        <w:gridCol w:w="7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项目名称</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default" w:ascii="宋体" w:hAnsi="宋体" w:eastAsia="宋体" w:cs="宋体"/>
                <w:color w:val="auto"/>
                <w:sz w:val="32"/>
                <w:szCs w:val="32"/>
                <w:u w:val="none"/>
                <w:lang w:val="en-US"/>
              </w:rPr>
            </w:pPr>
            <w:r>
              <w:rPr>
                <w:rFonts w:hint="eastAsia" w:ascii="宋体" w:hAnsi="宋体" w:eastAsia="宋体" w:cs="宋体"/>
                <w:color w:val="auto"/>
                <w:sz w:val="24"/>
                <w:szCs w:val="24"/>
                <w:highlight w:val="none"/>
                <w:lang w:val="en-US" w:eastAsia="zh-CN"/>
              </w:rPr>
              <w:t>年产3000吨香辣酱、200吨酱腌菜加工</w:t>
            </w:r>
            <w:r>
              <w:rPr>
                <w:rFonts w:hint="eastAsia" w:ascii="宋体" w:hAnsi="宋体" w:eastAsia="宋体" w:cs="宋体"/>
                <w:sz w:val="24"/>
                <w:szCs w:val="24"/>
              </w:rPr>
              <w:t>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建设地点</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default" w:ascii="宋体" w:hAnsi="宋体" w:cs="宋体" w:eastAsiaTheme="minorEastAsia"/>
                <w:color w:val="auto"/>
                <w:sz w:val="32"/>
                <w:szCs w:val="32"/>
                <w:u w:val="none"/>
                <w:lang w:val="en-US" w:eastAsia="zh-CN"/>
              </w:rPr>
            </w:pPr>
            <w:r>
              <w:rPr>
                <w:rFonts w:hint="eastAsia" w:ascii="宋体" w:hAnsi="宋体" w:eastAsia="宋体" w:cs="宋体"/>
                <w:color w:val="auto"/>
                <w:sz w:val="24"/>
                <w:szCs w:val="24"/>
                <w:u w:val="none" w:color="auto"/>
                <w:lang w:eastAsia="zh-CN"/>
              </w:rPr>
              <w:t>龙山县</w:t>
            </w:r>
            <w:r>
              <w:rPr>
                <w:rFonts w:hint="eastAsia" w:ascii="宋体" w:hAnsi="宋体" w:eastAsia="宋体" w:cs="宋体"/>
                <w:color w:val="auto"/>
                <w:lang w:val="en-US" w:eastAsia="zh-CN"/>
              </w:rPr>
              <w:t>产业开发区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建设单位</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default" w:ascii="宋体" w:hAnsi="宋体" w:eastAsia="宋体" w:cs="宋体"/>
                <w:color w:val="auto"/>
                <w:sz w:val="32"/>
                <w:szCs w:val="32"/>
                <w:u w:val="none"/>
                <w:lang w:val="en-US" w:eastAsia="zh-CN"/>
              </w:rPr>
            </w:pPr>
            <w:r>
              <w:rPr>
                <w:rFonts w:hint="eastAsia" w:ascii="宋体" w:hAnsi="宋体" w:eastAsia="宋体" w:cs="宋体"/>
                <w:color w:val="auto"/>
                <w:sz w:val="24"/>
                <w:szCs w:val="24"/>
                <w:highlight w:val="none"/>
                <w:lang w:eastAsia="zh-CN"/>
              </w:rPr>
              <w:t>龙山县</w:t>
            </w:r>
            <w:r>
              <w:rPr>
                <w:rFonts w:hint="eastAsia" w:ascii="宋体" w:hAnsi="宋体" w:eastAsia="宋体" w:cs="宋体"/>
                <w:color w:val="auto"/>
                <w:sz w:val="24"/>
                <w:szCs w:val="24"/>
                <w:highlight w:val="none"/>
                <w:lang w:val="en-US" w:eastAsia="zh-CN"/>
              </w:rPr>
              <w:t>金玥农业科技开发有限公司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24"/>
                <w:szCs w:val="24"/>
                <w:u w:val="none"/>
              </w:rPr>
            </w:pPr>
            <w:r>
              <w:rPr>
                <w:rStyle w:val="17"/>
                <w:rFonts w:hint="eastAsia" w:ascii="宋体" w:hAnsi="宋体" w:eastAsia="宋体" w:cs="宋体"/>
                <w:color w:val="auto"/>
                <w:sz w:val="24"/>
                <w:szCs w:val="24"/>
                <w:u w:val="none"/>
              </w:rPr>
              <w:t>环境影响评价机构</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default" w:ascii="宋体" w:hAnsi="宋体" w:eastAsia="宋体" w:cs="宋体"/>
                <w:color w:val="auto"/>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3" w:hRule="atLeast"/>
        </w:trPr>
        <w:tc>
          <w:tcPr>
            <w:tcW w:w="1349" w:type="dxa"/>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况</w:t>
            </w:r>
          </w:p>
        </w:tc>
        <w:tc>
          <w:tcPr>
            <w:tcW w:w="7471"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spacing w:line="360" w:lineRule="auto"/>
              <w:ind w:firstLine="240" w:firstLineChars="100"/>
              <w:rPr>
                <w:rFonts w:hint="eastAsia" w:ascii="宋体" w:hAnsi="宋体" w:eastAsia="宋体" w:cs="宋体"/>
                <w:color w:val="auto"/>
                <w:sz w:val="24"/>
                <w:szCs w:val="22"/>
              </w:rPr>
            </w:pPr>
            <w:r>
              <w:rPr>
                <w:rFonts w:hint="eastAsia" w:ascii="宋体" w:hAnsi="宋体" w:eastAsia="宋体" w:cs="宋体"/>
                <w:color w:val="auto"/>
                <w:sz w:val="24"/>
                <w:szCs w:val="22"/>
              </w:rPr>
              <w:t>（1）项目名称：</w:t>
            </w:r>
            <w:r>
              <w:rPr>
                <w:rFonts w:hint="eastAsia" w:ascii="宋体" w:hAnsi="宋体" w:eastAsia="宋体" w:cs="宋体"/>
                <w:color w:val="auto"/>
                <w:sz w:val="24"/>
                <w:szCs w:val="24"/>
                <w:highlight w:val="none"/>
                <w:lang w:val="en-US" w:eastAsia="zh-CN"/>
              </w:rPr>
              <w:t>年产3000吨香辣酱、200吨酱腌菜加工</w:t>
            </w:r>
            <w:r>
              <w:rPr>
                <w:rFonts w:hint="eastAsia" w:ascii="宋体" w:hAnsi="宋体" w:eastAsia="宋体" w:cs="宋体"/>
                <w:sz w:val="24"/>
                <w:szCs w:val="24"/>
              </w:rPr>
              <w:t>建设项目</w:t>
            </w:r>
            <w:r>
              <w:rPr>
                <w:rFonts w:hint="eastAsia" w:ascii="宋体" w:hAnsi="宋体" w:eastAsia="宋体" w:cs="宋体"/>
                <w:color w:val="auto"/>
                <w:sz w:val="24"/>
                <w:szCs w:val="22"/>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szCs w:val="22"/>
              </w:rPr>
              <w:t>（2）项目所在</w:t>
            </w:r>
            <w:r>
              <w:rPr>
                <w:rFonts w:hint="eastAsia" w:ascii="宋体" w:hAnsi="宋体" w:eastAsia="宋体" w:cs="宋体"/>
                <w:color w:val="auto"/>
                <w:sz w:val="24"/>
              </w:rPr>
              <w:t>地：</w:t>
            </w:r>
            <w:r>
              <w:rPr>
                <w:rFonts w:hint="eastAsia" w:ascii="宋体" w:hAnsi="宋体" w:eastAsia="宋体" w:cs="宋体"/>
                <w:color w:val="auto"/>
                <w:sz w:val="24"/>
                <w:szCs w:val="24"/>
                <w:u w:val="none" w:color="auto"/>
                <w:lang w:eastAsia="zh-CN"/>
              </w:rPr>
              <w:t>龙山县</w:t>
            </w:r>
            <w:r>
              <w:rPr>
                <w:rFonts w:hint="eastAsia" w:ascii="宋体" w:hAnsi="宋体" w:eastAsia="宋体" w:cs="宋体"/>
                <w:color w:val="auto"/>
                <w:lang w:val="en-US" w:eastAsia="zh-CN"/>
              </w:rPr>
              <w:t>产业开发区</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（3）建设单位：</w:t>
            </w:r>
            <w:r>
              <w:rPr>
                <w:rFonts w:hint="eastAsia" w:ascii="宋体" w:hAnsi="宋体" w:eastAsia="宋体" w:cs="宋体"/>
                <w:color w:val="auto"/>
                <w:sz w:val="24"/>
                <w:szCs w:val="24"/>
                <w:highlight w:val="none"/>
                <w:lang w:eastAsia="zh-CN"/>
              </w:rPr>
              <w:t>龙山县</w:t>
            </w:r>
            <w:r>
              <w:rPr>
                <w:rFonts w:hint="eastAsia" w:ascii="宋体" w:hAnsi="宋体" w:eastAsia="宋体" w:cs="宋体"/>
                <w:color w:val="auto"/>
                <w:sz w:val="24"/>
                <w:szCs w:val="24"/>
                <w:highlight w:val="none"/>
                <w:lang w:val="en-US" w:eastAsia="zh-CN"/>
              </w:rPr>
              <w:t>金玥农业科技开发有限公司</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szCs w:val="22"/>
              </w:rPr>
            </w:pPr>
            <w:r>
              <w:rPr>
                <w:rFonts w:hint="eastAsia" w:ascii="宋体" w:hAnsi="宋体" w:eastAsia="宋体" w:cs="宋体"/>
                <w:color w:val="auto"/>
                <w:sz w:val="24"/>
                <w:szCs w:val="22"/>
              </w:rPr>
              <w:t>（4）建设性质：</w:t>
            </w:r>
            <w:r>
              <w:rPr>
                <w:rFonts w:hint="eastAsia" w:ascii="宋体" w:hAnsi="宋体" w:eastAsia="宋体" w:cs="宋体"/>
                <w:color w:val="auto"/>
                <w:sz w:val="24"/>
                <w:szCs w:val="22"/>
                <w:lang w:val="en-US" w:eastAsia="zh-CN"/>
              </w:rPr>
              <w:t>新</w:t>
            </w:r>
            <w:r>
              <w:rPr>
                <w:rFonts w:hint="eastAsia" w:ascii="宋体" w:hAnsi="宋体" w:eastAsia="宋体" w:cs="宋体"/>
                <w:color w:val="auto"/>
                <w:sz w:val="24"/>
                <w:szCs w:val="22"/>
              </w:rPr>
              <w:t>建；</w:t>
            </w:r>
          </w:p>
          <w:p>
            <w:pPr>
              <w:spacing w:line="360" w:lineRule="auto"/>
              <w:ind w:firstLine="240" w:firstLineChars="100"/>
              <w:rPr>
                <w:rFonts w:hint="eastAsia" w:ascii="宋体" w:hAnsi="宋体" w:eastAsia="宋体" w:cs="宋体"/>
                <w:color w:val="auto"/>
                <w:sz w:val="24"/>
                <w:szCs w:val="22"/>
              </w:rPr>
            </w:pPr>
            <w:r>
              <w:rPr>
                <w:rFonts w:hint="eastAsia" w:ascii="宋体" w:hAnsi="宋体" w:eastAsia="宋体" w:cs="宋体"/>
                <w:color w:val="auto"/>
                <w:sz w:val="24"/>
                <w:szCs w:val="22"/>
              </w:rPr>
              <w:t>（5）</w:t>
            </w:r>
            <w:r>
              <w:rPr>
                <w:rFonts w:hint="eastAsia" w:ascii="宋体" w:hAnsi="宋体" w:eastAsia="宋体" w:cs="宋体"/>
                <w:color w:val="auto"/>
                <w:sz w:val="24"/>
                <w:szCs w:val="22"/>
                <w:lang w:val="en-US" w:eastAsia="zh-CN"/>
              </w:rPr>
              <w:t>总投资</w:t>
            </w:r>
            <w:r>
              <w:rPr>
                <w:rFonts w:hint="eastAsia" w:ascii="宋体" w:hAnsi="宋体" w:eastAsia="宋体" w:cs="宋体"/>
                <w:color w:val="auto"/>
                <w:sz w:val="24"/>
                <w:szCs w:val="22"/>
              </w:rPr>
              <w:t>：</w:t>
            </w:r>
            <w:r>
              <w:rPr>
                <w:rFonts w:hint="eastAsia" w:ascii="宋体" w:hAnsi="宋体" w:eastAsia="宋体" w:cs="宋体"/>
                <w:color w:val="auto"/>
                <w:sz w:val="24"/>
                <w:highlight w:val="none"/>
                <w:u w:val="none"/>
                <w:lang w:val="en-US" w:eastAsia="zh-CN"/>
              </w:rPr>
              <w:t>905</w:t>
            </w:r>
            <w:r>
              <w:rPr>
                <w:rFonts w:hint="eastAsia" w:ascii="宋体" w:hAnsi="宋体" w:eastAsia="宋体" w:cs="宋体"/>
                <w:color w:val="auto"/>
                <w:sz w:val="24"/>
                <w:szCs w:val="24"/>
                <w:u w:val="none" w:color="auto"/>
                <w:lang w:val="en-US" w:eastAsia="zh-CN"/>
              </w:rPr>
              <w:t>万</w:t>
            </w:r>
            <w:r>
              <w:rPr>
                <w:rFonts w:hint="eastAsia" w:ascii="宋体" w:hAnsi="宋体" w:eastAsia="宋体" w:cs="宋体"/>
                <w:color w:val="auto"/>
                <w:sz w:val="24"/>
                <w:szCs w:val="24"/>
                <w:u w:val="none" w:color="auto"/>
              </w:rPr>
              <w:t>元，其中环保投资</w:t>
            </w:r>
            <w:r>
              <w:rPr>
                <w:rFonts w:hint="eastAsia" w:ascii="宋体" w:hAnsi="宋体" w:eastAsia="宋体" w:cs="宋体"/>
                <w:color w:val="auto"/>
                <w:sz w:val="24"/>
                <w:highlight w:val="none"/>
                <w:u w:val="none"/>
                <w:lang w:val="en-US" w:eastAsia="zh-CN"/>
              </w:rPr>
              <w:t>12</w:t>
            </w:r>
            <w:r>
              <w:rPr>
                <w:rFonts w:hint="eastAsia" w:ascii="宋体" w:hAnsi="宋体" w:eastAsia="宋体" w:cs="宋体"/>
                <w:color w:val="auto"/>
                <w:sz w:val="24"/>
                <w:szCs w:val="24"/>
                <w:u w:val="none" w:color="auto"/>
              </w:rPr>
              <w:t>万元</w:t>
            </w:r>
            <w:r>
              <w:rPr>
                <w:rFonts w:hint="eastAsia" w:ascii="宋体" w:hAnsi="宋体" w:eastAsia="宋体" w:cs="宋体"/>
                <w:color w:val="auto"/>
                <w:sz w:val="24"/>
                <w:szCs w:val="22"/>
                <w:lang w:val="en-US" w:eastAsia="zh-CN"/>
              </w:rPr>
              <w:t>，</w:t>
            </w:r>
            <w:r>
              <w:rPr>
                <w:rFonts w:hint="eastAsia" w:ascii="宋体" w:hAnsi="宋体" w:eastAsia="宋体" w:cs="宋体"/>
                <w:bCs/>
                <w:color w:val="auto"/>
                <w:sz w:val="24"/>
              </w:rPr>
              <w:t>占总投资的</w:t>
            </w:r>
            <w:r>
              <w:rPr>
                <w:rFonts w:hint="eastAsia" w:ascii="宋体" w:hAnsi="宋体" w:eastAsia="宋体" w:cs="宋体"/>
                <w:color w:val="auto"/>
                <w:sz w:val="24"/>
                <w:highlight w:val="none"/>
                <w:u w:val="none"/>
                <w:lang w:val="en-US" w:eastAsia="zh-CN"/>
              </w:rPr>
              <w:t>1.326</w:t>
            </w:r>
            <w:r>
              <w:rPr>
                <w:rFonts w:hint="eastAsia" w:ascii="宋体" w:hAnsi="宋体" w:eastAsia="宋体" w:cs="宋体"/>
                <w:color w:val="auto"/>
                <w:sz w:val="24"/>
              </w:rPr>
              <w:t>%</w:t>
            </w:r>
            <w:r>
              <w:rPr>
                <w:rFonts w:hint="eastAsia" w:ascii="宋体" w:hAnsi="宋体" w:eastAsia="宋体" w:cs="宋体"/>
                <w:color w:val="auto"/>
                <w:sz w:val="24"/>
                <w:szCs w:val="22"/>
              </w:rPr>
              <w:t>；</w:t>
            </w:r>
          </w:p>
          <w:p>
            <w:pPr>
              <w:pStyle w:val="3"/>
              <w:spacing w:line="360" w:lineRule="auto"/>
              <w:ind w:left="0" w:leftChars="0"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2"/>
              </w:rPr>
              <w:t>（6）</w:t>
            </w:r>
            <w:r>
              <w:rPr>
                <w:rFonts w:hint="eastAsia" w:ascii="宋体" w:hAnsi="宋体" w:eastAsia="宋体" w:cs="宋体"/>
                <w:color w:val="auto"/>
                <w:sz w:val="24"/>
                <w:szCs w:val="24"/>
              </w:rPr>
              <w:t>项目情况：</w:t>
            </w:r>
            <w:r>
              <w:rPr>
                <w:rFonts w:hint="eastAsia" w:ascii="宋体" w:hAnsi="宋体" w:eastAsia="宋体" w:cs="宋体"/>
                <w:color w:val="auto"/>
                <w:sz w:val="24"/>
                <w:szCs w:val="24"/>
                <w:lang w:val="en-US" w:eastAsia="zh-CN"/>
              </w:rPr>
              <w:t>项目</w:t>
            </w:r>
            <w:r>
              <w:rPr>
                <w:rFonts w:hint="eastAsia" w:ascii="宋体" w:hAnsi="宋体" w:eastAsia="宋体" w:cs="宋体"/>
                <w:color w:val="auto"/>
                <w:kern w:val="2"/>
                <w:sz w:val="24"/>
                <w:szCs w:val="24"/>
                <w:u w:val="none" w:color="auto"/>
                <w:lang w:val="en-US" w:eastAsia="zh-CN" w:bidi="ar-SA"/>
              </w:rPr>
              <w:t>位于湘西州龙山县</w:t>
            </w:r>
            <w:r>
              <w:rPr>
                <w:rFonts w:hint="eastAsia" w:ascii="宋体" w:hAnsi="宋体" w:eastAsia="宋体" w:cs="宋体"/>
                <w:color w:val="auto"/>
                <w:sz w:val="24"/>
                <w:szCs w:val="24"/>
                <w:lang w:val="en-US" w:eastAsia="zh-CN"/>
              </w:rPr>
              <w:t>产业开发区</w:t>
            </w:r>
            <w:r>
              <w:rPr>
                <w:rFonts w:hint="default" w:ascii="Times New Roman" w:hAnsi="Times New Roman" w:eastAsia="宋体" w:cs="Times New Roman"/>
                <w:highlight w:val="none"/>
              </w:rPr>
              <w:t>二期食品产业园内</w:t>
            </w:r>
            <w:r>
              <w:rPr>
                <w:rFonts w:hint="eastAsia" w:ascii="宋体" w:hAnsi="宋体" w:eastAsia="宋体" w:cs="宋体"/>
                <w:color w:val="auto"/>
                <w:kern w:val="2"/>
                <w:sz w:val="24"/>
                <w:szCs w:val="24"/>
                <w:u w:val="none" w:color="auto"/>
                <w:lang w:val="en-US" w:eastAsia="zh-CN" w:bidi="ar-SA"/>
              </w:rPr>
              <w:t>，</w:t>
            </w:r>
            <w:r>
              <w:rPr>
                <w:rFonts w:hint="default" w:ascii="Times New Roman" w:hAnsi="Times New Roman" w:cs="Times New Roman"/>
                <w:highlight w:val="none"/>
              </w:rPr>
              <w:t>项目总占地面积</w:t>
            </w:r>
            <w:r>
              <w:rPr>
                <w:rFonts w:hint="default" w:ascii="Times New Roman" w:hAnsi="Times New Roman" w:cs="Times New Roman"/>
                <w:highlight w:val="none"/>
                <w:lang w:val="en-US" w:eastAsia="zh-CN"/>
              </w:rPr>
              <w:t>8.72亩（折合5813.33m</w:t>
            </w:r>
            <w:r>
              <w:rPr>
                <w:rFonts w:hint="default" w:ascii="Times New Roman" w:hAnsi="Times New Roman" w:cs="Times New Roman"/>
                <w:highlight w:val="none"/>
                <w:vertAlign w:val="superscript"/>
                <w:lang w:val="en-US" w:eastAsia="zh-CN"/>
              </w:rPr>
              <w:t>2</w:t>
            </w:r>
            <w:r>
              <w:rPr>
                <w:rFonts w:hint="default" w:ascii="Times New Roman" w:hAnsi="Times New Roman" w:cs="Times New Roman"/>
                <w:highlight w:val="none"/>
                <w:vertAlign w:val="baseline"/>
                <w:lang w:val="en-US" w:eastAsia="zh-CN"/>
              </w:rPr>
              <w:t>）</w:t>
            </w:r>
            <w:r>
              <w:rPr>
                <w:rFonts w:hint="default" w:ascii="Times New Roman" w:hAnsi="Times New Roman" w:cs="Times New Roman"/>
                <w:highlight w:val="none"/>
              </w:rPr>
              <w:t>，总建筑面积</w:t>
            </w:r>
            <w:r>
              <w:rPr>
                <w:rFonts w:hint="default" w:ascii="Times New Roman" w:hAnsi="Times New Roman" w:cs="Times New Roman"/>
                <w:highlight w:val="none"/>
                <w:lang w:val="en-US" w:eastAsia="zh-CN"/>
              </w:rPr>
              <w:t>4000</w:t>
            </w:r>
            <w:r>
              <w:rPr>
                <w:rFonts w:hint="default" w:ascii="Times New Roman" w:hAnsi="Times New Roman" w:cs="Times New Roman"/>
                <w:highlight w:val="none"/>
              </w:rPr>
              <w:t>m</w:t>
            </w:r>
            <w:r>
              <w:rPr>
                <w:rFonts w:hint="default" w:ascii="Times New Roman" w:hAnsi="Times New Roman" w:cs="Times New Roman"/>
                <w:highlight w:val="none"/>
                <w:vertAlign w:val="superscript"/>
                <w:lang w:val="en-US" w:eastAsia="zh-CN"/>
              </w:rPr>
              <w:t>2</w:t>
            </w:r>
            <w:r>
              <w:rPr>
                <w:rFonts w:hint="default" w:ascii="Times New Roman" w:hAnsi="Times New Roman" w:cs="Times New Roman"/>
                <w:highlight w:val="none"/>
              </w:rPr>
              <w:t>，主要建设</w:t>
            </w:r>
            <w:r>
              <w:rPr>
                <w:rFonts w:hint="default" w:ascii="Times New Roman" w:hAnsi="Times New Roman" w:cs="Times New Roman"/>
                <w:highlight w:val="none"/>
                <w:lang w:val="en-US" w:eastAsia="zh-CN"/>
              </w:rPr>
              <w:t>香辣酱加工生产线、酱腌菜加工生产线</w:t>
            </w:r>
            <w:r>
              <w:rPr>
                <w:rFonts w:hint="eastAsia" w:ascii="Times New Roman" w:hAnsi="Times New Roman" w:cs="Times New Roman"/>
                <w:highlight w:val="none"/>
                <w:lang w:val="en-US" w:eastAsia="zh-CN"/>
              </w:rPr>
              <w:t>及相关</w:t>
            </w:r>
            <w:r>
              <w:rPr>
                <w:sz w:val="24"/>
              </w:rPr>
              <w:t>辅助工程、公用工程、环保工程</w:t>
            </w:r>
            <w:r>
              <w:rPr>
                <w:rFonts w:hint="eastAsia"/>
                <w:sz w:val="24"/>
              </w:rPr>
              <w:t>等</w:t>
            </w:r>
            <w:r>
              <w:rPr>
                <w:rFonts w:hint="eastAsia"/>
                <w:sz w:val="24"/>
                <w:lang w:eastAsia="zh-CN"/>
              </w:rPr>
              <w:t>，</w:t>
            </w:r>
            <w:r>
              <w:rPr>
                <w:rFonts w:hint="eastAsia"/>
                <w:sz w:val="24"/>
                <w:lang w:val="en-US" w:eastAsia="zh-CN"/>
              </w:rPr>
              <w:t>年加工</w:t>
            </w:r>
            <w:r>
              <w:rPr>
                <w:rFonts w:hint="eastAsia" w:ascii="宋体" w:hAnsi="宋体" w:eastAsia="宋体" w:cs="宋体"/>
                <w:color w:val="auto"/>
                <w:sz w:val="24"/>
                <w:szCs w:val="24"/>
                <w:highlight w:val="none"/>
                <w:lang w:val="en-US" w:eastAsia="zh-CN"/>
              </w:rPr>
              <w:t>香辣酱3000吨、酱腌菜200吨</w:t>
            </w:r>
            <w:r>
              <w:rPr>
                <w:rFonts w:hint="eastAsia" w:ascii="宋体" w:hAnsi="宋体" w:eastAsia="宋体" w:cs="宋体"/>
                <w:sz w:val="24"/>
                <w:szCs w:val="24"/>
                <w:lang w:eastAsia="zh-CN"/>
              </w:rPr>
              <w:t>。</w:t>
            </w:r>
          </w:p>
          <w:p>
            <w:pPr>
              <w:spacing w:line="360" w:lineRule="auto"/>
              <w:ind w:firstLine="240" w:firstLineChars="100"/>
              <w:rPr>
                <w:rFonts w:hint="eastAsia" w:ascii="宋体" w:hAnsi="宋体" w:eastAsia="宋体" w:cs="宋体"/>
                <w:color w:val="auto"/>
                <w:sz w:val="24"/>
                <w:szCs w:val="22"/>
              </w:rPr>
            </w:pPr>
            <w:r>
              <w:rPr>
                <w:rFonts w:hint="eastAsia" w:ascii="宋体" w:hAnsi="宋体" w:eastAsia="宋体" w:cs="宋体"/>
                <w:color w:val="auto"/>
                <w:sz w:val="24"/>
                <w:szCs w:val="22"/>
              </w:rPr>
              <w:t>（7）建设工期：</w:t>
            </w:r>
            <w:r>
              <w:rPr>
                <w:rFonts w:hint="eastAsia" w:ascii="Times New Roman" w:hAnsi="宋体" w:eastAsia="宋体" w:cs="Times New Roman"/>
                <w:color w:val="auto"/>
                <w:sz w:val="24"/>
                <w:u w:val="none"/>
                <w:lang w:val="en-US" w:eastAsia="zh-CN"/>
              </w:rPr>
              <w:t>1个月。</w:t>
            </w:r>
          </w:p>
          <w:p>
            <w:pPr>
              <w:spacing w:line="360" w:lineRule="auto"/>
              <w:ind w:firstLine="210" w:firstLineChars="100"/>
              <w:rPr>
                <w:rFonts w:hint="eastAsia" w:ascii="宋体" w:hAnsi="宋体" w:eastAsia="宋体" w:cs="宋体"/>
                <w:color w:val="auto"/>
                <w:sz w:val="32"/>
                <w:szCs w:val="32"/>
                <w:u w:val="none"/>
              </w:rPr>
            </w:pPr>
            <w:r>
              <w:rPr>
                <w:rFonts w:hint="eastAsia" w:ascii="宋体" w:hAnsi="宋体" w:eastAsia="宋体" w:cs="宋体"/>
                <w:color w:val="auto"/>
              </w:rPr>
              <w:t>（8）劳动定员：</w:t>
            </w:r>
            <w:r>
              <w:rPr>
                <w:rFonts w:hint="eastAsia" w:ascii="Times New Roman" w:hAnsi="Times New Roman" w:eastAsia="宋体" w:cs="Times New Roman"/>
                <w:color w:val="auto"/>
                <w:sz w:val="24"/>
                <w:szCs w:val="24"/>
                <w:highlight w:val="none"/>
                <w:u w:val="none" w:color="auto"/>
                <w:lang w:val="en-US" w:eastAsia="zh-CN"/>
              </w:rPr>
              <w:t>本项目</w:t>
            </w:r>
            <w:r>
              <w:rPr>
                <w:rFonts w:hint="default" w:ascii="Times New Roman" w:hAnsi="Times New Roman" w:cs="Times New Roman"/>
                <w:highlight w:val="none"/>
              </w:rPr>
              <w:t>劳动定员</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人，全年生产</w:t>
            </w:r>
            <w:r>
              <w:rPr>
                <w:rFonts w:hint="default" w:ascii="Times New Roman" w:hAnsi="Times New Roman" w:cs="Times New Roman"/>
                <w:highlight w:val="none"/>
                <w:lang w:val="en-US" w:eastAsia="zh-CN"/>
              </w:rPr>
              <w:t>290</w:t>
            </w:r>
            <w:r>
              <w:rPr>
                <w:rFonts w:hint="default" w:ascii="Times New Roman" w:hAnsi="Times New Roman" w:cs="Times New Roman"/>
                <w:highlight w:val="none"/>
              </w:rPr>
              <w:t>天，</w:t>
            </w:r>
            <w:r>
              <w:rPr>
                <w:rFonts w:hint="default" w:ascii="Times New Roman" w:hAnsi="Times New Roman" w:cs="Times New Roman"/>
                <w:highlight w:val="none"/>
                <w:lang w:val="en-US" w:eastAsia="zh-CN"/>
              </w:rPr>
              <w:t>1班制，工作时间为8：00~12：00和14：00~18：00</w:t>
            </w:r>
            <w:r>
              <w:rPr>
                <w:rFonts w:hint="eastAsia" w:ascii="Times New Roman" w:hAnsi="Times New Roman" w:cs="Times New Roman"/>
                <w:highlight w:val="none"/>
                <w:lang w:val="en-US" w:eastAsia="zh-CN"/>
              </w:rPr>
              <w:t>，厂内无食宿</w:t>
            </w:r>
            <w:r>
              <w:rPr>
                <w:rFonts w:hint="eastAsia" w:ascii="Times New Roman" w:hAnsi="Times New Roman" w:eastAsia="宋体" w:cs="Times New Roman"/>
                <w:color w:val="auto"/>
                <w:sz w:val="24"/>
                <w:szCs w:val="24"/>
                <w:highlight w:val="none"/>
                <w:u w:val="none" w:color="auto"/>
                <w:lang w:val="en-US" w:eastAsia="zh-CN"/>
              </w:rPr>
              <w:t>。</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3" w:hRule="atLeast"/>
        </w:trPr>
        <w:tc>
          <w:tcPr>
            <w:tcW w:w="13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Style w:val="17"/>
                <w:rFonts w:hint="eastAsia" w:ascii="宋体" w:hAnsi="宋体" w:eastAsia="宋体" w:cs="宋体"/>
                <w:color w:val="auto"/>
                <w:sz w:val="32"/>
                <w:szCs w:val="32"/>
                <w:u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宋体" w:hAnsi="宋体" w:eastAsia="宋体" w:cs="宋体"/>
                <w:color w:val="auto"/>
                <w:sz w:val="32"/>
                <w:szCs w:val="32"/>
                <w:u w:val="none"/>
              </w:rPr>
            </w:pPr>
            <w:r>
              <w:rPr>
                <w:rStyle w:val="17"/>
                <w:rFonts w:hint="eastAsia" w:ascii="宋体" w:hAnsi="宋体" w:eastAsia="宋体" w:cs="宋体"/>
                <w:color w:val="auto"/>
                <w:sz w:val="32"/>
                <w:szCs w:val="32"/>
                <w:u w:val="none"/>
              </w:rPr>
              <w:t>主要环境影响及预防或者减轻不良环境影响的对策和措施</w:t>
            </w:r>
          </w:p>
        </w:tc>
        <w:tc>
          <w:tcPr>
            <w:tcW w:w="74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tbl>
            <w:tblPr>
              <w:tblStyle w:val="15"/>
              <w:tblW w:w="7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3" w:type="dxa"/>
                <w:bottom w:w="0" w:type="dxa"/>
                <w:right w:w="23" w:type="dxa"/>
              </w:tblCellMar>
            </w:tblPr>
            <w:tblGrid>
              <w:gridCol w:w="1297"/>
              <w:gridCol w:w="1070"/>
              <w:gridCol w:w="1584"/>
              <w:gridCol w:w="1623"/>
              <w:gridCol w:w="1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12700</wp:posOffset>
                            </wp:positionV>
                            <wp:extent cx="804545" cy="553720"/>
                            <wp:effectExtent l="2540" t="3810" r="12065" b="13970"/>
                            <wp:wrapNone/>
                            <wp:docPr id="4" name="直接连接符 3"/>
                            <wp:cNvGraphicFramePr/>
                            <a:graphic xmlns:a="http://schemas.openxmlformats.org/drawingml/2006/main">
                              <a:graphicData uri="http://schemas.microsoft.com/office/word/2010/wordprocessingShape">
                                <wps:wsp>
                                  <wps:cNvCnPr/>
                                  <wps:spPr>
                                    <a:xfrm>
                                      <a:off x="0" y="0"/>
                                      <a:ext cx="804545" cy="553720"/>
                                    </a:xfrm>
                                    <a:prstGeom prst="line">
                                      <a:avLst/>
                                    </a:prstGeom>
                                    <a:noFill/>
                                    <a:ln w="6350" cap="flat" cmpd="sng" algn="ctr">
                                      <a:solidFill>
                                        <a:srgbClr val="000000"/>
                                      </a:solidFill>
                                      <a:prstDash val="solid"/>
                                      <a:miter lim="800000"/>
                                    </a:ln>
                                  </wps:spPr>
                                  <wps:bodyPr/>
                                </wps:wsp>
                              </a:graphicData>
                            </a:graphic>
                          </wp:anchor>
                        </w:drawing>
                      </mc:Choice>
                      <mc:Fallback>
                        <w:pict>
                          <v:line id="直接连接符 3" o:spid="_x0000_s1026" o:spt="20" style="position:absolute;left:0pt;margin-left:-4.15pt;margin-top:1pt;height:43.6pt;width:63.35pt;z-index:251659264;mso-width-relative:page;mso-height-relative:page;" filled="f" stroked="t" coordsize="21600,21600" o:gfxdata="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AXVRPV&#10;AAAABwEAAA8AAAAAAAAAAQAgAAAAIgAAAGRycy9kb3ducmV2LnhtbFBLAQIUABQAAAAIAIdO4kAS&#10;K8jx6gEAALUDAAAOAAAAAAAAAAEAIAAAACQBAABkcnMvZTJvRG9jLnhtbFBLBQYAAAAABgAGAFkB&#10;AACABQAAAAA=&#10;">
                            <v:fill on="f" focussize="0,0"/>
                            <v:stroke weight="0.5pt" color="#000000" miterlimit="8" joinstyle="miter"/>
                            <v:imagedata o:title=""/>
                            <o:lock v:ext="edit" aspectratio="f"/>
                          </v:line>
                        </w:pict>
                      </mc:Fallback>
                    </mc:AlternateContent>
                  </w:r>
                  <w:r>
                    <w:rPr>
                      <w:rFonts w:hint="default" w:ascii="Times New Roman" w:hAnsi="Times New Roman" w:cs="Times New Roman"/>
                      <w:color w:val="auto"/>
                      <w:highlight w:val="none"/>
                    </w:rPr>
                    <w:t xml:space="preserve">    内容</w:t>
                  </w:r>
                </w:p>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p>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类型</w:t>
                  </w:r>
                </w:p>
              </w:tc>
              <w:tc>
                <w:tcPr>
                  <w:tcW w:w="72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排放口（编号、名称）/污染源</w:t>
                  </w:r>
                </w:p>
              </w:tc>
              <w:tc>
                <w:tcPr>
                  <w:tcW w:w="107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污染物名称</w:t>
                  </w:r>
                </w:p>
              </w:tc>
              <w:tc>
                <w:tcPr>
                  <w:tcW w:w="1105"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环境保护措施</w:t>
                  </w:r>
                </w:p>
              </w:tc>
              <w:tc>
                <w:tcPr>
                  <w:tcW w:w="1204"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大气环境</w:t>
                  </w:r>
                </w:p>
              </w:tc>
              <w:tc>
                <w:tcPr>
                  <w:tcW w:w="728" w:type="pc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车间异味</w:t>
                  </w:r>
                </w:p>
              </w:tc>
              <w:tc>
                <w:tcPr>
                  <w:tcW w:w="1078" w:type="pc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臭气浓度</w:t>
                  </w:r>
                </w:p>
              </w:tc>
              <w:tc>
                <w:tcPr>
                  <w:tcW w:w="1105"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使用机械通风设施增加通风</w:t>
                  </w:r>
                </w:p>
              </w:tc>
              <w:tc>
                <w:tcPr>
                  <w:tcW w:w="1204"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厂界臭气浓度执行</w:t>
                  </w:r>
                  <w:r>
                    <w:rPr>
                      <w:rFonts w:hint="default" w:ascii="Times New Roman" w:hAnsi="Times New Roman" w:cs="Times New Roman"/>
                      <w:color w:val="auto"/>
                      <w:highlight w:val="none"/>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地表水环境</w:t>
                  </w:r>
                </w:p>
              </w:tc>
              <w:tc>
                <w:tcPr>
                  <w:tcW w:w="728" w:type="pc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highlight w:val="none"/>
                      <w:lang w:val="en-US" w:bidi="zh-CN"/>
                    </w:rPr>
                  </w:pPr>
                  <w:r>
                    <w:rPr>
                      <w:rFonts w:hint="default" w:ascii="Times New Roman" w:hAnsi="Times New Roman" w:cs="Times New Roman"/>
                      <w:highlight w:val="none"/>
                      <w:lang w:val="en-US" w:bidi="zh-CN"/>
                    </w:rPr>
                    <w:t>综合废水</w:t>
                  </w:r>
                </w:p>
              </w:tc>
              <w:tc>
                <w:tcPr>
                  <w:tcW w:w="1078" w:type="pct"/>
                  <w:tcMar>
                    <w:top w:w="0" w:type="dxa"/>
                    <w:left w:w="57" w:type="dxa"/>
                    <w:bottom w:w="0" w:type="dxa"/>
                    <w:right w:w="57" w:type="dxa"/>
                  </w:tcMar>
                  <w:vAlign w:val="center"/>
                </w:tcPr>
                <w:p>
                  <w:pPr>
                    <w:pStyle w:val="10"/>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eastAsia="宋体" w:cs="Times New Roman"/>
                      <w:b w:val="0"/>
                      <w:bCs/>
                      <w:highlight w:val="none"/>
                      <w:lang w:val="en-US" w:eastAsia="zh-CN"/>
                    </w:rPr>
                  </w:pPr>
                  <w:r>
                    <w:rPr>
                      <w:rFonts w:hint="default" w:ascii="Times New Roman" w:hAnsi="Times New Roman" w:cs="Times New Roman"/>
                      <w:b w:val="0"/>
                      <w:bCs/>
                      <w:highlight w:val="none"/>
                      <w:lang w:val="en-US" w:eastAsia="zh-CN"/>
                    </w:rPr>
                    <w:t>化学需氧量、氨氮、总氮、总磷</w:t>
                  </w:r>
                </w:p>
              </w:tc>
              <w:tc>
                <w:tcPr>
                  <w:tcW w:w="1105" w:type="pc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b w:val="0"/>
                      <w:bCs/>
                      <w:sz w:val="24"/>
                      <w:szCs w:val="24"/>
                      <w:highlight w:val="none"/>
                      <w:lang w:val="en-US" w:eastAsia="zh-CN"/>
                    </w:rPr>
                    <w:t>依托</w:t>
                  </w:r>
                  <w:r>
                    <w:rPr>
                      <w:rFonts w:hint="default" w:ascii="Times New Roman" w:hAnsi="Times New Roman" w:cs="Times New Roman"/>
                      <w:b w:val="0"/>
                      <w:bCs/>
                      <w:sz w:val="24"/>
                      <w:szCs w:val="24"/>
                      <w:highlight w:val="none"/>
                      <w:lang w:eastAsia="zh-CN"/>
                    </w:rPr>
                    <w:t>龙山工业集中区标准厂房(二期)项目污水处理站</w:t>
                  </w:r>
                  <w:r>
                    <w:rPr>
                      <w:rFonts w:hint="default" w:ascii="Times New Roman" w:hAnsi="Times New Roman" w:eastAsia="宋体" w:cs="Times New Roman"/>
                      <w:b w:val="0"/>
                      <w:bCs/>
                      <w:sz w:val="24"/>
                      <w:szCs w:val="24"/>
                      <w:highlight w:val="none"/>
                    </w:rPr>
                    <w:t>处理</w:t>
                  </w:r>
                </w:p>
              </w:tc>
              <w:tc>
                <w:tcPr>
                  <w:tcW w:w="1204" w:type="pc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highlight w:val="none"/>
                      <w:lang w:bidi="zh-CN"/>
                    </w:rPr>
                  </w:pPr>
                  <w:r>
                    <w:rPr>
                      <w:rFonts w:hint="default" w:ascii="Times New Roman" w:hAnsi="Times New Roman" w:eastAsia="宋体" w:cs="Times New Roman"/>
                      <w:b w:val="0"/>
                      <w:bCs/>
                      <w:sz w:val="24"/>
                      <w:szCs w:val="24"/>
                      <w:highlight w:val="none"/>
                    </w:rPr>
                    <w:t>《污水综合排放标准》(GB8978-1996)</w:t>
                  </w:r>
                  <w:r>
                    <w:rPr>
                      <w:rFonts w:hint="default" w:ascii="Times New Roman" w:hAnsi="Times New Roman" w:eastAsia="宋体" w:cs="Times New Roman"/>
                      <w:b w:val="0"/>
                      <w:bCs/>
                      <w:sz w:val="24"/>
                      <w:szCs w:val="24"/>
                      <w:highlight w:val="none"/>
                      <w:lang w:val="en-US" w:eastAsia="zh-CN"/>
                    </w:rPr>
                    <w:t>表4和</w:t>
                  </w:r>
                  <w:r>
                    <w:rPr>
                      <w:rFonts w:hint="default" w:ascii="Times New Roman" w:hAnsi="Times New Roman" w:cs="Times New Roman"/>
                      <w:sz w:val="24"/>
                      <w:szCs w:val="24"/>
                      <w:highlight w:val="none"/>
                    </w:rPr>
                    <w:t>《污水排入城镇下水道水质标准》</w:t>
                  </w:r>
                  <w:r>
                    <w:rPr>
                      <w:rFonts w:hint="default" w:ascii="Times New Roman" w:hAnsi="Times New Roman" w:cs="Times New Roman"/>
                      <w:sz w:val="24"/>
                      <w:szCs w:val="24"/>
                      <w:highlight w:val="none"/>
                      <w:lang w:eastAsia="zh-CN"/>
                    </w:rPr>
                    <w:t>（GB/T31962-2015）</w:t>
                  </w:r>
                  <w:r>
                    <w:rPr>
                      <w:rFonts w:hint="default" w:ascii="Times New Roman" w:hAnsi="Times New Roman" w:cs="Times New Roman"/>
                      <w:sz w:val="24"/>
                      <w:szCs w:val="24"/>
                      <w:highlight w:val="none"/>
                      <w:lang w:val="en-US" w:eastAsia="zh-CN"/>
                    </w:rPr>
                    <w:t>表1的标准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声环境</w:t>
                  </w:r>
                </w:p>
              </w:tc>
              <w:tc>
                <w:tcPr>
                  <w:tcW w:w="72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生产设备</w:t>
                  </w:r>
                </w:p>
              </w:tc>
              <w:tc>
                <w:tcPr>
                  <w:tcW w:w="107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噪声</w:t>
                  </w:r>
                </w:p>
              </w:tc>
              <w:tc>
                <w:tcPr>
                  <w:tcW w:w="1105"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减振、隔音</w:t>
                  </w:r>
                </w:p>
              </w:tc>
              <w:tc>
                <w:tcPr>
                  <w:tcW w:w="1204"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000000" w:themeColor="text1"/>
                      <w:highlight w:val="none"/>
                      <w14:textFill>
                        <w14:solidFill>
                          <w14:schemeClr w14:val="tx1"/>
                        </w14:solidFill>
                      </w14:textFill>
                    </w:rPr>
                    <w:t>厂界四周执行《工业企业厂界环境噪声排放标准》(GB12348-2008)中3类标准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电磁辐射</w:t>
                  </w:r>
                </w:p>
              </w:tc>
              <w:tc>
                <w:tcPr>
                  <w:tcW w:w="72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078"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105"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204"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固体废物</w:t>
                  </w:r>
                </w:p>
              </w:tc>
              <w:tc>
                <w:tcPr>
                  <w:tcW w:w="4116" w:type="pct"/>
                  <w:gridSpan w:val="4"/>
                  <w:tcMar>
                    <w:top w:w="0" w:type="dxa"/>
                    <w:left w:w="57" w:type="dxa"/>
                    <w:bottom w:w="0"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center"/>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本项目设置固废暂存间，面积约为5m</w:t>
                  </w:r>
                  <w:r>
                    <w:rPr>
                      <w:rFonts w:hint="default" w:ascii="Times New Roman" w:hAnsi="Times New Roman" w:eastAsia="宋体" w:cs="Times New Roman"/>
                      <w:b w:val="0"/>
                      <w:bCs/>
                      <w:sz w:val="24"/>
                      <w:szCs w:val="24"/>
                      <w:highlight w:val="none"/>
                      <w:vertAlign w:val="superscript"/>
                    </w:rPr>
                    <w:t>2</w:t>
                  </w:r>
                  <w:r>
                    <w:rPr>
                      <w:rFonts w:hint="default" w:ascii="Times New Roman" w:hAnsi="Times New Roman" w:eastAsia="宋体" w:cs="Times New Roman"/>
                      <w:b w:val="0"/>
                      <w:bCs/>
                      <w:sz w:val="24"/>
                      <w:szCs w:val="24"/>
                      <w:highlight w:val="none"/>
                    </w:rPr>
                    <w:t>，用于暂存不合格</w:t>
                  </w:r>
                  <w:r>
                    <w:rPr>
                      <w:rFonts w:hint="default" w:ascii="Times New Roman" w:hAnsi="Times New Roman" w:cs="Times New Roman"/>
                      <w:b w:val="0"/>
                      <w:bCs/>
                      <w:sz w:val="24"/>
                      <w:szCs w:val="24"/>
                      <w:highlight w:val="none"/>
                      <w:lang w:val="en-US" w:eastAsia="zh-CN"/>
                    </w:rPr>
                    <w:t>原料、不合格半成品、不合格产</w:t>
                  </w:r>
                  <w:r>
                    <w:rPr>
                      <w:rFonts w:hint="default" w:ascii="Times New Roman" w:hAnsi="Times New Roman" w:eastAsia="宋体" w:cs="Times New Roman"/>
                      <w:b w:val="0"/>
                      <w:bCs/>
                      <w:sz w:val="24"/>
                      <w:szCs w:val="24"/>
                      <w:highlight w:val="none"/>
                    </w:rPr>
                    <w:t>品、</w:t>
                  </w:r>
                  <w:r>
                    <w:rPr>
                      <w:rFonts w:hint="default" w:ascii="Times New Roman" w:hAnsi="Times New Roman" w:cs="Times New Roman"/>
                      <w:b w:val="0"/>
                      <w:bCs/>
                      <w:sz w:val="24"/>
                      <w:szCs w:val="24"/>
                      <w:highlight w:val="none"/>
                      <w:lang w:val="en-US" w:eastAsia="zh-CN"/>
                    </w:rPr>
                    <w:t>废包装材料</w:t>
                  </w:r>
                  <w:r>
                    <w:rPr>
                      <w:rFonts w:hint="default" w:ascii="Times New Roman" w:hAnsi="Times New Roman" w:eastAsia="宋体" w:cs="Times New Roman"/>
                      <w:b w:val="0"/>
                      <w:bCs/>
                      <w:sz w:val="24"/>
                      <w:szCs w:val="24"/>
                      <w:highlight w:val="none"/>
                    </w:rPr>
                    <w:t>等一般固废</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固废暂存间中设置独立封闭区域存放危险废物废紫外线灯管，一般固废和生活垃圾</w:t>
                  </w:r>
                  <w:r>
                    <w:rPr>
                      <w:rFonts w:hint="default" w:ascii="Times New Roman" w:hAnsi="Times New Roman" w:eastAsia="宋体" w:cs="Times New Roman"/>
                      <w:b w:val="0"/>
                      <w:bCs/>
                      <w:sz w:val="24"/>
                      <w:szCs w:val="24"/>
                      <w:highlight w:val="none"/>
                    </w:rPr>
                    <w:t>一并入园区垃圾箱，由城市环卫部门统一清运处置</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危险废物交由有资质的单位清运处置</w:t>
                  </w:r>
                  <w:r>
                    <w:rPr>
                      <w:rFonts w:hint="default" w:ascii="Times New Roman" w:hAnsi="Times New Roman" w:eastAsia="宋体" w:cs="Times New Roman"/>
                      <w:b w:val="0"/>
                      <w:bCs/>
                      <w:sz w:val="24"/>
                      <w:szCs w:val="24"/>
                      <w:highlight w:val="none"/>
                    </w:rPr>
                    <w:t>。</w:t>
                  </w:r>
                </w:p>
                <w:p>
                  <w:pPr>
                    <w:pStyle w:val="2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center"/>
                    <w:rPr>
                      <w:rFonts w:hint="default" w:ascii="Times New Roman" w:hAnsi="Times New Roman" w:cs="Times New Roman"/>
                      <w:color w:val="auto"/>
                      <w:highlight w:val="none"/>
                    </w:rPr>
                  </w:pPr>
                  <w:r>
                    <w:rPr>
                      <w:rFonts w:hint="default" w:ascii="Times New Roman" w:hAnsi="Times New Roman" w:eastAsia="宋体" w:cs="Times New Roman"/>
                      <w:b w:val="0"/>
                      <w:bCs/>
                      <w:sz w:val="24"/>
                      <w:szCs w:val="24"/>
                      <w:highlight w:val="none"/>
                    </w:rPr>
                    <w:t>综上所述，本项目各类固体废物经上述措施后，处置率达到100%，不会产生二次污染，项目不会对周围环境产生明显影响</w:t>
                  </w:r>
                  <w:r>
                    <w:rPr>
                      <w:rFonts w:hint="default" w:ascii="Times New Roman" w:hAnsi="Times New Roman" w:cs="Times New Roman"/>
                      <w:color w:val="auto"/>
                      <w:highlight w:val="none"/>
                    </w:rPr>
                    <w:t>。</w:t>
                  </w:r>
                </w:p>
                <w:p>
                  <w:pPr>
                    <w:pStyle w:val="22"/>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土壤及地下水污染防治措施</w:t>
                  </w:r>
                </w:p>
              </w:tc>
              <w:tc>
                <w:tcPr>
                  <w:tcW w:w="4116" w:type="pct"/>
                  <w:gridSpan w:val="4"/>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highlight w:val="none"/>
                    </w:rPr>
                  </w:pPr>
                  <w:r>
                    <w:rPr>
                      <w:rFonts w:hint="default" w:ascii="Times New Roman" w:hAnsi="Times New Roman" w:eastAsia="宋体" w:cs="Times New Roman"/>
                      <w:b w:val="0"/>
                      <w:bCs w:val="0"/>
                      <w:highlight w:val="none"/>
                    </w:rPr>
                    <w:t>污水处理系统、收集管道等等须做好地面硬化和防渗措施。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生态保护措施</w:t>
                  </w:r>
                </w:p>
              </w:tc>
              <w:tc>
                <w:tcPr>
                  <w:tcW w:w="4116" w:type="pct"/>
                  <w:gridSpan w:val="4"/>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环境风险管控措施</w:t>
                  </w:r>
                </w:p>
              </w:tc>
              <w:tc>
                <w:tcPr>
                  <w:tcW w:w="4116" w:type="pct"/>
                  <w:gridSpan w:val="4"/>
                  <w:tcMar>
                    <w:top w:w="0" w:type="dxa"/>
                    <w:left w:w="57" w:type="dxa"/>
                    <w:bottom w:w="0"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snapToGrid w:val="0"/>
                      <w:highlight w:val="none"/>
                      <w:lang w:val="en-US" w:eastAsia="zh-CN"/>
                    </w:rPr>
                  </w:pPr>
                  <w:r>
                    <w:rPr>
                      <w:rFonts w:hint="default" w:ascii="Times New Roman" w:hAnsi="Times New Roman" w:cs="Times New Roman"/>
                      <w:snapToGrid w:val="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3" w:type="dxa"/>
                  <w:bottom w:w="0" w:type="dxa"/>
                  <w:right w:w="23" w:type="dxa"/>
                </w:tblCellMar>
              </w:tblPrEx>
              <w:trPr>
                <w:trHeight w:val="1370" w:hRule="atLeast"/>
                <w:jc w:val="center"/>
              </w:trPr>
              <w:tc>
                <w:tcPr>
                  <w:tcW w:w="883" w:type="pct"/>
                  <w:tcMar>
                    <w:top w:w="0" w:type="dxa"/>
                    <w:left w:w="57" w:type="dxa"/>
                    <w:bottom w:w="0" w:type="dxa"/>
                    <w:right w:w="57" w:type="dxa"/>
                  </w:tcMar>
                  <w:vAlign w:val="center"/>
                </w:tcPr>
                <w:p>
                  <w:pPr>
                    <w:pStyle w:val="18"/>
                    <w:keepNext w:val="0"/>
                    <w:keepLines w:val="0"/>
                    <w:pageBreakBefore w:val="0"/>
                    <w:widowControl w:val="0"/>
                    <w:kinsoku/>
                    <w:wordWrap/>
                    <w:overflowPunct/>
                    <w:topLinePunct w:val="0"/>
                    <w:bidi w:val="0"/>
                    <w:adjustRightInd w:val="0"/>
                    <w:spacing w:line="24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其他环境管理要求</w:t>
                  </w:r>
                </w:p>
              </w:tc>
              <w:tc>
                <w:tcPr>
                  <w:tcW w:w="4116" w:type="pct"/>
                  <w:gridSpan w:val="4"/>
                  <w:tcMar>
                    <w:top w:w="0" w:type="dxa"/>
                    <w:left w:w="57" w:type="dxa"/>
                    <w:bottom w:w="0"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highlight w:val="none"/>
                    </w:rPr>
                    <w:t>1、本项目在建成营运之前，应当按照国家环境保护相关法律法规以及排污许可证申请与核发技术规范要求</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办理排污许可证</w:t>
                  </w:r>
                  <w:r>
                    <w:rPr>
                      <w:rFonts w:hint="default" w:ascii="Times New Roman" w:hAnsi="Times New Roman" w:cs="Times New Roman"/>
                      <w:color w:val="000000" w:themeColor="text1"/>
                      <w:highlight w:val="none"/>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cs="Times New Roman"/>
                      <w:highlight w:val="none"/>
                    </w:rPr>
                  </w:pPr>
                  <w:r>
                    <w:rPr>
                      <w:rFonts w:hint="default" w:ascii="Times New Roman" w:hAnsi="Times New Roman" w:cs="Times New Roman"/>
                      <w:highlight w:val="none"/>
                    </w:rPr>
                    <w:t>2、项目建设竣工后，在完成环境保护验收后方可正常生产营运</w:t>
                  </w:r>
                </w:p>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cs="Times New Roman"/>
                      <w:highlight w:val="none"/>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textAlignment w:val="center"/>
              <w:rPr>
                <w:rFonts w:hint="eastAsia" w:ascii="宋体" w:hAnsi="宋体" w:eastAsia="宋体" w:cs="宋体"/>
                <w:color w:val="auto"/>
                <w:sz w:val="32"/>
                <w:szCs w:val="3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TY0ZGJhNDEzNmIyMjg4NTljZjY5MzUwYjU5MDAifQ=="/>
  </w:docVars>
  <w:rsids>
    <w:rsidRoot w:val="0FA3211F"/>
    <w:rsid w:val="006D7CA0"/>
    <w:rsid w:val="04A34388"/>
    <w:rsid w:val="0AAF7279"/>
    <w:rsid w:val="0D3F08C2"/>
    <w:rsid w:val="0FA3211F"/>
    <w:rsid w:val="107240FA"/>
    <w:rsid w:val="1C4C6447"/>
    <w:rsid w:val="300818CC"/>
    <w:rsid w:val="33A83682"/>
    <w:rsid w:val="3D2500D0"/>
    <w:rsid w:val="49B45E64"/>
    <w:rsid w:val="4D812E59"/>
    <w:rsid w:val="590D5D3B"/>
    <w:rsid w:val="5B5C071E"/>
    <w:rsid w:val="669D2534"/>
    <w:rsid w:val="6E8C5BB4"/>
    <w:rsid w:val="729107CB"/>
    <w:rsid w:val="730B2970"/>
    <w:rsid w:val="77432868"/>
    <w:rsid w:val="797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00" w:after="200" w:line="240" w:lineRule="auto"/>
      <w:ind w:firstLine="0" w:firstLineChars="0"/>
      <w:outlineLvl w:val="1"/>
    </w:pPr>
    <w:rPr>
      <w:rFonts w:cs="Times New Roman"/>
      <w:b/>
      <w:bCs/>
      <w:sz w:val="30"/>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ind w:firstLine="420" w:firstLineChars="200"/>
    </w:pPr>
  </w:style>
  <w:style w:type="paragraph" w:customStyle="1" w:styleId="4">
    <w:name w:val="正文首行缩进2个字 Char"/>
    <w:basedOn w:val="1"/>
    <w:autoRedefine/>
    <w:qFormat/>
    <w:uiPriority w:val="0"/>
    <w:pPr>
      <w:ind w:firstLine="480" w:firstLineChars="200"/>
    </w:pPr>
    <w:rPr>
      <w:rFonts w:eastAsia="楷体"/>
      <w:sz w:val="24"/>
    </w:rPr>
  </w:style>
  <w:style w:type="paragraph" w:styleId="5">
    <w:name w:val="Body Text"/>
    <w:basedOn w:val="1"/>
    <w:next w:val="1"/>
    <w:autoRedefine/>
    <w:qFormat/>
    <w:uiPriority w:val="0"/>
    <w:pPr>
      <w:adjustRightInd w:val="0"/>
      <w:spacing w:line="312" w:lineRule="atLeast"/>
      <w:textAlignment w:val="baseline"/>
    </w:pPr>
    <w:rPr>
      <w:kern w:val="0"/>
      <w:szCs w:val="20"/>
    </w:rPr>
  </w:style>
  <w:style w:type="paragraph" w:styleId="6">
    <w:name w:val="Body Text Indent"/>
    <w:basedOn w:val="1"/>
    <w:next w:val="7"/>
    <w:autoRedefine/>
    <w:qFormat/>
    <w:uiPriority w:val="0"/>
    <w:pPr>
      <w:ind w:left="420" w:leftChars="200"/>
    </w:pPr>
  </w:style>
  <w:style w:type="paragraph" w:customStyle="1" w:styleId="7">
    <w:name w:val="样式 正文文本缩进 + 行距: 1.5 倍行距"/>
    <w:basedOn w:val="6"/>
    <w:autoRedefine/>
    <w:qFormat/>
    <w:uiPriority w:val="0"/>
    <w:pPr>
      <w:tabs>
        <w:tab w:val="left" w:pos="3600"/>
      </w:tabs>
      <w:spacing w:after="120" w:line="360" w:lineRule="auto"/>
      <w:ind w:left="90" w:leftChars="32" w:firstLine="560"/>
    </w:pPr>
    <w:rPr>
      <w:rFonts w:cs="宋体"/>
    </w:rPr>
  </w:style>
  <w:style w:type="paragraph" w:styleId="8">
    <w:name w:val="footer"/>
    <w:basedOn w:val="1"/>
    <w:qFormat/>
    <w:uiPriority w:val="99"/>
    <w:pPr>
      <w:tabs>
        <w:tab w:val="center" w:pos="4153"/>
        <w:tab w:val="right" w:pos="8306"/>
      </w:tabs>
      <w:jc w:val="left"/>
    </w:pPr>
    <w:rPr>
      <w:kern w:val="0"/>
      <w:sz w:val="18"/>
      <w:szCs w:val="20"/>
    </w:rPr>
  </w:style>
  <w:style w:type="paragraph" w:styleId="9">
    <w:name w:val="List"/>
    <w:basedOn w:val="1"/>
    <w:autoRedefine/>
    <w:qFormat/>
    <w:uiPriority w:val="0"/>
    <w:pPr>
      <w:ind w:left="200" w:hanging="200" w:hangingChars="200"/>
    </w:pPr>
  </w:style>
  <w:style w:type="paragraph" w:styleId="10">
    <w:name w:val="Body Text 2"/>
    <w:basedOn w:val="1"/>
    <w:next w:val="1"/>
    <w:autoRedefine/>
    <w:unhideWhenUsed/>
    <w:qFormat/>
    <w:uiPriority w:val="0"/>
    <w:rPr>
      <w:b/>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
    <w:qFormat/>
    <w:uiPriority w:val="0"/>
    <w:pPr>
      <w:ind w:firstLine="420" w:firstLineChars="100"/>
    </w:pPr>
  </w:style>
  <w:style w:type="paragraph" w:styleId="13">
    <w:name w:val="Body Text First Indent 2"/>
    <w:basedOn w:val="6"/>
    <w:next w:val="1"/>
    <w:qFormat/>
    <w:uiPriority w:val="0"/>
    <w:pPr>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basedOn w:val="19"/>
    <w:next w:val="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0">
    <w:name w:val="纯文本1"/>
    <w:basedOn w:val="1"/>
    <w:autoRedefine/>
    <w:qFormat/>
    <w:uiPriority w:val="0"/>
    <w:rPr>
      <w:rFonts w:hint="eastAsia" w:ascii="宋体" w:hAnsi="Courier New"/>
      <w:szCs w:val="24"/>
    </w:rPr>
  </w:style>
  <w:style w:type="paragraph" w:customStyle="1" w:styleId="21">
    <w:name w:val="Char11"/>
    <w:basedOn w:val="1"/>
    <w:qFormat/>
    <w:uiPriority w:val="0"/>
    <w:pPr>
      <w:spacing w:line="360" w:lineRule="auto"/>
      <w:ind w:firstLine="200" w:firstLineChars="200"/>
    </w:pPr>
    <w:rPr>
      <w:kern w:val="0"/>
      <w:sz w:val="24"/>
      <w:szCs w:val="20"/>
    </w:rPr>
  </w:style>
  <w:style w:type="paragraph" w:customStyle="1" w:styleId="22">
    <w:name w:val="正文2"/>
    <w:basedOn w:val="1"/>
    <w:autoRedefine/>
    <w:qFormat/>
    <w:uiPriority w:val="0"/>
    <w:pPr>
      <w:ind w:firstLine="200" w:firstLineChars="200"/>
      <w:jc w:val="both"/>
    </w:pPr>
  </w:style>
  <w:style w:type="paragraph" w:customStyle="1" w:styleId="23">
    <w:name w:val="表文字"/>
    <w:basedOn w:val="1"/>
    <w:next w:val="1"/>
    <w:autoRedefine/>
    <w:qFormat/>
    <w:uiPriority w:val="0"/>
    <w:pPr>
      <w:spacing w:line="240" w:lineRule="auto"/>
      <w:jc w:val="center"/>
    </w:pPr>
    <w:rPr>
      <w:sz w:val="21"/>
      <w:szCs w:val="21"/>
    </w:rPr>
  </w:style>
  <w:style w:type="paragraph" w:customStyle="1" w:styleId="24">
    <w:name w:val="表内文字"/>
    <w:qFormat/>
    <w:uiPriority w:val="99"/>
    <w:pPr>
      <w:wordWrap w:val="0"/>
      <w:adjustRightInd w:val="0"/>
      <w:snapToGrid w:val="0"/>
      <w:jc w:val="center"/>
    </w:pPr>
    <w:rPr>
      <w:rFonts w:ascii="Times New Roman" w:hAnsi="Times New Roman" w:eastAsia="宋体" w:cs="Times New Roman"/>
      <w:kern w:val="0"/>
      <w:sz w:val="21"/>
      <w:szCs w:val="21"/>
    </w:rPr>
  </w:style>
  <w:style w:type="paragraph" w:customStyle="1" w:styleId="25">
    <w:name w:val="表头李"/>
    <w:basedOn w:val="1"/>
    <w:next w:val="26"/>
    <w:autoRedefine/>
    <w:qFormat/>
    <w:uiPriority w:val="0"/>
    <w:pPr>
      <w:spacing w:line="240" w:lineRule="auto"/>
      <w:jc w:val="center"/>
    </w:pPr>
    <w:rPr>
      <w:rFonts w:hint="eastAsia" w:ascii="Times New Roman" w:hAnsi="Times New Roman" w:eastAsia="宋体" w:cs="Times New Roman"/>
      <w:b/>
      <w:bCs/>
      <w:sz w:val="21"/>
      <w:szCs w:val="21"/>
    </w:rPr>
  </w:style>
  <w:style w:type="paragraph" w:customStyle="1" w:styleId="26">
    <w:name w:val="表格"/>
    <w:basedOn w:val="9"/>
    <w:next w:val="1"/>
    <w:qFormat/>
    <w:uiPriority w:val="0"/>
    <w:pPr>
      <w:adjustRightInd w:val="0"/>
      <w:snapToGrid w:val="0"/>
      <w:spacing w:line="240" w:lineRule="auto"/>
      <w:ind w:left="0" w:firstLine="0" w:firstLineChars="0"/>
      <w:jc w:val="center"/>
    </w:pPr>
    <w:rPr>
      <w:rFonts w:ascii="Times New Roman" w:hAnsi="Times New Roman" w:eastAsia="宋体"/>
      <w:kern w:val="0"/>
      <w:szCs w:val="20"/>
    </w:rPr>
  </w:style>
  <w:style w:type="paragraph" w:customStyle="1" w:styleId="27">
    <w:name w:val="丽~表格"/>
    <w:basedOn w:val="1"/>
    <w:autoRedefine/>
    <w:qFormat/>
    <w:uiPriority w:val="0"/>
    <w:pPr>
      <w:spacing w:line="240" w:lineRule="auto"/>
      <w:ind w:firstLine="0" w:firstLineChars="0"/>
      <w:jc w:val="center"/>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1501</Words>
  <Characters>1614</Characters>
  <Lines>0</Lines>
  <Paragraphs>0</Paragraphs>
  <TotalTime>0</TotalTime>
  <ScaleCrop>false</ScaleCrop>
  <LinksUpToDate>false</LinksUpToDate>
  <CharactersWithSpaces>1635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2023-04-23T08:23:00Z</dcterms:created>
  <dc:creator>dell</dc:creator>
  <cp:lastModifiedBy>WPS_1651117964</cp:lastModifiedBy>
  <dcterms:modified xsi:type="dcterms:W3CDTF">2024-10-23T01:27:25Z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34F53C08A3D144B1B52FDCD24550470C_11</vt:lpwstr>
  </property>
</Properties>
</file>