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EF4B41F">
      <w:pPr>
        <w:pStyle w:val="11"/>
        <w:jc w:val="center"/>
        <w:rPr>
          <w:rFonts w:hint="eastAsia" w:eastAsia="宋体"/>
          <w:lang w:eastAsia="zh-CN"/>
        </w:rPr>
        <w:sectPr>
          <w:footerReference r:id="rId3" w:type="default"/>
          <w:pgSz w:w="11906" w:h="16838"/>
          <w:pgMar w:top="720" w:right="720" w:bottom="720" w:left="720"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eastAsia="宋体"/>
          <w:lang w:eastAsia="zh-CN"/>
        </w:rPr>
        <w:drawing>
          <wp:inline distT="0" distB="0" distL="114300" distR="114300">
            <wp:extent cx="6489065" cy="9391015"/>
            <wp:effectExtent l="0" t="0" r="6985" b="635"/>
            <wp:docPr id="13" name="图片 13" descr="扫描全能王 2025-01-07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扫描全能王 2025-01-07 08"/>
                    <pic:cNvPicPr>
                      <a:picLocks noChangeAspect="1"/>
                    </pic:cNvPicPr>
                  </pic:nvPicPr>
                  <pic:blipFill>
                    <a:blip r:embed="rId9"/>
                    <a:stretch>
                      <a:fillRect/>
                    </a:stretch>
                  </pic:blipFill>
                  <pic:spPr>
                    <a:xfrm>
                      <a:off x="0" y="0"/>
                      <a:ext cx="6489065" cy="9391015"/>
                    </a:xfrm>
                    <a:prstGeom prst="rect">
                      <a:avLst/>
                    </a:prstGeom>
                  </pic:spPr>
                </pic:pic>
              </a:graphicData>
            </a:graphic>
          </wp:inline>
        </w:drawing>
      </w:r>
      <w:r>
        <w:rPr>
          <w:rFonts w:hint="eastAsia" w:eastAsia="宋体"/>
          <w:lang w:eastAsia="zh-CN"/>
        </w:rPr>
        <w:drawing>
          <wp:inline distT="0" distB="0" distL="114300" distR="114300">
            <wp:extent cx="6196965" cy="9290685"/>
            <wp:effectExtent l="0" t="0" r="13335" b="5715"/>
            <wp:docPr id="12" name="图片 12" descr="扫描全能王 2025-01-07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扫描全能王 2025-01-07 09"/>
                    <pic:cNvPicPr>
                      <a:picLocks noChangeAspect="1"/>
                    </pic:cNvPicPr>
                  </pic:nvPicPr>
                  <pic:blipFill>
                    <a:blip r:embed="rId10"/>
                    <a:stretch>
                      <a:fillRect/>
                    </a:stretch>
                  </pic:blipFill>
                  <pic:spPr>
                    <a:xfrm>
                      <a:off x="0" y="0"/>
                      <a:ext cx="6196965" cy="9290685"/>
                    </a:xfrm>
                    <a:prstGeom prst="rect">
                      <a:avLst/>
                    </a:prstGeom>
                  </pic:spPr>
                </pic:pic>
              </a:graphicData>
            </a:graphic>
          </wp:inline>
        </w:drawing>
      </w:r>
      <w:r>
        <w:rPr>
          <w:rFonts w:hint="eastAsia" w:eastAsia="宋体"/>
          <w:lang w:eastAsia="zh-CN"/>
        </w:rPr>
        <w:drawing>
          <wp:inline distT="0" distB="0" distL="114300" distR="114300">
            <wp:extent cx="6289675" cy="9368155"/>
            <wp:effectExtent l="0" t="0" r="15875" b="4445"/>
            <wp:docPr id="11" name="图片 11" descr="扫描全能王 2025-01-07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扫描全能王 2025-01-07 10"/>
                    <pic:cNvPicPr>
                      <a:picLocks noChangeAspect="1"/>
                    </pic:cNvPicPr>
                  </pic:nvPicPr>
                  <pic:blipFill>
                    <a:blip r:embed="rId11"/>
                    <a:stretch>
                      <a:fillRect/>
                    </a:stretch>
                  </pic:blipFill>
                  <pic:spPr>
                    <a:xfrm>
                      <a:off x="0" y="0"/>
                      <a:ext cx="6289675" cy="9368155"/>
                    </a:xfrm>
                    <a:prstGeom prst="rect">
                      <a:avLst/>
                    </a:prstGeom>
                  </pic:spPr>
                </pic:pic>
              </a:graphicData>
            </a:graphic>
          </wp:inline>
        </w:drawing>
      </w:r>
      <w:r>
        <w:rPr>
          <w:rFonts w:hint="eastAsia" w:eastAsia="宋体"/>
          <w:lang w:eastAsia="zh-CN"/>
        </w:rPr>
        <w:drawing>
          <wp:inline distT="0" distB="0" distL="114300" distR="114300">
            <wp:extent cx="6294755" cy="9273540"/>
            <wp:effectExtent l="0" t="0" r="10795" b="3810"/>
            <wp:docPr id="14" name="图片 14" descr="扫描全能王 2025-01-07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扫描全能王 2025-01-07 16"/>
                    <pic:cNvPicPr>
                      <a:picLocks noChangeAspect="1"/>
                    </pic:cNvPicPr>
                  </pic:nvPicPr>
                  <pic:blipFill>
                    <a:blip r:embed="rId12"/>
                    <a:stretch>
                      <a:fillRect/>
                    </a:stretch>
                  </pic:blipFill>
                  <pic:spPr>
                    <a:xfrm>
                      <a:off x="0" y="0"/>
                      <a:ext cx="6294755" cy="9273540"/>
                    </a:xfrm>
                    <a:prstGeom prst="rect">
                      <a:avLst/>
                    </a:prstGeom>
                  </pic:spPr>
                </pic:pic>
              </a:graphicData>
            </a:graphic>
          </wp:inline>
        </w:drawing>
      </w:r>
      <w:r>
        <w:rPr>
          <w:rFonts w:hint="eastAsia" w:eastAsia="宋体"/>
          <w:lang w:eastAsia="zh-CN"/>
        </w:rPr>
        <w:drawing>
          <wp:inline distT="0" distB="0" distL="114300" distR="114300">
            <wp:extent cx="5786120" cy="8549005"/>
            <wp:effectExtent l="0" t="0" r="5080" b="4445"/>
            <wp:docPr id="15" name="图片 15" descr="扫描全能王 2025-01-07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扫描全能王 2025-01-07 17"/>
                    <pic:cNvPicPr>
                      <a:picLocks noChangeAspect="1"/>
                    </pic:cNvPicPr>
                  </pic:nvPicPr>
                  <pic:blipFill>
                    <a:blip r:embed="rId13"/>
                    <a:stretch>
                      <a:fillRect/>
                    </a:stretch>
                  </pic:blipFill>
                  <pic:spPr>
                    <a:xfrm>
                      <a:off x="0" y="0"/>
                      <a:ext cx="5786120" cy="8549005"/>
                    </a:xfrm>
                    <a:prstGeom prst="rect">
                      <a:avLst/>
                    </a:prstGeom>
                  </pic:spPr>
                </pic:pic>
              </a:graphicData>
            </a:graphic>
          </wp:inline>
        </w:drawing>
      </w:r>
      <w:r>
        <w:rPr>
          <w:rFonts w:hint="eastAsia" w:eastAsia="宋体"/>
          <w:lang w:eastAsia="zh-CN"/>
        </w:rPr>
        <w:drawing>
          <wp:inline distT="0" distB="0" distL="114300" distR="114300">
            <wp:extent cx="5613400" cy="8382635"/>
            <wp:effectExtent l="0" t="0" r="6350" b="18415"/>
            <wp:docPr id="10" name="图片 10" descr="扫描全能王 2025-01-07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扫描全能王 2025-01-07 11"/>
                    <pic:cNvPicPr>
                      <a:picLocks noChangeAspect="1"/>
                    </pic:cNvPicPr>
                  </pic:nvPicPr>
                  <pic:blipFill>
                    <a:blip r:embed="rId14"/>
                    <a:stretch>
                      <a:fillRect/>
                    </a:stretch>
                  </pic:blipFill>
                  <pic:spPr>
                    <a:xfrm>
                      <a:off x="0" y="0"/>
                      <a:ext cx="5613400" cy="8382635"/>
                    </a:xfrm>
                    <a:prstGeom prst="rect">
                      <a:avLst/>
                    </a:prstGeom>
                  </pic:spPr>
                </pic:pic>
              </a:graphicData>
            </a:graphic>
          </wp:inline>
        </w:drawing>
      </w:r>
      <w:r>
        <w:rPr>
          <w:rFonts w:hint="eastAsia" w:eastAsia="宋体"/>
          <w:lang w:eastAsia="zh-CN"/>
        </w:rPr>
        <w:drawing>
          <wp:inline distT="0" distB="0" distL="114300" distR="114300">
            <wp:extent cx="5610225" cy="8307705"/>
            <wp:effectExtent l="0" t="0" r="9525" b="17145"/>
            <wp:docPr id="9" name="图片 9" descr="扫描全能王 2025-01-07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扫描全能王 2025-01-07 12"/>
                    <pic:cNvPicPr>
                      <a:picLocks noChangeAspect="1"/>
                    </pic:cNvPicPr>
                  </pic:nvPicPr>
                  <pic:blipFill>
                    <a:blip r:embed="rId15"/>
                    <a:stretch>
                      <a:fillRect/>
                    </a:stretch>
                  </pic:blipFill>
                  <pic:spPr>
                    <a:xfrm>
                      <a:off x="0" y="0"/>
                      <a:ext cx="5610225" cy="8307705"/>
                    </a:xfrm>
                    <a:prstGeom prst="rect">
                      <a:avLst/>
                    </a:prstGeom>
                  </pic:spPr>
                </pic:pic>
              </a:graphicData>
            </a:graphic>
          </wp:inline>
        </w:drawing>
      </w:r>
      <w:r>
        <w:rPr>
          <w:rFonts w:hint="eastAsia" w:eastAsia="宋体"/>
          <w:lang w:eastAsia="zh-CN"/>
        </w:rPr>
        <w:drawing>
          <wp:inline distT="0" distB="0" distL="114300" distR="114300">
            <wp:extent cx="5781675" cy="8549640"/>
            <wp:effectExtent l="0" t="0" r="9525" b="3810"/>
            <wp:docPr id="8" name="图片 8" descr="扫描全能王 2025-01-07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扫描全能王 2025-01-07 13"/>
                    <pic:cNvPicPr>
                      <a:picLocks noChangeAspect="1"/>
                    </pic:cNvPicPr>
                  </pic:nvPicPr>
                  <pic:blipFill>
                    <a:blip r:embed="rId16"/>
                    <a:stretch>
                      <a:fillRect/>
                    </a:stretch>
                  </pic:blipFill>
                  <pic:spPr>
                    <a:xfrm>
                      <a:off x="0" y="0"/>
                      <a:ext cx="5781675" cy="8549640"/>
                    </a:xfrm>
                    <a:prstGeom prst="rect">
                      <a:avLst/>
                    </a:prstGeom>
                  </pic:spPr>
                </pic:pic>
              </a:graphicData>
            </a:graphic>
          </wp:inline>
        </w:drawing>
      </w:r>
      <w:r>
        <w:rPr>
          <w:rFonts w:hint="eastAsia" w:eastAsia="宋体"/>
          <w:lang w:eastAsia="zh-CN"/>
        </w:rPr>
        <w:drawing>
          <wp:inline distT="0" distB="0" distL="114300" distR="114300">
            <wp:extent cx="5610225" cy="8190230"/>
            <wp:effectExtent l="0" t="0" r="9525" b="1270"/>
            <wp:docPr id="7" name="图片 7" descr="扫描全能王 2025-01-07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扫描全能王 2025-01-07 14"/>
                    <pic:cNvPicPr>
                      <a:picLocks noChangeAspect="1"/>
                    </pic:cNvPicPr>
                  </pic:nvPicPr>
                  <pic:blipFill>
                    <a:blip r:embed="rId17"/>
                    <a:stretch>
                      <a:fillRect/>
                    </a:stretch>
                  </pic:blipFill>
                  <pic:spPr>
                    <a:xfrm>
                      <a:off x="0" y="0"/>
                      <a:ext cx="5610225" cy="8190230"/>
                    </a:xfrm>
                    <a:prstGeom prst="rect">
                      <a:avLst/>
                    </a:prstGeom>
                  </pic:spPr>
                </pic:pic>
              </a:graphicData>
            </a:graphic>
          </wp:inline>
        </w:drawing>
      </w:r>
      <w:r>
        <w:rPr>
          <w:rFonts w:hint="eastAsia" w:eastAsia="宋体"/>
          <w:lang w:eastAsia="zh-CN"/>
        </w:rPr>
        <w:drawing>
          <wp:inline distT="0" distB="0" distL="114300" distR="114300">
            <wp:extent cx="5610860" cy="8404225"/>
            <wp:effectExtent l="0" t="0" r="8890" b="15875"/>
            <wp:docPr id="6" name="图片 6" descr="扫描全能王 2025-01-07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扫描全能王 2025-01-07 15"/>
                    <pic:cNvPicPr>
                      <a:picLocks noChangeAspect="1"/>
                    </pic:cNvPicPr>
                  </pic:nvPicPr>
                  <pic:blipFill>
                    <a:blip r:embed="rId18"/>
                    <a:stretch>
                      <a:fillRect/>
                    </a:stretch>
                  </pic:blipFill>
                  <pic:spPr>
                    <a:xfrm>
                      <a:off x="0" y="0"/>
                      <a:ext cx="5610860" cy="8404225"/>
                    </a:xfrm>
                    <a:prstGeom prst="rect">
                      <a:avLst/>
                    </a:prstGeom>
                  </pic:spPr>
                </pic:pic>
              </a:graphicData>
            </a:graphic>
          </wp:inline>
        </w:drawing>
      </w:r>
      <w:bookmarkStart w:id="108" w:name="_GoBack"/>
      <w:r>
        <w:rPr>
          <w:rFonts w:hint="eastAsia" w:eastAsia="宋体"/>
          <w:lang w:eastAsia="zh-CN"/>
        </w:rPr>
        <w:drawing>
          <wp:inline distT="0" distB="0" distL="114300" distR="114300">
            <wp:extent cx="6125210" cy="8435975"/>
            <wp:effectExtent l="0" t="0" r="8890" b="3175"/>
            <wp:docPr id="2" name="图片 2" descr="扫描全能王 2025-01-07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扫描全能王 2025-01-07 19"/>
                    <pic:cNvPicPr>
                      <a:picLocks noChangeAspect="1"/>
                    </pic:cNvPicPr>
                  </pic:nvPicPr>
                  <pic:blipFill>
                    <a:blip r:embed="rId19"/>
                    <a:stretch>
                      <a:fillRect/>
                    </a:stretch>
                  </pic:blipFill>
                  <pic:spPr>
                    <a:xfrm>
                      <a:off x="0" y="0"/>
                      <a:ext cx="6125210" cy="8435975"/>
                    </a:xfrm>
                    <a:prstGeom prst="rect">
                      <a:avLst/>
                    </a:prstGeom>
                  </pic:spPr>
                </pic:pic>
              </a:graphicData>
            </a:graphic>
          </wp:inline>
        </w:drawing>
      </w:r>
      <w:bookmarkEnd w:id="108"/>
    </w:p>
    <w:p w14:paraId="7BC0F5B8">
      <w:pPr>
        <w:pStyle w:val="11"/>
        <w:jc w:val="center"/>
        <w:rPr>
          <w:rFonts w:hint="eastAsia" w:eastAsia="宋体"/>
          <w:lang w:eastAsia="zh-CN"/>
        </w:rPr>
        <w:sectPr>
          <w:pgSz w:w="16838" w:h="11906" w:orient="landscape"/>
          <w:pgMar w:top="720" w:right="720" w:bottom="720" w:left="720"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eastAsia="宋体"/>
          <w:lang w:eastAsia="zh-CN"/>
        </w:rPr>
        <w:drawing>
          <wp:inline distT="0" distB="0" distL="114300" distR="114300">
            <wp:extent cx="8878570" cy="5556885"/>
            <wp:effectExtent l="0" t="0" r="17780" b="5715"/>
            <wp:docPr id="1" name="图片 1" descr="1735889810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735889810939"/>
                    <pic:cNvPicPr>
                      <a:picLocks noChangeAspect="1"/>
                    </pic:cNvPicPr>
                  </pic:nvPicPr>
                  <pic:blipFill>
                    <a:blip r:embed="rId20"/>
                    <a:stretch>
                      <a:fillRect/>
                    </a:stretch>
                  </pic:blipFill>
                  <pic:spPr>
                    <a:xfrm>
                      <a:off x="0" y="0"/>
                      <a:ext cx="8878570" cy="5556885"/>
                    </a:xfrm>
                    <a:prstGeom prst="rect">
                      <a:avLst/>
                    </a:prstGeom>
                  </pic:spPr>
                </pic:pic>
              </a:graphicData>
            </a:graphic>
          </wp:inline>
        </w:drawing>
      </w:r>
    </w:p>
    <w:p w14:paraId="623A60D3">
      <w:pPr>
        <w:rPr>
          <w:rFonts w:hint="eastAsia"/>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45C6B5A5">
      <w:pPr>
        <w:pStyle w:val="11"/>
        <w:spacing w:line="360" w:lineRule="auto"/>
        <w:jc w:val="center"/>
        <w:rPr>
          <w:b/>
          <w:bCs/>
          <w:color w:val="auto"/>
          <w:sz w:val="28"/>
          <w:szCs w:val="28"/>
        </w:rPr>
      </w:pPr>
      <w:r>
        <w:rPr>
          <w:b/>
          <w:bCs/>
          <w:color w:val="auto"/>
          <w:sz w:val="28"/>
          <w:szCs w:val="28"/>
        </w:rPr>
        <w:t>目</w:t>
      </w:r>
      <w:r>
        <w:rPr>
          <w:rFonts w:hint="eastAsia"/>
          <w:b/>
          <w:bCs/>
          <w:color w:val="auto"/>
          <w:sz w:val="28"/>
          <w:szCs w:val="28"/>
        </w:rPr>
        <w:t xml:space="preserve">  </w:t>
      </w:r>
      <w:r>
        <w:rPr>
          <w:b/>
          <w:bCs/>
          <w:color w:val="auto"/>
          <w:sz w:val="28"/>
          <w:szCs w:val="28"/>
        </w:rPr>
        <w:t>录</w:t>
      </w:r>
    </w:p>
    <w:p w14:paraId="47A174BC">
      <w:pPr>
        <w:pStyle w:val="20"/>
        <w:tabs>
          <w:tab w:val="right" w:leader="dot" w:pos="9072"/>
        </w:tabs>
        <w:spacing w:line="360" w:lineRule="auto"/>
        <w:rPr>
          <w:sz w:val="28"/>
          <w:szCs w:val="28"/>
        </w:rPr>
      </w:pPr>
      <w:r>
        <w:rPr>
          <w:color w:val="auto"/>
          <w:sz w:val="28"/>
          <w:szCs w:val="28"/>
        </w:rPr>
        <w:fldChar w:fldCharType="begin"/>
      </w:r>
      <w:r>
        <w:rPr>
          <w:color w:val="auto"/>
          <w:sz w:val="28"/>
          <w:szCs w:val="28"/>
        </w:rPr>
        <w:instrText xml:space="preserve">TOC \o "1-3" \t "" \h \z \u </w:instrText>
      </w:r>
      <w:r>
        <w:rPr>
          <w:color w:val="auto"/>
          <w:sz w:val="28"/>
          <w:szCs w:val="28"/>
        </w:rPr>
        <w:fldChar w:fldCharType="separate"/>
      </w:r>
      <w:r>
        <w:rPr>
          <w:color w:val="auto"/>
          <w:sz w:val="28"/>
          <w:szCs w:val="28"/>
        </w:rPr>
        <w:fldChar w:fldCharType="begin"/>
      </w:r>
      <w:r>
        <w:rPr>
          <w:sz w:val="28"/>
          <w:szCs w:val="28"/>
        </w:rPr>
        <w:instrText xml:space="preserve"> HYPERLINK \l _Toc22344 </w:instrText>
      </w:r>
      <w:r>
        <w:rPr>
          <w:sz w:val="28"/>
          <w:szCs w:val="28"/>
        </w:rPr>
        <w:fldChar w:fldCharType="separate"/>
      </w:r>
      <w:r>
        <w:rPr>
          <w:rFonts w:hint="eastAsia" w:ascii="Times New Roman" w:hAnsi="Times New Roman" w:eastAsia="黑体"/>
          <w:snapToGrid w:val="0"/>
          <w:sz w:val="28"/>
          <w:szCs w:val="28"/>
        </w:rPr>
        <w:t>一、建设项目基本情况</w:t>
      </w:r>
      <w:r>
        <w:rPr>
          <w:sz w:val="28"/>
          <w:szCs w:val="28"/>
        </w:rPr>
        <w:tab/>
      </w:r>
      <w:r>
        <w:rPr>
          <w:sz w:val="28"/>
          <w:szCs w:val="28"/>
        </w:rPr>
        <w:fldChar w:fldCharType="begin"/>
      </w:r>
      <w:r>
        <w:rPr>
          <w:sz w:val="28"/>
          <w:szCs w:val="28"/>
        </w:rPr>
        <w:instrText xml:space="preserve"> PAGEREF _Toc22344 \h </w:instrText>
      </w:r>
      <w:r>
        <w:rPr>
          <w:sz w:val="28"/>
          <w:szCs w:val="28"/>
        </w:rPr>
        <w:fldChar w:fldCharType="separate"/>
      </w:r>
      <w:r>
        <w:rPr>
          <w:sz w:val="28"/>
          <w:szCs w:val="28"/>
        </w:rPr>
        <w:t>1</w:t>
      </w:r>
      <w:r>
        <w:rPr>
          <w:sz w:val="28"/>
          <w:szCs w:val="28"/>
        </w:rPr>
        <w:fldChar w:fldCharType="end"/>
      </w:r>
      <w:r>
        <w:rPr>
          <w:color w:val="auto"/>
          <w:sz w:val="28"/>
          <w:szCs w:val="28"/>
        </w:rPr>
        <w:fldChar w:fldCharType="end"/>
      </w:r>
    </w:p>
    <w:p w14:paraId="6983C1FE">
      <w:pPr>
        <w:pStyle w:val="20"/>
        <w:tabs>
          <w:tab w:val="right" w:leader="dot" w:pos="9072"/>
        </w:tabs>
        <w:spacing w:line="360" w:lineRule="auto"/>
        <w:rPr>
          <w:sz w:val="28"/>
          <w:szCs w:val="28"/>
        </w:rPr>
      </w:pPr>
      <w:r>
        <w:rPr>
          <w:color w:val="auto"/>
          <w:sz w:val="28"/>
          <w:szCs w:val="28"/>
        </w:rPr>
        <w:fldChar w:fldCharType="begin"/>
      </w:r>
      <w:r>
        <w:rPr>
          <w:sz w:val="28"/>
          <w:szCs w:val="28"/>
        </w:rPr>
        <w:instrText xml:space="preserve"> HYPERLINK \l _Toc10330 </w:instrText>
      </w:r>
      <w:r>
        <w:rPr>
          <w:sz w:val="28"/>
          <w:szCs w:val="28"/>
        </w:rPr>
        <w:fldChar w:fldCharType="separate"/>
      </w:r>
      <w:r>
        <w:rPr>
          <w:rFonts w:hint="eastAsia" w:ascii="Times New Roman" w:hAnsi="Times New Roman" w:eastAsia="黑体"/>
          <w:snapToGrid w:val="0"/>
          <w:sz w:val="28"/>
          <w:szCs w:val="28"/>
        </w:rPr>
        <w:t>二、建设项目工程分析</w:t>
      </w:r>
      <w:r>
        <w:rPr>
          <w:sz w:val="28"/>
          <w:szCs w:val="28"/>
        </w:rPr>
        <w:tab/>
      </w:r>
      <w:r>
        <w:rPr>
          <w:sz w:val="28"/>
          <w:szCs w:val="28"/>
        </w:rPr>
        <w:fldChar w:fldCharType="begin"/>
      </w:r>
      <w:r>
        <w:rPr>
          <w:sz w:val="28"/>
          <w:szCs w:val="28"/>
        </w:rPr>
        <w:instrText xml:space="preserve"> PAGEREF _Toc10330 \h </w:instrText>
      </w:r>
      <w:r>
        <w:rPr>
          <w:sz w:val="28"/>
          <w:szCs w:val="28"/>
        </w:rPr>
        <w:fldChar w:fldCharType="separate"/>
      </w:r>
      <w:r>
        <w:rPr>
          <w:sz w:val="28"/>
          <w:szCs w:val="28"/>
        </w:rPr>
        <w:t>10</w:t>
      </w:r>
      <w:r>
        <w:rPr>
          <w:sz w:val="28"/>
          <w:szCs w:val="28"/>
        </w:rPr>
        <w:fldChar w:fldCharType="end"/>
      </w:r>
      <w:r>
        <w:rPr>
          <w:color w:val="auto"/>
          <w:sz w:val="28"/>
          <w:szCs w:val="28"/>
        </w:rPr>
        <w:fldChar w:fldCharType="end"/>
      </w:r>
    </w:p>
    <w:p w14:paraId="1D3847CB">
      <w:pPr>
        <w:pStyle w:val="20"/>
        <w:tabs>
          <w:tab w:val="right" w:leader="dot" w:pos="9072"/>
        </w:tabs>
        <w:spacing w:line="360" w:lineRule="auto"/>
        <w:rPr>
          <w:sz w:val="28"/>
          <w:szCs w:val="28"/>
        </w:rPr>
      </w:pPr>
      <w:r>
        <w:rPr>
          <w:color w:val="auto"/>
          <w:sz w:val="28"/>
          <w:szCs w:val="28"/>
        </w:rPr>
        <w:fldChar w:fldCharType="begin"/>
      </w:r>
      <w:r>
        <w:rPr>
          <w:sz w:val="28"/>
          <w:szCs w:val="28"/>
        </w:rPr>
        <w:instrText xml:space="preserve"> HYPERLINK \l _Toc31362 </w:instrText>
      </w:r>
      <w:r>
        <w:rPr>
          <w:sz w:val="28"/>
          <w:szCs w:val="28"/>
        </w:rPr>
        <w:fldChar w:fldCharType="separate"/>
      </w:r>
      <w:r>
        <w:rPr>
          <w:rFonts w:hint="eastAsia" w:ascii="Times New Roman" w:hAnsi="Times New Roman" w:eastAsia="黑体"/>
          <w:snapToGrid w:val="0"/>
          <w:sz w:val="28"/>
          <w:szCs w:val="28"/>
        </w:rPr>
        <w:t>三、区域环境质量现状、环境保护目标及评价标准</w:t>
      </w:r>
      <w:r>
        <w:rPr>
          <w:sz w:val="28"/>
          <w:szCs w:val="28"/>
        </w:rPr>
        <w:tab/>
      </w:r>
      <w:r>
        <w:rPr>
          <w:sz w:val="28"/>
          <w:szCs w:val="28"/>
        </w:rPr>
        <w:fldChar w:fldCharType="begin"/>
      </w:r>
      <w:r>
        <w:rPr>
          <w:sz w:val="28"/>
          <w:szCs w:val="28"/>
        </w:rPr>
        <w:instrText xml:space="preserve"> PAGEREF _Toc31362 \h </w:instrText>
      </w:r>
      <w:r>
        <w:rPr>
          <w:sz w:val="28"/>
          <w:szCs w:val="28"/>
        </w:rPr>
        <w:fldChar w:fldCharType="separate"/>
      </w:r>
      <w:r>
        <w:rPr>
          <w:sz w:val="28"/>
          <w:szCs w:val="28"/>
        </w:rPr>
        <w:t>28</w:t>
      </w:r>
      <w:r>
        <w:rPr>
          <w:sz w:val="28"/>
          <w:szCs w:val="28"/>
        </w:rPr>
        <w:fldChar w:fldCharType="end"/>
      </w:r>
      <w:r>
        <w:rPr>
          <w:color w:val="auto"/>
          <w:sz w:val="28"/>
          <w:szCs w:val="28"/>
        </w:rPr>
        <w:fldChar w:fldCharType="end"/>
      </w:r>
    </w:p>
    <w:p w14:paraId="1A7F783F">
      <w:pPr>
        <w:pStyle w:val="20"/>
        <w:tabs>
          <w:tab w:val="right" w:leader="dot" w:pos="9072"/>
        </w:tabs>
        <w:spacing w:line="360" w:lineRule="auto"/>
        <w:rPr>
          <w:sz w:val="28"/>
          <w:szCs w:val="28"/>
        </w:rPr>
      </w:pPr>
      <w:r>
        <w:rPr>
          <w:color w:val="auto"/>
          <w:sz w:val="28"/>
          <w:szCs w:val="28"/>
        </w:rPr>
        <w:fldChar w:fldCharType="begin"/>
      </w:r>
      <w:r>
        <w:rPr>
          <w:sz w:val="28"/>
          <w:szCs w:val="28"/>
        </w:rPr>
        <w:instrText xml:space="preserve"> HYPERLINK \l _Toc8604 </w:instrText>
      </w:r>
      <w:r>
        <w:rPr>
          <w:sz w:val="28"/>
          <w:szCs w:val="28"/>
        </w:rPr>
        <w:fldChar w:fldCharType="separate"/>
      </w:r>
      <w:r>
        <w:rPr>
          <w:rFonts w:hint="eastAsia" w:ascii="Times New Roman" w:hAnsi="Times New Roman" w:eastAsia="黑体"/>
          <w:snapToGrid w:val="0"/>
          <w:sz w:val="28"/>
          <w:szCs w:val="28"/>
        </w:rPr>
        <w:t>四、主要环境影响和保护措施</w:t>
      </w:r>
      <w:r>
        <w:rPr>
          <w:sz w:val="28"/>
          <w:szCs w:val="28"/>
        </w:rPr>
        <w:tab/>
      </w:r>
      <w:r>
        <w:rPr>
          <w:sz w:val="28"/>
          <w:szCs w:val="28"/>
        </w:rPr>
        <w:fldChar w:fldCharType="begin"/>
      </w:r>
      <w:r>
        <w:rPr>
          <w:sz w:val="28"/>
          <w:szCs w:val="28"/>
        </w:rPr>
        <w:instrText xml:space="preserve"> PAGEREF _Toc8604 \h </w:instrText>
      </w:r>
      <w:r>
        <w:rPr>
          <w:sz w:val="28"/>
          <w:szCs w:val="28"/>
        </w:rPr>
        <w:fldChar w:fldCharType="separate"/>
      </w:r>
      <w:r>
        <w:rPr>
          <w:sz w:val="28"/>
          <w:szCs w:val="28"/>
        </w:rPr>
        <w:t>38</w:t>
      </w:r>
      <w:r>
        <w:rPr>
          <w:sz w:val="28"/>
          <w:szCs w:val="28"/>
        </w:rPr>
        <w:fldChar w:fldCharType="end"/>
      </w:r>
      <w:r>
        <w:rPr>
          <w:color w:val="auto"/>
          <w:sz w:val="28"/>
          <w:szCs w:val="28"/>
        </w:rPr>
        <w:fldChar w:fldCharType="end"/>
      </w:r>
    </w:p>
    <w:p w14:paraId="0FF4CE49">
      <w:pPr>
        <w:pStyle w:val="20"/>
        <w:tabs>
          <w:tab w:val="right" w:leader="dot" w:pos="9072"/>
        </w:tabs>
        <w:spacing w:line="360" w:lineRule="auto"/>
        <w:rPr>
          <w:sz w:val="28"/>
          <w:szCs w:val="28"/>
        </w:rPr>
      </w:pPr>
      <w:r>
        <w:rPr>
          <w:color w:val="auto"/>
          <w:sz w:val="28"/>
          <w:szCs w:val="28"/>
        </w:rPr>
        <w:fldChar w:fldCharType="begin"/>
      </w:r>
      <w:r>
        <w:rPr>
          <w:sz w:val="28"/>
          <w:szCs w:val="28"/>
        </w:rPr>
        <w:instrText xml:space="preserve"> HYPERLINK \l _Toc19084 </w:instrText>
      </w:r>
      <w:r>
        <w:rPr>
          <w:sz w:val="28"/>
          <w:szCs w:val="28"/>
        </w:rPr>
        <w:fldChar w:fldCharType="separate"/>
      </w:r>
      <w:r>
        <w:rPr>
          <w:rFonts w:hint="eastAsia" w:ascii="Times New Roman" w:hAnsi="Times New Roman" w:eastAsia="黑体"/>
          <w:snapToGrid w:val="0"/>
          <w:sz w:val="28"/>
          <w:szCs w:val="28"/>
        </w:rPr>
        <w:t>五、环境保护措施监督检查清单</w:t>
      </w:r>
      <w:r>
        <w:rPr>
          <w:sz w:val="28"/>
          <w:szCs w:val="28"/>
        </w:rPr>
        <w:tab/>
      </w:r>
      <w:r>
        <w:rPr>
          <w:sz w:val="28"/>
          <w:szCs w:val="28"/>
        </w:rPr>
        <w:fldChar w:fldCharType="begin"/>
      </w:r>
      <w:r>
        <w:rPr>
          <w:sz w:val="28"/>
          <w:szCs w:val="28"/>
        </w:rPr>
        <w:instrText xml:space="preserve"> PAGEREF _Toc19084 \h </w:instrText>
      </w:r>
      <w:r>
        <w:rPr>
          <w:sz w:val="28"/>
          <w:szCs w:val="28"/>
        </w:rPr>
        <w:fldChar w:fldCharType="separate"/>
      </w:r>
      <w:r>
        <w:rPr>
          <w:sz w:val="28"/>
          <w:szCs w:val="28"/>
        </w:rPr>
        <w:t>63</w:t>
      </w:r>
      <w:r>
        <w:rPr>
          <w:sz w:val="28"/>
          <w:szCs w:val="28"/>
        </w:rPr>
        <w:fldChar w:fldCharType="end"/>
      </w:r>
      <w:r>
        <w:rPr>
          <w:color w:val="auto"/>
          <w:sz w:val="28"/>
          <w:szCs w:val="28"/>
        </w:rPr>
        <w:fldChar w:fldCharType="end"/>
      </w:r>
    </w:p>
    <w:p w14:paraId="6707903C">
      <w:pPr>
        <w:pStyle w:val="20"/>
        <w:tabs>
          <w:tab w:val="right" w:leader="dot" w:pos="9072"/>
        </w:tabs>
        <w:spacing w:line="360" w:lineRule="auto"/>
        <w:rPr>
          <w:sz w:val="28"/>
          <w:szCs w:val="28"/>
        </w:rPr>
      </w:pPr>
      <w:r>
        <w:rPr>
          <w:color w:val="auto"/>
          <w:sz w:val="28"/>
          <w:szCs w:val="28"/>
        </w:rPr>
        <w:fldChar w:fldCharType="begin"/>
      </w:r>
      <w:r>
        <w:rPr>
          <w:sz w:val="28"/>
          <w:szCs w:val="28"/>
        </w:rPr>
        <w:instrText xml:space="preserve"> HYPERLINK \l _Toc20531 </w:instrText>
      </w:r>
      <w:r>
        <w:rPr>
          <w:sz w:val="28"/>
          <w:szCs w:val="28"/>
        </w:rPr>
        <w:fldChar w:fldCharType="separate"/>
      </w:r>
      <w:r>
        <w:rPr>
          <w:rFonts w:hint="eastAsia" w:ascii="Times New Roman" w:hAnsi="Times New Roman" w:eastAsia="宋体"/>
          <w:snapToGrid w:val="0"/>
          <w:sz w:val="28"/>
          <w:szCs w:val="28"/>
        </w:rPr>
        <w:t>六、结论</w:t>
      </w:r>
      <w:r>
        <w:rPr>
          <w:sz w:val="28"/>
          <w:szCs w:val="28"/>
        </w:rPr>
        <w:tab/>
      </w:r>
      <w:r>
        <w:rPr>
          <w:sz w:val="28"/>
          <w:szCs w:val="28"/>
        </w:rPr>
        <w:fldChar w:fldCharType="begin"/>
      </w:r>
      <w:r>
        <w:rPr>
          <w:sz w:val="28"/>
          <w:szCs w:val="28"/>
        </w:rPr>
        <w:instrText xml:space="preserve"> PAGEREF _Toc20531 \h </w:instrText>
      </w:r>
      <w:r>
        <w:rPr>
          <w:sz w:val="28"/>
          <w:szCs w:val="28"/>
        </w:rPr>
        <w:fldChar w:fldCharType="separate"/>
      </w:r>
      <w:r>
        <w:rPr>
          <w:sz w:val="28"/>
          <w:szCs w:val="28"/>
        </w:rPr>
        <w:t>65</w:t>
      </w:r>
      <w:r>
        <w:rPr>
          <w:sz w:val="28"/>
          <w:szCs w:val="28"/>
        </w:rPr>
        <w:fldChar w:fldCharType="end"/>
      </w:r>
      <w:r>
        <w:rPr>
          <w:color w:val="auto"/>
          <w:sz w:val="28"/>
          <w:szCs w:val="28"/>
        </w:rPr>
        <w:fldChar w:fldCharType="end"/>
      </w:r>
    </w:p>
    <w:p w14:paraId="38DE1EBA">
      <w:pPr>
        <w:pStyle w:val="20"/>
        <w:tabs>
          <w:tab w:val="right" w:leader="dot" w:pos="9072"/>
        </w:tabs>
        <w:spacing w:line="360" w:lineRule="auto"/>
        <w:rPr>
          <w:sz w:val="28"/>
          <w:szCs w:val="28"/>
        </w:rPr>
      </w:pPr>
      <w:r>
        <w:rPr>
          <w:color w:val="auto"/>
          <w:sz w:val="28"/>
          <w:szCs w:val="28"/>
        </w:rPr>
        <w:fldChar w:fldCharType="begin"/>
      </w:r>
      <w:r>
        <w:rPr>
          <w:sz w:val="28"/>
          <w:szCs w:val="28"/>
        </w:rPr>
        <w:instrText xml:space="preserve"> HYPERLINK \l _Toc17841 </w:instrText>
      </w:r>
      <w:r>
        <w:rPr>
          <w:sz w:val="28"/>
          <w:szCs w:val="28"/>
        </w:rPr>
        <w:fldChar w:fldCharType="separate"/>
      </w:r>
      <w:r>
        <w:rPr>
          <w:rFonts w:hint="eastAsia" w:ascii="Times New Roman" w:hAnsi="Times New Roman" w:eastAsia="宋体" w:cs="Times New Roman"/>
          <w:snapToGrid w:val="0"/>
          <w:kern w:val="0"/>
          <w:sz w:val="28"/>
          <w:szCs w:val="28"/>
          <w:lang w:val="en-US" w:eastAsia="zh-CN" w:bidi="ar-SA"/>
        </w:rPr>
        <w:t>七．地表水专项评价</w:t>
      </w:r>
      <w:r>
        <w:rPr>
          <w:sz w:val="28"/>
          <w:szCs w:val="28"/>
        </w:rPr>
        <w:tab/>
      </w:r>
      <w:r>
        <w:rPr>
          <w:sz w:val="28"/>
          <w:szCs w:val="28"/>
        </w:rPr>
        <w:fldChar w:fldCharType="begin"/>
      </w:r>
      <w:r>
        <w:rPr>
          <w:sz w:val="28"/>
          <w:szCs w:val="28"/>
        </w:rPr>
        <w:instrText xml:space="preserve"> PAGEREF _Toc17841 \h </w:instrText>
      </w:r>
      <w:r>
        <w:rPr>
          <w:sz w:val="28"/>
          <w:szCs w:val="28"/>
        </w:rPr>
        <w:fldChar w:fldCharType="separate"/>
      </w:r>
      <w:r>
        <w:rPr>
          <w:sz w:val="28"/>
          <w:szCs w:val="28"/>
        </w:rPr>
        <w:t>67</w:t>
      </w:r>
      <w:r>
        <w:rPr>
          <w:sz w:val="28"/>
          <w:szCs w:val="28"/>
        </w:rPr>
        <w:fldChar w:fldCharType="end"/>
      </w:r>
      <w:r>
        <w:rPr>
          <w:color w:val="auto"/>
          <w:sz w:val="28"/>
          <w:szCs w:val="28"/>
        </w:rPr>
        <w:fldChar w:fldCharType="end"/>
      </w:r>
    </w:p>
    <w:p w14:paraId="52996314">
      <w:pPr>
        <w:pStyle w:val="15"/>
        <w:tabs>
          <w:tab w:val="right" w:leader="dot" w:pos="9072"/>
        </w:tabs>
        <w:spacing w:line="360" w:lineRule="auto"/>
        <w:rPr>
          <w:sz w:val="28"/>
          <w:szCs w:val="28"/>
        </w:rPr>
      </w:pPr>
    </w:p>
    <w:p w14:paraId="7CB6780E">
      <w:pPr>
        <w:spacing w:line="360" w:lineRule="auto"/>
        <w:rPr>
          <w:color w:val="auto"/>
          <w:sz w:val="28"/>
          <w:szCs w:val="28"/>
        </w:rPr>
        <w:sectPr>
          <w:footerReference r:id="rId4" w:type="default"/>
          <w:pgSz w:w="11906" w:h="16838"/>
          <w:pgMar w:top="1440" w:right="1417" w:bottom="1440" w:left="1417" w:header="992" w:footer="850" w:gutter="0"/>
          <w:pgBorders>
            <w:top w:val="none" w:sz="0" w:space="0"/>
            <w:left w:val="none" w:sz="0" w:space="0"/>
            <w:bottom w:val="none" w:sz="0" w:space="0"/>
            <w:right w:val="none" w:sz="0" w:space="0"/>
          </w:pgBorders>
          <w:pgNumType w:start="1"/>
          <w:cols w:space="720" w:num="1"/>
          <w:docGrid w:type="lines" w:linePitch="312" w:charSpace="0"/>
        </w:sectPr>
      </w:pPr>
      <w:r>
        <w:rPr>
          <w:color w:val="auto"/>
          <w:sz w:val="28"/>
          <w:szCs w:val="28"/>
        </w:rPr>
        <w:fldChar w:fldCharType="end"/>
      </w:r>
    </w:p>
    <w:p w14:paraId="577CF817">
      <w:pPr>
        <w:pStyle w:val="40"/>
        <w:rPr>
          <w:rFonts w:hint="eastAsia"/>
        </w:rPr>
      </w:pPr>
    </w:p>
    <w:p w14:paraId="7C4D93E8">
      <w:pPr>
        <w:pStyle w:val="27"/>
        <w:spacing w:before="0" w:beforeAutospacing="0" w:after="0" w:afterAutospacing="0"/>
        <w:jc w:val="left"/>
        <w:outlineLvl w:val="0"/>
        <w:rPr>
          <w:rFonts w:hint="eastAsia" w:ascii="宋体" w:hAnsi="宋体" w:eastAsia="宋体" w:cs="宋体"/>
          <w:snapToGrid w:val="0"/>
          <w:color w:val="auto"/>
          <w:sz w:val="28"/>
          <w:szCs w:val="28"/>
          <w:lang w:val="en-US" w:eastAsia="zh-CN"/>
        </w:rPr>
      </w:pPr>
      <w:r>
        <w:rPr>
          <w:rFonts w:hint="eastAsia" w:ascii="宋体" w:hAnsi="宋体" w:eastAsia="宋体" w:cs="宋体"/>
          <w:snapToGrid w:val="0"/>
          <w:color w:val="auto"/>
          <w:sz w:val="28"/>
          <w:szCs w:val="28"/>
          <w:lang w:val="en-US" w:eastAsia="zh-CN"/>
        </w:rPr>
        <w:t>附图、附件</w:t>
      </w:r>
    </w:p>
    <w:p w14:paraId="1E88C45B">
      <w:pPr>
        <w:pStyle w:val="27"/>
        <w:spacing w:before="0" w:beforeAutospacing="0" w:after="0" w:afterAutospacing="0"/>
        <w:jc w:val="left"/>
        <w:outlineLvl w:val="0"/>
        <w:rPr>
          <w:rFonts w:hint="eastAsia" w:ascii="宋体" w:hAnsi="宋体" w:eastAsia="宋体" w:cs="宋体"/>
          <w:snapToGrid w:val="0"/>
          <w:color w:val="auto"/>
          <w:sz w:val="28"/>
          <w:szCs w:val="28"/>
          <w:lang w:val="en-US" w:eastAsia="zh-CN"/>
        </w:rPr>
      </w:pPr>
    </w:p>
    <w:p w14:paraId="0071F1CC">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lang w:val="en-US" w:eastAsia="zh-CN"/>
        </w:rPr>
      </w:pPr>
      <w:r>
        <w:rPr>
          <w:rFonts w:hint="default" w:ascii="Times New Roman" w:hAnsi="Times New Roman" w:eastAsia="宋体" w:cs="Times New Roman"/>
          <w:snapToGrid w:val="0"/>
          <w:color w:val="auto"/>
          <w:sz w:val="28"/>
          <w:szCs w:val="28"/>
          <w:lang w:val="en-US" w:eastAsia="zh-CN"/>
        </w:rPr>
        <w:t>附图1 地理位置图</w:t>
      </w:r>
    </w:p>
    <w:p w14:paraId="2B20571D">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lang w:val="en-US" w:eastAsia="zh-CN"/>
        </w:rPr>
      </w:pPr>
      <w:r>
        <w:rPr>
          <w:rFonts w:hint="default" w:ascii="Times New Roman" w:hAnsi="Times New Roman" w:eastAsia="宋体" w:cs="Times New Roman"/>
          <w:snapToGrid w:val="0"/>
          <w:color w:val="auto"/>
          <w:sz w:val="28"/>
          <w:szCs w:val="28"/>
          <w:lang w:val="en-US" w:eastAsia="zh-CN"/>
        </w:rPr>
        <w:t>附图2 项目与排污口相对位置关系图</w:t>
      </w:r>
    </w:p>
    <w:p w14:paraId="6688781A">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lang w:val="en-US" w:eastAsia="zh-CN"/>
        </w:rPr>
      </w:pPr>
      <w:r>
        <w:rPr>
          <w:rFonts w:hint="default" w:ascii="Times New Roman" w:hAnsi="Times New Roman" w:eastAsia="宋体" w:cs="Times New Roman"/>
          <w:snapToGrid w:val="0"/>
          <w:color w:val="auto"/>
          <w:sz w:val="28"/>
          <w:szCs w:val="28"/>
          <w:lang w:val="en-US" w:eastAsia="zh-CN"/>
        </w:rPr>
        <w:t>附图3 环境保护目标图</w:t>
      </w:r>
    </w:p>
    <w:p w14:paraId="3052034F">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u w:val="single"/>
          <w:lang w:val="en-US" w:eastAsia="zh-CN"/>
        </w:rPr>
      </w:pPr>
      <w:r>
        <w:rPr>
          <w:rFonts w:hint="default" w:ascii="Times New Roman" w:hAnsi="Times New Roman" w:eastAsia="宋体" w:cs="Times New Roman"/>
          <w:snapToGrid w:val="0"/>
          <w:color w:val="auto"/>
          <w:sz w:val="28"/>
          <w:szCs w:val="28"/>
          <w:u w:val="single"/>
          <w:lang w:val="en-US" w:eastAsia="zh-CN"/>
        </w:rPr>
        <w:t>附图4 项目水系图和与国控省控断面相对位置关系图</w:t>
      </w:r>
    </w:p>
    <w:p w14:paraId="0D609EFC">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lang w:val="en-US" w:eastAsia="zh-CN"/>
        </w:rPr>
      </w:pPr>
      <w:r>
        <w:rPr>
          <w:rFonts w:hint="default" w:ascii="Times New Roman" w:hAnsi="Times New Roman" w:eastAsia="宋体" w:cs="Times New Roman"/>
          <w:snapToGrid w:val="0"/>
          <w:color w:val="auto"/>
          <w:sz w:val="28"/>
          <w:szCs w:val="28"/>
          <w:lang w:val="en-US" w:eastAsia="zh-CN"/>
        </w:rPr>
        <w:t>附图5 项目检测布点图</w:t>
      </w:r>
    </w:p>
    <w:p w14:paraId="0E72B3F1">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lang w:val="en-US" w:eastAsia="zh-CN"/>
        </w:rPr>
      </w:pPr>
      <w:r>
        <w:rPr>
          <w:rFonts w:hint="default" w:ascii="Times New Roman" w:hAnsi="Times New Roman" w:eastAsia="宋体" w:cs="Times New Roman"/>
          <w:snapToGrid w:val="0"/>
          <w:color w:val="auto"/>
          <w:sz w:val="28"/>
          <w:szCs w:val="28"/>
          <w:lang w:val="en-US" w:eastAsia="zh-CN"/>
        </w:rPr>
        <w:t>附图6 项目纳污范围图</w:t>
      </w:r>
    </w:p>
    <w:p w14:paraId="75F2EBCF">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lang w:val="en-US" w:eastAsia="zh-CN"/>
        </w:rPr>
      </w:pPr>
      <w:r>
        <w:rPr>
          <w:rFonts w:hint="default" w:ascii="Times New Roman" w:hAnsi="Times New Roman" w:eastAsia="宋体" w:cs="Times New Roman"/>
          <w:snapToGrid w:val="0"/>
          <w:color w:val="auto"/>
          <w:sz w:val="28"/>
          <w:szCs w:val="28"/>
          <w:lang w:val="en-US" w:eastAsia="zh-CN"/>
        </w:rPr>
        <w:t>附图7 项目用地规划图</w:t>
      </w:r>
    </w:p>
    <w:p w14:paraId="5BC2C75A">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lang w:val="en-US" w:eastAsia="zh-CN"/>
        </w:rPr>
      </w:pPr>
      <w:r>
        <w:rPr>
          <w:rFonts w:hint="default" w:ascii="Times New Roman" w:hAnsi="Times New Roman" w:eastAsia="宋体" w:cs="Times New Roman"/>
          <w:snapToGrid w:val="0"/>
          <w:color w:val="auto"/>
          <w:sz w:val="28"/>
          <w:szCs w:val="28"/>
          <w:lang w:val="en-US" w:eastAsia="zh-CN"/>
        </w:rPr>
        <w:t>附图8 项目现状照片</w:t>
      </w:r>
    </w:p>
    <w:p w14:paraId="3783E1FF">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u w:val="single"/>
          <w:lang w:val="en-US" w:eastAsia="zh-CN"/>
        </w:rPr>
      </w:pPr>
      <w:r>
        <w:rPr>
          <w:rFonts w:hint="default" w:ascii="Times New Roman" w:hAnsi="Times New Roman" w:eastAsia="宋体" w:cs="Times New Roman"/>
          <w:snapToGrid w:val="0"/>
          <w:color w:val="auto"/>
          <w:sz w:val="28"/>
          <w:szCs w:val="28"/>
          <w:u w:val="single"/>
          <w:lang w:val="en-US" w:eastAsia="zh-CN"/>
        </w:rPr>
        <w:t>附图9 项目平面布置图</w:t>
      </w:r>
    </w:p>
    <w:p w14:paraId="0FAFD409">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u w:val="single"/>
          <w:lang w:val="en-US" w:eastAsia="zh-CN"/>
        </w:rPr>
      </w:pPr>
      <w:r>
        <w:rPr>
          <w:rFonts w:hint="default" w:ascii="Times New Roman" w:hAnsi="Times New Roman" w:eastAsia="宋体" w:cs="Times New Roman"/>
          <w:snapToGrid w:val="0"/>
          <w:color w:val="auto"/>
          <w:sz w:val="28"/>
          <w:szCs w:val="28"/>
          <w:u w:val="single"/>
          <w:lang w:val="en-US" w:eastAsia="zh-CN"/>
        </w:rPr>
        <w:t>附图10 项目下游污染源分布图</w:t>
      </w:r>
    </w:p>
    <w:p w14:paraId="46F0FF3B">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u w:val="single"/>
          <w:lang w:val="en-US" w:eastAsia="zh-CN"/>
        </w:rPr>
      </w:pPr>
      <w:r>
        <w:rPr>
          <w:rFonts w:hint="default" w:ascii="Times New Roman" w:hAnsi="Times New Roman" w:eastAsia="宋体" w:cs="Times New Roman"/>
          <w:snapToGrid w:val="0"/>
          <w:color w:val="auto"/>
          <w:sz w:val="28"/>
          <w:szCs w:val="28"/>
          <w:u w:val="single"/>
          <w:lang w:val="en-US" w:eastAsia="zh-CN"/>
        </w:rPr>
        <w:t>附图11 项目水功能区划图</w:t>
      </w:r>
    </w:p>
    <w:p w14:paraId="3D08517A">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u w:val="single"/>
          <w:lang w:val="en-US" w:eastAsia="zh-CN"/>
        </w:rPr>
      </w:pPr>
      <w:r>
        <w:rPr>
          <w:rFonts w:hint="default" w:ascii="Times New Roman" w:hAnsi="Times New Roman" w:eastAsia="宋体" w:cs="Times New Roman"/>
          <w:snapToGrid w:val="0"/>
          <w:color w:val="auto"/>
          <w:sz w:val="28"/>
          <w:szCs w:val="28"/>
          <w:u w:val="single"/>
          <w:lang w:val="en-US" w:eastAsia="zh-CN"/>
        </w:rPr>
        <w:t>附图12 项目三区三线查询截图</w:t>
      </w:r>
    </w:p>
    <w:p w14:paraId="40364FAA">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u w:val="single"/>
          <w:lang w:val="en-US" w:eastAsia="zh-CN"/>
        </w:rPr>
      </w:pPr>
      <w:r>
        <w:rPr>
          <w:rFonts w:hint="default" w:ascii="Times New Roman" w:hAnsi="Times New Roman" w:eastAsia="宋体" w:cs="Times New Roman"/>
          <w:snapToGrid w:val="0"/>
          <w:color w:val="auto"/>
          <w:sz w:val="28"/>
          <w:szCs w:val="28"/>
          <w:u w:val="single"/>
          <w:lang w:val="en-US" w:eastAsia="zh-CN"/>
        </w:rPr>
        <w:t>附图13 项目管网铺设图</w:t>
      </w:r>
    </w:p>
    <w:p w14:paraId="6B322268">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u w:val="single"/>
          <w:lang w:val="en-US" w:eastAsia="zh-CN"/>
        </w:rPr>
      </w:pPr>
      <w:r>
        <w:rPr>
          <w:rFonts w:hint="eastAsia" w:ascii="Times New Roman" w:hAnsi="Times New Roman" w:cs="Times New Roman"/>
          <w:snapToGrid w:val="0"/>
          <w:color w:val="auto"/>
          <w:sz w:val="28"/>
          <w:szCs w:val="28"/>
          <w:u w:val="single"/>
          <w:lang w:val="en-US" w:eastAsia="zh-CN"/>
        </w:rPr>
        <w:t>附图14 项目入河排污口论证范围图</w:t>
      </w:r>
    </w:p>
    <w:p w14:paraId="71F9E3A9">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u w:val="single"/>
          <w:lang w:val="en-US" w:eastAsia="zh-CN"/>
        </w:rPr>
      </w:pPr>
    </w:p>
    <w:p w14:paraId="26545AB5">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u w:val="single"/>
          <w:lang w:val="en-US" w:eastAsia="zh-CN"/>
        </w:rPr>
      </w:pPr>
      <w:r>
        <w:rPr>
          <w:rFonts w:hint="default" w:ascii="Times New Roman" w:hAnsi="Times New Roman" w:eastAsia="宋体" w:cs="Times New Roman"/>
          <w:snapToGrid w:val="0"/>
          <w:color w:val="auto"/>
          <w:sz w:val="28"/>
          <w:szCs w:val="28"/>
          <w:u w:val="single"/>
          <w:lang w:val="en-US" w:eastAsia="zh-CN"/>
        </w:rPr>
        <w:t>附件1 委托书</w:t>
      </w:r>
    </w:p>
    <w:p w14:paraId="3F2667CF">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u w:val="single"/>
          <w:lang w:val="en-US" w:eastAsia="zh-CN"/>
        </w:rPr>
      </w:pPr>
      <w:r>
        <w:rPr>
          <w:rFonts w:hint="default" w:ascii="Times New Roman" w:hAnsi="Times New Roman" w:eastAsia="宋体" w:cs="Times New Roman"/>
          <w:snapToGrid w:val="0"/>
          <w:color w:val="auto"/>
          <w:sz w:val="28"/>
          <w:szCs w:val="28"/>
          <w:u w:val="single"/>
          <w:lang w:val="en-US" w:eastAsia="zh-CN"/>
        </w:rPr>
        <w:t>附件2 用地审查意见</w:t>
      </w:r>
    </w:p>
    <w:p w14:paraId="36039F27">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u w:val="single"/>
          <w:lang w:val="en-US" w:eastAsia="zh-CN"/>
        </w:rPr>
      </w:pPr>
      <w:r>
        <w:rPr>
          <w:rFonts w:hint="default" w:ascii="Times New Roman" w:hAnsi="Times New Roman" w:eastAsia="宋体" w:cs="Times New Roman"/>
          <w:snapToGrid w:val="0"/>
          <w:color w:val="auto"/>
          <w:sz w:val="28"/>
          <w:szCs w:val="28"/>
          <w:u w:val="single"/>
          <w:lang w:val="en-US" w:eastAsia="zh-CN"/>
        </w:rPr>
        <w:t>附件3 立项批复</w:t>
      </w:r>
    </w:p>
    <w:p w14:paraId="2AC2222F">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u w:val="single"/>
          <w:lang w:val="en-US" w:eastAsia="zh-CN"/>
        </w:rPr>
      </w:pPr>
      <w:r>
        <w:rPr>
          <w:rFonts w:hint="default" w:ascii="Times New Roman" w:hAnsi="Times New Roman" w:eastAsia="宋体" w:cs="Times New Roman"/>
          <w:snapToGrid w:val="0"/>
          <w:color w:val="auto"/>
          <w:sz w:val="28"/>
          <w:szCs w:val="28"/>
          <w:u w:val="single"/>
          <w:lang w:val="en-US" w:eastAsia="zh-CN"/>
        </w:rPr>
        <w:t>附件4 项目检测报告</w:t>
      </w:r>
    </w:p>
    <w:p w14:paraId="33AD66F9">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u w:val="single"/>
          <w:lang w:val="en-US" w:eastAsia="zh-CN"/>
        </w:rPr>
      </w:pPr>
      <w:r>
        <w:rPr>
          <w:rFonts w:hint="default" w:ascii="Times New Roman" w:hAnsi="Times New Roman" w:eastAsia="宋体" w:cs="Times New Roman"/>
          <w:snapToGrid w:val="0"/>
          <w:color w:val="auto"/>
          <w:sz w:val="28"/>
          <w:szCs w:val="28"/>
          <w:u w:val="single"/>
          <w:lang w:val="en-US" w:eastAsia="zh-CN"/>
        </w:rPr>
        <w:t>附件5 项目政府会议纪要</w:t>
      </w:r>
    </w:p>
    <w:p w14:paraId="68681CA1">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u w:val="single"/>
          <w:lang w:val="en-US" w:eastAsia="zh-CN"/>
        </w:rPr>
      </w:pPr>
      <w:r>
        <w:rPr>
          <w:rFonts w:hint="default" w:ascii="Times New Roman" w:hAnsi="Times New Roman" w:eastAsia="宋体" w:cs="Times New Roman"/>
          <w:snapToGrid w:val="0"/>
          <w:color w:val="auto"/>
          <w:sz w:val="28"/>
          <w:szCs w:val="28"/>
          <w:u w:val="single"/>
          <w:lang w:val="en-US" w:eastAsia="zh-CN"/>
        </w:rPr>
        <w:t>附件6 项目可研批复</w:t>
      </w:r>
    </w:p>
    <w:p w14:paraId="56533B0D">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u w:val="single"/>
          <w:lang w:val="en-US" w:eastAsia="zh-CN"/>
        </w:rPr>
      </w:pPr>
      <w:r>
        <w:rPr>
          <w:rFonts w:hint="default" w:ascii="Times New Roman" w:hAnsi="Times New Roman" w:eastAsia="宋体" w:cs="Times New Roman"/>
          <w:snapToGrid w:val="0"/>
          <w:color w:val="auto"/>
          <w:sz w:val="28"/>
          <w:szCs w:val="28"/>
          <w:u w:val="single"/>
          <w:lang w:val="en-US" w:eastAsia="zh-CN"/>
        </w:rPr>
        <w:t>附件7 专家意见</w:t>
      </w:r>
    </w:p>
    <w:p w14:paraId="63EB875F">
      <w:pPr>
        <w:pStyle w:val="27"/>
        <w:spacing w:before="0" w:beforeAutospacing="0" w:after="0" w:afterAutospacing="0"/>
        <w:jc w:val="left"/>
        <w:outlineLvl w:val="0"/>
        <w:rPr>
          <w:rFonts w:hint="default" w:ascii="Times New Roman" w:hAnsi="Times New Roman" w:eastAsia="宋体" w:cs="Times New Roman"/>
          <w:snapToGrid w:val="0"/>
          <w:color w:val="auto"/>
          <w:sz w:val="28"/>
          <w:szCs w:val="28"/>
          <w:u w:val="single"/>
          <w:lang w:val="en-US" w:eastAsia="zh-CN"/>
        </w:rPr>
      </w:pPr>
      <w:r>
        <w:rPr>
          <w:rFonts w:hint="default" w:ascii="Times New Roman" w:hAnsi="Times New Roman" w:eastAsia="宋体" w:cs="Times New Roman"/>
          <w:snapToGrid w:val="0"/>
          <w:color w:val="auto"/>
          <w:sz w:val="28"/>
          <w:szCs w:val="28"/>
          <w:u w:val="single"/>
          <w:lang w:val="en-US" w:eastAsia="zh-CN"/>
        </w:rPr>
        <w:t>附件8 专家签到表</w:t>
      </w:r>
    </w:p>
    <w:p w14:paraId="2FA07C76">
      <w:pPr>
        <w:pStyle w:val="27"/>
        <w:spacing w:before="0" w:beforeAutospacing="0" w:after="0" w:afterAutospacing="0"/>
        <w:jc w:val="left"/>
        <w:outlineLvl w:val="0"/>
        <w:rPr>
          <w:rFonts w:hint="eastAsia" w:ascii="宋体" w:hAnsi="宋体" w:eastAsia="宋体" w:cs="宋体"/>
          <w:snapToGrid w:val="0"/>
          <w:color w:val="auto"/>
          <w:sz w:val="28"/>
          <w:szCs w:val="28"/>
          <w:lang w:val="en-US" w:eastAsia="zh-CN"/>
        </w:rPr>
      </w:pPr>
    </w:p>
    <w:p w14:paraId="685E4E00">
      <w:pPr>
        <w:pStyle w:val="27"/>
        <w:spacing w:before="0" w:beforeAutospacing="0" w:after="0" w:afterAutospacing="0"/>
        <w:jc w:val="left"/>
        <w:outlineLvl w:val="0"/>
        <w:rPr>
          <w:rFonts w:hint="eastAsia" w:ascii="宋体" w:hAnsi="宋体" w:eastAsia="宋体" w:cs="宋体"/>
          <w:snapToGrid w:val="0"/>
          <w:color w:val="auto"/>
          <w:sz w:val="28"/>
          <w:szCs w:val="28"/>
          <w:lang w:val="en-US" w:eastAsia="zh-CN"/>
        </w:rPr>
      </w:pPr>
    </w:p>
    <w:p w14:paraId="3F51DD58">
      <w:pPr>
        <w:pStyle w:val="27"/>
        <w:spacing w:before="0" w:beforeAutospacing="0" w:after="0" w:afterAutospacing="0"/>
        <w:jc w:val="left"/>
        <w:outlineLvl w:val="0"/>
        <w:rPr>
          <w:rFonts w:hint="eastAsia" w:ascii="Times New Roman" w:hAnsi="Times New Roman" w:eastAsia="黑体"/>
          <w:snapToGrid w:val="0"/>
          <w:color w:val="auto"/>
          <w:sz w:val="28"/>
          <w:szCs w:val="28"/>
          <w:lang w:val="en-US" w:eastAsia="zh-CN"/>
        </w:rPr>
        <w:sectPr>
          <w:pgSz w:w="11906" w:h="16838"/>
          <w:pgMar w:top="1440" w:right="1417" w:bottom="1440" w:left="1417" w:header="992" w:footer="850" w:gutter="0"/>
          <w:pgBorders>
            <w:top w:val="none" w:sz="0" w:space="0"/>
            <w:left w:val="none" w:sz="0" w:space="0"/>
            <w:bottom w:val="none" w:sz="0" w:space="0"/>
            <w:right w:val="none" w:sz="0" w:space="0"/>
          </w:pgBorders>
          <w:pgNumType w:start="1"/>
          <w:cols w:space="720" w:num="1"/>
          <w:docGrid w:type="lines" w:linePitch="312" w:charSpace="0"/>
        </w:sectPr>
      </w:pPr>
      <w:r>
        <w:rPr>
          <w:rFonts w:hint="eastAsia" w:ascii="Times New Roman" w:hAnsi="Times New Roman" w:eastAsia="黑体"/>
          <w:snapToGrid w:val="0"/>
          <w:color w:val="auto"/>
          <w:sz w:val="28"/>
          <w:szCs w:val="28"/>
          <w:lang w:val="en-US" w:eastAsia="zh-CN"/>
        </w:rPr>
        <w:t xml:space="preserve"> </w:t>
      </w:r>
    </w:p>
    <w:p w14:paraId="621A4DDC">
      <w:pPr>
        <w:pStyle w:val="27"/>
        <w:spacing w:before="0" w:beforeAutospacing="0" w:after="0" w:afterAutospacing="0"/>
        <w:jc w:val="center"/>
        <w:outlineLvl w:val="0"/>
        <w:rPr>
          <w:rFonts w:hint="eastAsia" w:ascii="Times New Roman" w:hAnsi="Times New Roman" w:eastAsia="黑体"/>
          <w:snapToGrid w:val="0"/>
          <w:color w:val="auto"/>
          <w:sz w:val="30"/>
          <w:szCs w:val="30"/>
        </w:rPr>
      </w:pPr>
      <w:bookmarkStart w:id="0" w:name="_Toc22344"/>
      <w:r>
        <w:rPr>
          <w:rFonts w:hint="eastAsia" w:ascii="Times New Roman" w:hAnsi="Times New Roman" w:eastAsia="黑体"/>
          <w:snapToGrid w:val="0"/>
          <w:color w:val="auto"/>
          <w:sz w:val="30"/>
          <w:szCs w:val="30"/>
        </w:rPr>
        <w:t>一、建设项目基本情况</w:t>
      </w:r>
      <w:bookmarkEnd w:id="0"/>
    </w:p>
    <w:tbl>
      <w:tblPr>
        <w:tblStyle w:val="32"/>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968"/>
        <w:gridCol w:w="2142"/>
        <w:gridCol w:w="2262"/>
        <w:gridCol w:w="2699"/>
      </w:tblGrid>
      <w:tr w14:paraId="732A22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tcMar>
              <w:top w:w="16" w:type="dxa"/>
              <w:left w:w="16" w:type="dxa"/>
              <w:right w:w="16" w:type="dxa"/>
            </w:tcMar>
            <w:vAlign w:val="center"/>
          </w:tcPr>
          <w:p w14:paraId="3237EEC7">
            <w:pPr>
              <w:adjustRightInd w:val="0"/>
              <w:snapToGrid w:val="0"/>
              <w:jc w:val="center"/>
              <w:rPr>
                <w:rFonts w:cs="宋体"/>
                <w:color w:val="auto"/>
                <w:sz w:val="24"/>
                <w:u w:val="none"/>
              </w:rPr>
            </w:pPr>
            <w:r>
              <w:rPr>
                <w:rFonts w:hint="eastAsia" w:cs="宋体"/>
                <w:color w:val="auto"/>
                <w:sz w:val="24"/>
                <w:u w:val="none"/>
              </w:rPr>
              <w:t>建设项目名称</w:t>
            </w:r>
          </w:p>
        </w:tc>
        <w:tc>
          <w:tcPr>
            <w:tcW w:w="7103" w:type="dxa"/>
            <w:gridSpan w:val="3"/>
            <w:vAlign w:val="center"/>
          </w:tcPr>
          <w:p w14:paraId="22271A02">
            <w:pPr>
              <w:adjustRightInd w:val="0"/>
              <w:snapToGrid w:val="0"/>
              <w:jc w:val="center"/>
              <w:rPr>
                <w:rFonts w:hint="eastAsia" w:eastAsia="宋体" w:cs="宋体"/>
                <w:color w:val="auto"/>
                <w:sz w:val="24"/>
                <w:u w:val="none"/>
                <w:lang w:eastAsia="zh-CN"/>
              </w:rPr>
            </w:pPr>
            <w:r>
              <w:rPr>
                <w:rFonts w:hint="eastAsia"/>
                <w:color w:val="auto"/>
                <w:sz w:val="24"/>
                <w:u w:val="none"/>
                <w:lang w:val="en-US" w:eastAsia="zh-CN"/>
              </w:rPr>
              <w:t>龙山县城区污水处理设施提质增效工程-高铁新区污水处理设施建设项目</w:t>
            </w:r>
          </w:p>
        </w:tc>
      </w:tr>
      <w:tr w14:paraId="0DC56C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tcMar>
              <w:top w:w="16" w:type="dxa"/>
              <w:left w:w="16" w:type="dxa"/>
              <w:right w:w="16" w:type="dxa"/>
            </w:tcMar>
            <w:vAlign w:val="center"/>
          </w:tcPr>
          <w:p w14:paraId="40368BD6">
            <w:pPr>
              <w:adjustRightInd w:val="0"/>
              <w:snapToGrid w:val="0"/>
              <w:jc w:val="center"/>
              <w:rPr>
                <w:rFonts w:cs="宋体"/>
                <w:color w:val="auto"/>
                <w:sz w:val="24"/>
                <w:u w:val="none"/>
              </w:rPr>
            </w:pPr>
            <w:r>
              <w:rPr>
                <w:rFonts w:hint="eastAsia" w:cs="宋体"/>
                <w:color w:val="auto"/>
                <w:sz w:val="24"/>
                <w:u w:val="none"/>
              </w:rPr>
              <w:t>项目代码</w:t>
            </w:r>
          </w:p>
        </w:tc>
        <w:tc>
          <w:tcPr>
            <w:tcW w:w="7103" w:type="dxa"/>
            <w:gridSpan w:val="3"/>
            <w:vAlign w:val="center"/>
          </w:tcPr>
          <w:p w14:paraId="7971E26C">
            <w:pPr>
              <w:adjustRightInd w:val="0"/>
              <w:snapToGrid w:val="0"/>
              <w:jc w:val="center"/>
              <w:rPr>
                <w:rFonts w:hint="default" w:eastAsia="宋体" w:cs="宋体"/>
                <w:color w:val="auto"/>
                <w:sz w:val="24"/>
                <w:u w:val="none"/>
                <w:lang w:val="en-US" w:eastAsia="zh-CN"/>
              </w:rPr>
            </w:pPr>
            <w:r>
              <w:rPr>
                <w:rFonts w:hint="eastAsia" w:cs="宋体"/>
                <w:color w:val="auto"/>
                <w:sz w:val="24"/>
                <w:u w:val="none"/>
                <w:lang w:val="en-US" w:eastAsia="zh-CN"/>
              </w:rPr>
              <w:t>2302-433130-04-05-480178</w:t>
            </w:r>
          </w:p>
        </w:tc>
      </w:tr>
      <w:tr w14:paraId="3B829D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8" w:hRule="atLeast"/>
          <w:jc w:val="center"/>
        </w:trPr>
        <w:tc>
          <w:tcPr>
            <w:tcW w:w="1968" w:type="dxa"/>
            <w:tcMar>
              <w:top w:w="16" w:type="dxa"/>
              <w:left w:w="16" w:type="dxa"/>
              <w:right w:w="16" w:type="dxa"/>
            </w:tcMar>
            <w:vAlign w:val="center"/>
          </w:tcPr>
          <w:p w14:paraId="6E427203">
            <w:pPr>
              <w:adjustRightInd w:val="0"/>
              <w:snapToGrid w:val="0"/>
              <w:jc w:val="center"/>
              <w:rPr>
                <w:rFonts w:hint="eastAsia" w:cs="宋体"/>
                <w:color w:val="auto"/>
                <w:sz w:val="24"/>
                <w:u w:val="none"/>
              </w:rPr>
            </w:pPr>
            <w:r>
              <w:rPr>
                <w:rFonts w:hint="eastAsia" w:cs="宋体"/>
                <w:color w:val="auto"/>
                <w:sz w:val="24"/>
                <w:u w:val="none"/>
              </w:rPr>
              <w:t>建设单位联系人</w:t>
            </w:r>
          </w:p>
        </w:tc>
        <w:tc>
          <w:tcPr>
            <w:tcW w:w="2142" w:type="dxa"/>
            <w:vAlign w:val="center"/>
          </w:tcPr>
          <w:p w14:paraId="79821956">
            <w:pPr>
              <w:adjustRightInd w:val="0"/>
              <w:snapToGrid w:val="0"/>
              <w:jc w:val="center"/>
              <w:rPr>
                <w:rFonts w:hint="eastAsia" w:eastAsia="宋体"/>
                <w:color w:val="auto"/>
                <w:sz w:val="24"/>
                <w:u w:val="none"/>
                <w:lang w:val="en-US" w:eastAsia="zh-CN"/>
              </w:rPr>
            </w:pPr>
            <w:r>
              <w:rPr>
                <w:rFonts w:hint="eastAsia"/>
                <w:color w:val="auto"/>
                <w:sz w:val="24"/>
                <w:u w:val="none"/>
                <w:lang w:val="en-US" w:eastAsia="zh-CN"/>
              </w:rPr>
              <w:t>黎明</w:t>
            </w:r>
          </w:p>
        </w:tc>
        <w:tc>
          <w:tcPr>
            <w:tcW w:w="2262" w:type="dxa"/>
            <w:vAlign w:val="center"/>
          </w:tcPr>
          <w:p w14:paraId="664ADB93">
            <w:pPr>
              <w:adjustRightInd w:val="0"/>
              <w:snapToGrid w:val="0"/>
              <w:jc w:val="center"/>
              <w:rPr>
                <w:color w:val="auto"/>
                <w:sz w:val="24"/>
                <w:u w:val="none"/>
              </w:rPr>
            </w:pPr>
            <w:r>
              <w:rPr>
                <w:color w:val="auto"/>
                <w:sz w:val="24"/>
                <w:u w:val="none"/>
              </w:rPr>
              <w:t>联系方式</w:t>
            </w:r>
          </w:p>
        </w:tc>
        <w:tc>
          <w:tcPr>
            <w:tcW w:w="2699" w:type="dxa"/>
            <w:vAlign w:val="center"/>
          </w:tcPr>
          <w:p w14:paraId="0507AEFE">
            <w:pPr>
              <w:adjustRightInd w:val="0"/>
              <w:snapToGrid w:val="0"/>
              <w:jc w:val="center"/>
              <w:rPr>
                <w:rFonts w:hint="default" w:eastAsia="宋体"/>
                <w:color w:val="auto"/>
                <w:sz w:val="24"/>
                <w:u w:val="none"/>
                <w:lang w:val="en-US" w:eastAsia="zh-CN"/>
              </w:rPr>
            </w:pPr>
            <w:r>
              <w:rPr>
                <w:rFonts w:hint="eastAsia"/>
                <w:color w:val="auto"/>
                <w:sz w:val="24"/>
                <w:u w:val="none"/>
                <w:lang w:val="en-US" w:eastAsia="zh-CN"/>
              </w:rPr>
              <w:t>13574337938</w:t>
            </w:r>
          </w:p>
        </w:tc>
      </w:tr>
      <w:tr w14:paraId="2C9626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tcMar>
              <w:top w:w="16" w:type="dxa"/>
              <w:left w:w="16" w:type="dxa"/>
              <w:right w:w="16" w:type="dxa"/>
            </w:tcMar>
            <w:vAlign w:val="center"/>
          </w:tcPr>
          <w:p w14:paraId="206A05AD">
            <w:pPr>
              <w:adjustRightInd w:val="0"/>
              <w:snapToGrid w:val="0"/>
              <w:jc w:val="center"/>
              <w:rPr>
                <w:rFonts w:cs="宋体"/>
                <w:color w:val="auto"/>
                <w:sz w:val="24"/>
                <w:u w:val="none"/>
              </w:rPr>
            </w:pPr>
            <w:r>
              <w:rPr>
                <w:rFonts w:hint="eastAsia" w:cs="宋体"/>
                <w:color w:val="auto"/>
                <w:sz w:val="24"/>
                <w:u w:val="none"/>
              </w:rPr>
              <w:t>建设地点</w:t>
            </w:r>
          </w:p>
        </w:tc>
        <w:tc>
          <w:tcPr>
            <w:tcW w:w="7103" w:type="dxa"/>
            <w:gridSpan w:val="3"/>
            <w:vAlign w:val="center"/>
          </w:tcPr>
          <w:p w14:paraId="6DE7406F">
            <w:pPr>
              <w:adjustRightInd w:val="0"/>
              <w:snapToGrid w:val="0"/>
              <w:jc w:val="center"/>
              <w:rPr>
                <w:rFonts w:hint="default" w:eastAsia="宋体"/>
                <w:color w:val="auto"/>
                <w:sz w:val="24"/>
                <w:highlight w:val="none"/>
                <w:u w:val="none"/>
                <w:lang w:val="en-US" w:eastAsia="zh-CN"/>
              </w:rPr>
            </w:pPr>
            <w:r>
              <w:rPr>
                <w:rFonts w:hint="eastAsia"/>
                <w:color w:val="auto"/>
                <w:sz w:val="24"/>
                <w:highlight w:val="none"/>
                <w:u w:val="none"/>
                <w:lang w:val="en-US" w:eastAsia="zh-CN"/>
              </w:rPr>
              <w:t>龙山县高铁新区</w:t>
            </w:r>
          </w:p>
        </w:tc>
      </w:tr>
      <w:tr w14:paraId="69E8F2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tcMar>
              <w:top w:w="16" w:type="dxa"/>
              <w:left w:w="16" w:type="dxa"/>
              <w:right w:w="16" w:type="dxa"/>
            </w:tcMar>
            <w:vAlign w:val="center"/>
          </w:tcPr>
          <w:p w14:paraId="11FDB375">
            <w:pPr>
              <w:adjustRightInd w:val="0"/>
              <w:snapToGrid w:val="0"/>
              <w:jc w:val="center"/>
              <w:rPr>
                <w:rFonts w:cs="宋体"/>
                <w:color w:val="auto"/>
                <w:sz w:val="24"/>
                <w:u w:val="none"/>
              </w:rPr>
            </w:pPr>
            <w:r>
              <w:rPr>
                <w:rFonts w:hint="eastAsia" w:cs="宋体"/>
                <w:color w:val="auto"/>
                <w:sz w:val="24"/>
                <w:u w:val="none"/>
              </w:rPr>
              <w:t>地理坐标</w:t>
            </w:r>
          </w:p>
        </w:tc>
        <w:tc>
          <w:tcPr>
            <w:tcW w:w="7103" w:type="dxa"/>
            <w:gridSpan w:val="3"/>
            <w:vAlign w:val="center"/>
          </w:tcPr>
          <w:p w14:paraId="567A9820">
            <w:pPr>
              <w:jc w:val="center"/>
              <w:rPr>
                <w:color w:val="auto"/>
                <w:sz w:val="24"/>
                <w:highlight w:val="none"/>
                <w:u w:val="none"/>
              </w:rPr>
            </w:pPr>
            <w:r>
              <w:rPr>
                <w:rFonts w:hint="default" w:ascii="Times New Roman" w:hAnsi="Times New Roman" w:cs="Times New Roman"/>
                <w:color w:val="auto"/>
                <w:sz w:val="24"/>
                <w:highlight w:val="none"/>
                <w:u w:val="none"/>
              </w:rPr>
              <w:t>经度：</w:t>
            </w:r>
            <w:r>
              <w:rPr>
                <w:rFonts w:hint="default" w:ascii="Times New Roman" w:hAnsi="Times New Roman" w:cs="Times New Roman"/>
                <w:color w:val="auto"/>
                <w:sz w:val="24"/>
                <w:highlight w:val="none"/>
                <w:u w:val="none"/>
                <w:lang w:val="en-US" w:eastAsia="zh-CN"/>
              </w:rPr>
              <w:t>E</w:t>
            </w:r>
            <w:r>
              <w:rPr>
                <w:rFonts w:hint="default" w:ascii="Times New Roman" w:hAnsi="Times New Roman" w:cs="Times New Roman"/>
                <w:color w:val="auto"/>
                <w:sz w:val="24"/>
                <w:highlight w:val="none"/>
                <w:u w:val="none"/>
              </w:rPr>
              <w:t>109°27′32.205″，N29°28′47.010″</w:t>
            </w:r>
          </w:p>
        </w:tc>
      </w:tr>
      <w:tr w14:paraId="1C80D5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968" w:type="dxa"/>
            <w:tcMar>
              <w:top w:w="16" w:type="dxa"/>
              <w:left w:w="16" w:type="dxa"/>
              <w:right w:w="16" w:type="dxa"/>
            </w:tcMar>
            <w:vAlign w:val="center"/>
          </w:tcPr>
          <w:p w14:paraId="08B9EA2C">
            <w:pPr>
              <w:adjustRightInd w:val="0"/>
              <w:snapToGrid w:val="0"/>
              <w:jc w:val="center"/>
              <w:rPr>
                <w:rFonts w:hint="eastAsia" w:cs="宋体"/>
                <w:color w:val="auto"/>
                <w:sz w:val="24"/>
                <w:u w:val="none"/>
              </w:rPr>
            </w:pPr>
            <w:r>
              <w:rPr>
                <w:rFonts w:hint="eastAsia" w:cs="宋体"/>
                <w:color w:val="auto"/>
                <w:sz w:val="24"/>
                <w:u w:val="none"/>
              </w:rPr>
              <w:t>国民经济</w:t>
            </w:r>
          </w:p>
          <w:p w14:paraId="5FE6EAD8">
            <w:pPr>
              <w:adjustRightInd w:val="0"/>
              <w:snapToGrid w:val="0"/>
              <w:jc w:val="center"/>
              <w:rPr>
                <w:rFonts w:cs="宋体"/>
                <w:color w:val="auto"/>
                <w:sz w:val="24"/>
                <w:u w:val="none"/>
              </w:rPr>
            </w:pPr>
            <w:r>
              <w:rPr>
                <w:rFonts w:hint="eastAsia" w:cs="宋体"/>
                <w:color w:val="auto"/>
                <w:sz w:val="24"/>
                <w:u w:val="none"/>
              </w:rPr>
              <w:t>行业类别</w:t>
            </w:r>
          </w:p>
        </w:tc>
        <w:tc>
          <w:tcPr>
            <w:tcW w:w="2142" w:type="dxa"/>
            <w:vAlign w:val="center"/>
          </w:tcPr>
          <w:p w14:paraId="744DE3DC">
            <w:pPr>
              <w:pStyle w:val="40"/>
              <w:rPr>
                <w:rFonts w:ascii="Times New Roman" w:hAnsi="Times New Roman" w:cs="宋体"/>
                <w:color w:val="auto"/>
                <w:u w:val="none"/>
              </w:rPr>
            </w:pPr>
            <w:r>
              <w:rPr>
                <w:rFonts w:hint="eastAsia" w:ascii="Times New Roman" w:hAnsi="Times New Roman" w:cs="宋体"/>
                <w:color w:val="auto"/>
                <w:u w:val="none"/>
              </w:rPr>
              <w:t>污水处理及其再生利用[D4620]</w:t>
            </w:r>
          </w:p>
        </w:tc>
        <w:tc>
          <w:tcPr>
            <w:tcW w:w="2262" w:type="dxa"/>
            <w:vAlign w:val="center"/>
          </w:tcPr>
          <w:p w14:paraId="6F64C1F0">
            <w:pPr>
              <w:adjustRightInd w:val="0"/>
              <w:snapToGrid w:val="0"/>
              <w:jc w:val="center"/>
              <w:rPr>
                <w:rFonts w:cs="宋体"/>
                <w:color w:val="auto"/>
                <w:sz w:val="24"/>
                <w:u w:val="none"/>
              </w:rPr>
            </w:pPr>
            <w:bookmarkStart w:id="1" w:name="_Hlk49843745"/>
            <w:r>
              <w:rPr>
                <w:rFonts w:hint="eastAsia" w:cs="宋体"/>
                <w:color w:val="auto"/>
                <w:sz w:val="24"/>
                <w:u w:val="none"/>
              </w:rPr>
              <w:t>建设项目</w:t>
            </w:r>
          </w:p>
          <w:p w14:paraId="7FA7164A">
            <w:pPr>
              <w:adjustRightInd w:val="0"/>
              <w:snapToGrid w:val="0"/>
              <w:jc w:val="center"/>
              <w:rPr>
                <w:rFonts w:cs="宋体"/>
                <w:color w:val="auto"/>
                <w:sz w:val="24"/>
                <w:u w:val="none"/>
              </w:rPr>
            </w:pPr>
            <w:r>
              <w:rPr>
                <w:rFonts w:hint="eastAsia" w:cs="宋体"/>
                <w:color w:val="auto"/>
                <w:sz w:val="24"/>
                <w:u w:val="none"/>
              </w:rPr>
              <w:t>行业类别</w:t>
            </w:r>
            <w:bookmarkEnd w:id="1"/>
          </w:p>
        </w:tc>
        <w:tc>
          <w:tcPr>
            <w:tcW w:w="2699" w:type="dxa"/>
            <w:vAlign w:val="center"/>
          </w:tcPr>
          <w:p w14:paraId="3DF717E2">
            <w:pPr>
              <w:autoSpaceDE w:val="0"/>
              <w:autoSpaceDN w:val="0"/>
              <w:adjustRightInd w:val="0"/>
              <w:jc w:val="left"/>
              <w:rPr>
                <w:rFonts w:hint="eastAsia" w:ascii="Times New Roman" w:hAnsi="Times New Roman" w:cs="宋体"/>
                <w:color w:val="auto"/>
                <w:sz w:val="24"/>
                <w:szCs w:val="24"/>
                <w:u w:val="none"/>
              </w:rPr>
            </w:pPr>
            <w:r>
              <w:rPr>
                <w:color w:val="auto"/>
                <w:sz w:val="24"/>
                <w:u w:val="none"/>
              </w:rPr>
              <w:t>四十三、水的生产和供应业  95污水处理及其再生利用</w:t>
            </w:r>
            <w:r>
              <w:rPr>
                <w:rFonts w:hint="eastAsia"/>
                <w:color w:val="auto"/>
                <w:sz w:val="24"/>
                <w:u w:val="none"/>
                <w:lang w:eastAsia="zh-CN"/>
              </w:rPr>
              <w:t>，</w:t>
            </w:r>
            <w:r>
              <w:rPr>
                <w:color w:val="auto"/>
                <w:sz w:val="24"/>
                <w:u w:val="none"/>
              </w:rPr>
              <w:t>新</w:t>
            </w:r>
            <w:r>
              <w:rPr>
                <w:rFonts w:hint="default" w:ascii="Times New Roman" w:hAnsi="Times New Roman" w:cs="Times New Roman"/>
                <w:color w:val="auto"/>
                <w:sz w:val="24"/>
                <w:u w:val="none"/>
              </w:rPr>
              <w:t>建、扩建日处理10万吨以下500吨</w:t>
            </w:r>
            <w:r>
              <w:rPr>
                <w:rFonts w:hint="default" w:ascii="Times New Roman" w:hAnsi="Times New Roman" w:cs="Times New Roman"/>
                <w:color w:val="auto"/>
                <w:sz w:val="24"/>
                <w:u w:val="none"/>
                <w:lang w:eastAsia="zh-CN"/>
              </w:rPr>
              <w:t>及</w:t>
            </w:r>
            <w:r>
              <w:rPr>
                <w:rFonts w:hint="default" w:ascii="Times New Roman" w:hAnsi="Times New Roman" w:cs="Times New Roman"/>
                <w:color w:val="auto"/>
                <w:sz w:val="24"/>
                <w:u w:val="none"/>
              </w:rPr>
              <w:t>以上城乡污水处理的</w:t>
            </w:r>
          </w:p>
        </w:tc>
      </w:tr>
      <w:tr w14:paraId="08A5BA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968" w:type="dxa"/>
            <w:tcMar>
              <w:top w:w="16" w:type="dxa"/>
              <w:left w:w="16" w:type="dxa"/>
              <w:right w:w="16" w:type="dxa"/>
            </w:tcMar>
            <w:vAlign w:val="center"/>
          </w:tcPr>
          <w:p w14:paraId="41F037FA">
            <w:pPr>
              <w:adjustRightInd w:val="0"/>
              <w:snapToGrid w:val="0"/>
              <w:jc w:val="center"/>
              <w:rPr>
                <w:rFonts w:cs="宋体"/>
                <w:color w:val="auto"/>
                <w:sz w:val="24"/>
                <w:u w:val="none"/>
              </w:rPr>
            </w:pPr>
            <w:r>
              <w:rPr>
                <w:rFonts w:hint="eastAsia" w:cs="宋体"/>
                <w:color w:val="auto"/>
                <w:sz w:val="24"/>
                <w:u w:val="none"/>
              </w:rPr>
              <w:t>建设性质</w:t>
            </w:r>
          </w:p>
        </w:tc>
        <w:tc>
          <w:tcPr>
            <w:tcW w:w="2142" w:type="dxa"/>
            <w:vAlign w:val="center"/>
          </w:tcPr>
          <w:p w14:paraId="1BC83AE2">
            <w:pPr>
              <w:jc w:val="left"/>
              <w:rPr>
                <w:rFonts w:cs="宋体"/>
                <w:color w:val="auto"/>
                <w:sz w:val="24"/>
                <w:u w:val="none"/>
              </w:rPr>
            </w:pPr>
            <w:r>
              <w:rPr>
                <w:rFonts w:hint="eastAsia" w:cs="宋体"/>
                <w:color w:val="auto"/>
                <w:sz w:val="24"/>
                <w:u w:val="none"/>
              </w:rPr>
              <w:sym w:font="Wingdings" w:char="00FE"/>
            </w:r>
            <w:r>
              <w:rPr>
                <w:rFonts w:hint="eastAsia" w:cs="宋体"/>
                <w:color w:val="auto"/>
                <w:sz w:val="24"/>
                <w:u w:val="none"/>
              </w:rPr>
              <w:t>新建（迁建）</w:t>
            </w:r>
          </w:p>
          <w:p w14:paraId="326FCBCA">
            <w:pPr>
              <w:jc w:val="left"/>
              <w:rPr>
                <w:rFonts w:hint="eastAsia" w:cs="宋体"/>
                <w:color w:val="auto"/>
                <w:sz w:val="24"/>
                <w:u w:val="none"/>
              </w:rPr>
            </w:pPr>
            <w:r>
              <w:rPr>
                <w:rFonts w:hint="eastAsia" w:cs="宋体"/>
                <w:color w:val="auto"/>
                <w:sz w:val="24"/>
                <w:u w:val="none"/>
              </w:rPr>
              <w:sym w:font="Wingdings" w:char="00A8"/>
            </w:r>
            <w:r>
              <w:rPr>
                <w:rFonts w:hint="eastAsia" w:cs="宋体"/>
                <w:color w:val="auto"/>
                <w:sz w:val="24"/>
                <w:u w:val="none"/>
              </w:rPr>
              <w:t>改建</w:t>
            </w:r>
          </w:p>
          <w:p w14:paraId="463649AF">
            <w:pPr>
              <w:jc w:val="left"/>
              <w:rPr>
                <w:rFonts w:hint="eastAsia" w:cs="宋体"/>
                <w:color w:val="auto"/>
                <w:sz w:val="24"/>
                <w:u w:val="none"/>
              </w:rPr>
            </w:pPr>
            <w:r>
              <w:rPr>
                <w:rFonts w:hint="eastAsia" w:cs="宋体"/>
                <w:color w:val="auto"/>
                <w:sz w:val="24"/>
                <w:u w:val="none"/>
              </w:rPr>
              <w:sym w:font="Wingdings" w:char="00A8"/>
            </w:r>
            <w:r>
              <w:rPr>
                <w:rFonts w:hint="eastAsia" w:cs="宋体"/>
                <w:color w:val="auto"/>
                <w:sz w:val="24"/>
                <w:u w:val="none"/>
              </w:rPr>
              <w:t>扩建</w:t>
            </w:r>
          </w:p>
          <w:p w14:paraId="4648FF6A">
            <w:pPr>
              <w:jc w:val="left"/>
              <w:rPr>
                <w:rFonts w:cs="宋体"/>
                <w:color w:val="auto"/>
                <w:sz w:val="24"/>
                <w:u w:val="none"/>
              </w:rPr>
            </w:pPr>
            <w:r>
              <w:rPr>
                <w:rFonts w:hint="eastAsia" w:cs="宋体"/>
                <w:color w:val="auto"/>
                <w:sz w:val="24"/>
                <w:u w:val="none"/>
              </w:rPr>
              <w:sym w:font="Wingdings" w:char="00A8"/>
            </w:r>
            <w:r>
              <w:rPr>
                <w:rFonts w:hint="eastAsia" w:cs="宋体"/>
                <w:color w:val="auto"/>
                <w:sz w:val="24"/>
                <w:u w:val="none"/>
              </w:rPr>
              <w:t>技术改造</w:t>
            </w:r>
          </w:p>
        </w:tc>
        <w:tc>
          <w:tcPr>
            <w:tcW w:w="2262" w:type="dxa"/>
            <w:vAlign w:val="center"/>
          </w:tcPr>
          <w:p w14:paraId="53D94A38">
            <w:pPr>
              <w:adjustRightInd w:val="0"/>
              <w:snapToGrid w:val="0"/>
              <w:jc w:val="center"/>
              <w:rPr>
                <w:rFonts w:hint="eastAsia" w:cs="宋体"/>
                <w:color w:val="auto"/>
                <w:sz w:val="24"/>
                <w:u w:val="none"/>
              </w:rPr>
            </w:pPr>
            <w:r>
              <w:rPr>
                <w:rFonts w:hint="eastAsia" w:cs="宋体"/>
                <w:color w:val="auto"/>
                <w:sz w:val="24"/>
                <w:u w:val="none"/>
              </w:rPr>
              <w:t>建设项目</w:t>
            </w:r>
          </w:p>
          <w:p w14:paraId="3A477E67">
            <w:pPr>
              <w:adjustRightInd w:val="0"/>
              <w:snapToGrid w:val="0"/>
              <w:jc w:val="center"/>
              <w:rPr>
                <w:rFonts w:cs="宋体"/>
                <w:color w:val="auto"/>
                <w:sz w:val="24"/>
                <w:u w:val="none"/>
              </w:rPr>
            </w:pPr>
            <w:r>
              <w:rPr>
                <w:rFonts w:hint="eastAsia" w:cs="宋体"/>
                <w:color w:val="auto"/>
                <w:sz w:val="24"/>
                <w:u w:val="none"/>
              </w:rPr>
              <w:t>申报情形</w:t>
            </w:r>
          </w:p>
        </w:tc>
        <w:tc>
          <w:tcPr>
            <w:tcW w:w="2699" w:type="dxa"/>
            <w:vAlign w:val="center"/>
          </w:tcPr>
          <w:p w14:paraId="23702F6C">
            <w:pPr>
              <w:jc w:val="left"/>
              <w:rPr>
                <w:rFonts w:cs="宋体"/>
                <w:color w:val="auto"/>
                <w:sz w:val="24"/>
                <w:u w:val="none"/>
              </w:rPr>
            </w:pPr>
            <w:r>
              <w:rPr>
                <w:rFonts w:hint="eastAsia" w:cs="宋体"/>
                <w:color w:val="auto"/>
                <w:sz w:val="24"/>
                <w:u w:val="none"/>
                <w:lang w:eastAsia="zh-CN"/>
              </w:rPr>
              <w:t>☑</w:t>
            </w:r>
            <w:r>
              <w:rPr>
                <w:rFonts w:hint="eastAsia" w:cs="宋体"/>
                <w:color w:val="auto"/>
                <w:sz w:val="24"/>
                <w:u w:val="none"/>
              </w:rPr>
              <w:t>首次申报项目</w:t>
            </w:r>
          </w:p>
          <w:p w14:paraId="217C0D38">
            <w:pPr>
              <w:jc w:val="left"/>
              <w:rPr>
                <w:rFonts w:cs="宋体"/>
                <w:color w:val="auto"/>
                <w:sz w:val="24"/>
                <w:u w:val="none"/>
              </w:rPr>
            </w:pPr>
            <w:r>
              <w:rPr>
                <w:rFonts w:hint="eastAsia" w:cs="宋体"/>
                <w:color w:val="auto"/>
                <w:sz w:val="24"/>
                <w:u w:val="none"/>
              </w:rPr>
              <w:t>□不予批准后再次申报项目</w:t>
            </w:r>
          </w:p>
          <w:p w14:paraId="0ACF0E79">
            <w:pPr>
              <w:jc w:val="left"/>
              <w:rPr>
                <w:rFonts w:cs="宋体"/>
                <w:color w:val="auto"/>
                <w:sz w:val="24"/>
                <w:u w:val="none"/>
              </w:rPr>
            </w:pPr>
            <w:r>
              <w:rPr>
                <w:rFonts w:hint="eastAsia" w:cs="宋体"/>
                <w:color w:val="auto"/>
                <w:sz w:val="24"/>
                <w:u w:val="none"/>
                <w:lang w:eastAsia="zh-CN"/>
              </w:rPr>
              <w:t>□</w:t>
            </w:r>
            <w:r>
              <w:rPr>
                <w:rFonts w:hint="eastAsia" w:cs="宋体"/>
                <w:color w:val="auto"/>
                <w:sz w:val="24"/>
                <w:u w:val="none"/>
              </w:rPr>
              <w:t>超五年重新审核项目</w:t>
            </w:r>
            <w:r>
              <w:rPr>
                <w:rFonts w:cs="宋体"/>
                <w:color w:val="auto"/>
                <w:sz w:val="24"/>
                <w:u w:val="none"/>
              </w:rPr>
              <w:t xml:space="preserve">     </w:t>
            </w:r>
          </w:p>
          <w:p w14:paraId="3D7C3F52">
            <w:pPr>
              <w:jc w:val="left"/>
              <w:rPr>
                <w:rFonts w:cs="宋体"/>
                <w:color w:val="auto"/>
                <w:sz w:val="24"/>
                <w:u w:val="none"/>
              </w:rPr>
            </w:pPr>
            <w:r>
              <w:rPr>
                <w:rFonts w:hint="eastAsia" w:cs="宋体"/>
                <w:color w:val="auto"/>
                <w:sz w:val="24"/>
                <w:u w:val="none"/>
              </w:rPr>
              <w:sym w:font="Wingdings" w:char="00A8"/>
            </w:r>
            <w:r>
              <w:rPr>
                <w:rFonts w:hint="eastAsia" w:cs="宋体"/>
                <w:color w:val="auto"/>
                <w:sz w:val="24"/>
                <w:u w:val="none"/>
              </w:rPr>
              <w:t>重大变动重新报批项目</w:t>
            </w:r>
          </w:p>
        </w:tc>
      </w:tr>
      <w:tr w14:paraId="4C8AEA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968" w:type="dxa"/>
            <w:tcMar>
              <w:top w:w="16" w:type="dxa"/>
              <w:left w:w="16" w:type="dxa"/>
              <w:right w:w="16" w:type="dxa"/>
            </w:tcMar>
            <w:vAlign w:val="center"/>
          </w:tcPr>
          <w:p w14:paraId="710E8C4F">
            <w:pPr>
              <w:adjustRightInd w:val="0"/>
              <w:snapToGrid w:val="0"/>
              <w:jc w:val="center"/>
              <w:rPr>
                <w:rFonts w:hint="eastAsia" w:cs="宋体"/>
                <w:color w:val="auto"/>
                <w:sz w:val="24"/>
                <w:u w:val="none"/>
              </w:rPr>
            </w:pPr>
            <w:r>
              <w:rPr>
                <w:rFonts w:hint="eastAsia" w:cs="宋体"/>
                <w:color w:val="auto"/>
                <w:sz w:val="24"/>
                <w:u w:val="none"/>
              </w:rPr>
              <w:t>项目审批（核准</w:t>
            </w:r>
            <w:r>
              <w:rPr>
                <w:rFonts w:cs="宋体"/>
                <w:color w:val="auto"/>
                <w:sz w:val="24"/>
                <w:u w:val="none"/>
              </w:rPr>
              <w:t>/</w:t>
            </w:r>
          </w:p>
          <w:p w14:paraId="568C4F6E">
            <w:pPr>
              <w:adjustRightInd w:val="0"/>
              <w:snapToGrid w:val="0"/>
              <w:jc w:val="center"/>
              <w:rPr>
                <w:rFonts w:cs="宋体"/>
                <w:color w:val="auto"/>
                <w:sz w:val="24"/>
                <w:u w:val="none"/>
              </w:rPr>
            </w:pPr>
            <w:r>
              <w:rPr>
                <w:rFonts w:hint="eastAsia" w:cs="宋体"/>
                <w:color w:val="auto"/>
                <w:sz w:val="24"/>
                <w:u w:val="none"/>
              </w:rPr>
              <w:t>备案）部门（选填）</w:t>
            </w:r>
          </w:p>
        </w:tc>
        <w:tc>
          <w:tcPr>
            <w:tcW w:w="2142" w:type="dxa"/>
            <w:vAlign w:val="center"/>
          </w:tcPr>
          <w:p w14:paraId="6442ADC2">
            <w:pPr>
              <w:adjustRightInd w:val="0"/>
              <w:snapToGrid w:val="0"/>
              <w:jc w:val="center"/>
              <w:rPr>
                <w:rFonts w:hint="eastAsia" w:eastAsia="宋体" w:cs="宋体"/>
                <w:color w:val="auto"/>
                <w:sz w:val="24"/>
                <w:u w:val="none"/>
                <w:lang w:eastAsia="zh-CN"/>
              </w:rPr>
            </w:pPr>
            <w:r>
              <w:rPr>
                <w:rFonts w:hint="eastAsia" w:cs="宋体"/>
                <w:color w:val="auto"/>
                <w:sz w:val="24"/>
                <w:u w:val="none"/>
                <w:lang w:eastAsia="zh-CN"/>
              </w:rPr>
              <w:t>龙山县发展和改革局</w:t>
            </w:r>
          </w:p>
        </w:tc>
        <w:tc>
          <w:tcPr>
            <w:tcW w:w="2262" w:type="dxa"/>
            <w:vAlign w:val="center"/>
          </w:tcPr>
          <w:p w14:paraId="0A1DC43C">
            <w:pPr>
              <w:adjustRightInd w:val="0"/>
              <w:snapToGrid w:val="0"/>
              <w:jc w:val="center"/>
              <w:rPr>
                <w:rFonts w:hint="eastAsia" w:cs="宋体"/>
                <w:color w:val="auto"/>
                <w:sz w:val="24"/>
                <w:u w:val="none"/>
              </w:rPr>
            </w:pPr>
            <w:r>
              <w:rPr>
                <w:rFonts w:hint="eastAsia" w:cs="宋体"/>
                <w:color w:val="auto"/>
                <w:sz w:val="24"/>
                <w:u w:val="none"/>
              </w:rPr>
              <w:t>项目审批（核准</w:t>
            </w:r>
            <w:r>
              <w:rPr>
                <w:rFonts w:cs="宋体"/>
                <w:color w:val="auto"/>
                <w:sz w:val="24"/>
                <w:u w:val="none"/>
              </w:rPr>
              <w:t>/</w:t>
            </w:r>
          </w:p>
          <w:p w14:paraId="6424DDF4">
            <w:pPr>
              <w:adjustRightInd w:val="0"/>
              <w:snapToGrid w:val="0"/>
              <w:jc w:val="center"/>
              <w:rPr>
                <w:rFonts w:hint="eastAsia" w:cs="宋体"/>
                <w:color w:val="auto"/>
                <w:sz w:val="24"/>
                <w:u w:val="none"/>
              </w:rPr>
            </w:pPr>
            <w:r>
              <w:rPr>
                <w:rFonts w:hint="eastAsia" w:cs="宋体"/>
                <w:color w:val="auto"/>
                <w:sz w:val="24"/>
                <w:u w:val="none"/>
              </w:rPr>
              <w:t>备案）文号（选填）</w:t>
            </w:r>
          </w:p>
        </w:tc>
        <w:tc>
          <w:tcPr>
            <w:tcW w:w="2699" w:type="dxa"/>
            <w:vAlign w:val="center"/>
          </w:tcPr>
          <w:p w14:paraId="794BEADB">
            <w:pPr>
              <w:adjustRightInd w:val="0"/>
              <w:snapToGrid w:val="0"/>
              <w:jc w:val="center"/>
              <w:rPr>
                <w:rFonts w:hint="default" w:eastAsia="宋体" w:cs="宋体"/>
                <w:color w:val="auto"/>
                <w:sz w:val="24"/>
                <w:u w:val="none"/>
                <w:lang w:val="en-US" w:eastAsia="zh-CN"/>
              </w:rPr>
            </w:pPr>
            <w:r>
              <w:rPr>
                <w:rFonts w:hint="eastAsia" w:cs="宋体"/>
                <w:color w:val="auto"/>
                <w:sz w:val="24"/>
                <w:u w:val="none"/>
                <w:lang w:val="en-US" w:eastAsia="zh-CN"/>
              </w:rPr>
              <w:t>龙发改环资</w:t>
            </w:r>
            <w:r>
              <w:rPr>
                <w:rFonts w:hint="eastAsia" w:ascii="宋体" w:hAnsi="宋体" w:eastAsia="宋体" w:cs="宋体"/>
                <w:color w:val="auto"/>
                <w:sz w:val="24"/>
                <w:u w:val="none"/>
                <w:lang w:val="en-US" w:eastAsia="zh-CN"/>
              </w:rPr>
              <w:t>[</w:t>
            </w:r>
            <w:r>
              <w:rPr>
                <w:rFonts w:hint="eastAsia" w:cs="宋体"/>
                <w:color w:val="auto"/>
                <w:sz w:val="24"/>
                <w:u w:val="none"/>
                <w:lang w:val="en-US" w:eastAsia="zh-CN"/>
              </w:rPr>
              <w:t>2023</w:t>
            </w:r>
            <w:r>
              <w:rPr>
                <w:rFonts w:hint="eastAsia" w:ascii="宋体" w:hAnsi="宋体" w:eastAsia="宋体" w:cs="宋体"/>
                <w:color w:val="auto"/>
                <w:sz w:val="24"/>
                <w:u w:val="none"/>
                <w:lang w:val="en-US" w:eastAsia="zh-CN"/>
              </w:rPr>
              <w:t>]</w:t>
            </w:r>
            <w:r>
              <w:rPr>
                <w:rFonts w:hint="eastAsia" w:cs="宋体"/>
                <w:color w:val="auto"/>
                <w:sz w:val="24"/>
                <w:u w:val="none"/>
                <w:lang w:val="en-US" w:eastAsia="zh-CN"/>
              </w:rPr>
              <w:t>3号</w:t>
            </w:r>
          </w:p>
        </w:tc>
      </w:tr>
      <w:tr w14:paraId="41FD29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tcMar>
              <w:top w:w="16" w:type="dxa"/>
              <w:left w:w="16" w:type="dxa"/>
              <w:right w:w="16" w:type="dxa"/>
            </w:tcMar>
            <w:vAlign w:val="center"/>
          </w:tcPr>
          <w:p w14:paraId="5EA7C703">
            <w:pPr>
              <w:adjustRightInd w:val="0"/>
              <w:snapToGrid w:val="0"/>
              <w:jc w:val="center"/>
              <w:rPr>
                <w:rFonts w:cs="宋体"/>
                <w:color w:val="auto"/>
                <w:sz w:val="24"/>
                <w:u w:val="none"/>
              </w:rPr>
            </w:pPr>
            <w:r>
              <w:rPr>
                <w:rFonts w:hint="eastAsia" w:cs="宋体"/>
                <w:color w:val="auto"/>
                <w:sz w:val="24"/>
                <w:u w:val="none"/>
              </w:rPr>
              <w:t>总投资（万元）</w:t>
            </w:r>
          </w:p>
        </w:tc>
        <w:tc>
          <w:tcPr>
            <w:tcW w:w="2142" w:type="dxa"/>
            <w:vAlign w:val="center"/>
          </w:tcPr>
          <w:p w14:paraId="570ECB6B">
            <w:pPr>
              <w:adjustRightInd w:val="0"/>
              <w:snapToGrid w:val="0"/>
              <w:jc w:val="center"/>
              <w:rPr>
                <w:rFonts w:hint="default" w:eastAsia="宋体"/>
                <w:color w:val="auto"/>
                <w:sz w:val="24"/>
                <w:highlight w:val="none"/>
                <w:u w:val="none"/>
                <w:lang w:val="en-US" w:eastAsia="zh-CN"/>
              </w:rPr>
            </w:pPr>
            <w:r>
              <w:rPr>
                <w:rFonts w:hint="eastAsia"/>
                <w:color w:val="auto"/>
                <w:sz w:val="24"/>
                <w:highlight w:val="none"/>
                <w:u w:val="none"/>
                <w:lang w:val="en-US" w:eastAsia="zh-CN"/>
              </w:rPr>
              <w:t>9078.28</w:t>
            </w:r>
          </w:p>
        </w:tc>
        <w:tc>
          <w:tcPr>
            <w:tcW w:w="2262" w:type="dxa"/>
            <w:tcMar>
              <w:top w:w="16" w:type="dxa"/>
              <w:left w:w="16" w:type="dxa"/>
              <w:right w:w="16" w:type="dxa"/>
            </w:tcMar>
            <w:vAlign w:val="center"/>
          </w:tcPr>
          <w:p w14:paraId="041FD392">
            <w:pPr>
              <w:adjustRightInd w:val="0"/>
              <w:snapToGrid w:val="0"/>
              <w:jc w:val="center"/>
              <w:rPr>
                <w:color w:val="auto"/>
                <w:sz w:val="24"/>
                <w:highlight w:val="none"/>
                <w:u w:val="none"/>
              </w:rPr>
            </w:pPr>
            <w:r>
              <w:rPr>
                <w:color w:val="auto"/>
                <w:sz w:val="24"/>
                <w:highlight w:val="none"/>
                <w:u w:val="none"/>
              </w:rPr>
              <w:t>环保投资（万元）</w:t>
            </w:r>
          </w:p>
        </w:tc>
        <w:tc>
          <w:tcPr>
            <w:tcW w:w="2699" w:type="dxa"/>
            <w:vAlign w:val="center"/>
          </w:tcPr>
          <w:p w14:paraId="22839AB6">
            <w:pPr>
              <w:adjustRightInd w:val="0"/>
              <w:snapToGrid w:val="0"/>
              <w:jc w:val="center"/>
              <w:rPr>
                <w:rFonts w:hint="default"/>
                <w:color w:val="auto"/>
                <w:sz w:val="24"/>
                <w:highlight w:val="none"/>
                <w:u w:val="none"/>
                <w:lang w:val="en-US"/>
              </w:rPr>
            </w:pPr>
            <w:r>
              <w:rPr>
                <w:rFonts w:hint="eastAsia"/>
                <w:color w:val="auto"/>
                <w:sz w:val="24"/>
                <w:highlight w:val="none"/>
                <w:u w:val="none"/>
                <w:lang w:val="en-US" w:eastAsia="zh-CN"/>
              </w:rPr>
              <w:t>702</w:t>
            </w:r>
          </w:p>
        </w:tc>
      </w:tr>
      <w:tr w14:paraId="10CA1E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tcMar>
              <w:top w:w="16" w:type="dxa"/>
              <w:left w:w="16" w:type="dxa"/>
              <w:right w:w="16" w:type="dxa"/>
            </w:tcMar>
            <w:vAlign w:val="center"/>
          </w:tcPr>
          <w:p w14:paraId="4F01A6AC">
            <w:pPr>
              <w:adjustRightInd w:val="0"/>
              <w:snapToGrid w:val="0"/>
              <w:jc w:val="center"/>
              <w:rPr>
                <w:rFonts w:cs="宋体"/>
                <w:color w:val="auto"/>
                <w:sz w:val="24"/>
                <w:u w:val="none"/>
              </w:rPr>
            </w:pPr>
            <w:r>
              <w:rPr>
                <w:rFonts w:hint="eastAsia" w:cs="宋体"/>
                <w:color w:val="auto"/>
                <w:sz w:val="24"/>
                <w:u w:val="none"/>
              </w:rPr>
              <w:t>环保投资占比（</w:t>
            </w:r>
            <w:r>
              <w:rPr>
                <w:rFonts w:cs="宋体"/>
                <w:color w:val="auto"/>
                <w:sz w:val="24"/>
                <w:u w:val="none"/>
              </w:rPr>
              <w:t>%</w:t>
            </w:r>
            <w:r>
              <w:rPr>
                <w:rFonts w:hint="eastAsia" w:cs="宋体"/>
                <w:color w:val="auto"/>
                <w:sz w:val="24"/>
                <w:u w:val="none"/>
              </w:rPr>
              <w:t>）</w:t>
            </w:r>
          </w:p>
        </w:tc>
        <w:tc>
          <w:tcPr>
            <w:tcW w:w="2142" w:type="dxa"/>
            <w:vAlign w:val="center"/>
          </w:tcPr>
          <w:p w14:paraId="48811B48">
            <w:pPr>
              <w:adjustRightInd w:val="0"/>
              <w:snapToGrid w:val="0"/>
              <w:jc w:val="center"/>
              <w:rPr>
                <w:rFonts w:hint="default" w:eastAsia="宋体"/>
                <w:color w:val="auto"/>
                <w:sz w:val="24"/>
                <w:u w:val="none"/>
                <w:lang w:val="en-US" w:eastAsia="zh-CN"/>
              </w:rPr>
            </w:pPr>
            <w:r>
              <w:rPr>
                <w:rFonts w:hint="eastAsia"/>
                <w:color w:val="auto"/>
                <w:sz w:val="24"/>
                <w:u w:val="none"/>
                <w:lang w:val="en-US" w:eastAsia="zh-CN"/>
              </w:rPr>
              <w:t>100</w:t>
            </w:r>
          </w:p>
        </w:tc>
        <w:tc>
          <w:tcPr>
            <w:tcW w:w="2262" w:type="dxa"/>
            <w:tcMar>
              <w:top w:w="16" w:type="dxa"/>
              <w:left w:w="16" w:type="dxa"/>
              <w:right w:w="16" w:type="dxa"/>
            </w:tcMar>
            <w:vAlign w:val="center"/>
          </w:tcPr>
          <w:p w14:paraId="0F20EAA8">
            <w:pPr>
              <w:adjustRightInd w:val="0"/>
              <w:snapToGrid w:val="0"/>
              <w:jc w:val="center"/>
              <w:rPr>
                <w:color w:val="auto"/>
                <w:sz w:val="24"/>
                <w:u w:val="none"/>
              </w:rPr>
            </w:pPr>
            <w:r>
              <w:rPr>
                <w:color w:val="auto"/>
                <w:sz w:val="24"/>
                <w:u w:val="none"/>
              </w:rPr>
              <w:t>施工工期</w:t>
            </w:r>
          </w:p>
        </w:tc>
        <w:tc>
          <w:tcPr>
            <w:tcW w:w="2699" w:type="dxa"/>
            <w:vAlign w:val="center"/>
          </w:tcPr>
          <w:p w14:paraId="6197A2EB">
            <w:pPr>
              <w:adjustRightInd w:val="0"/>
              <w:snapToGrid w:val="0"/>
              <w:jc w:val="center"/>
              <w:rPr>
                <w:rFonts w:hint="default" w:eastAsia="宋体"/>
                <w:color w:val="auto"/>
                <w:sz w:val="24"/>
                <w:u w:val="none"/>
                <w:lang w:val="en-US" w:eastAsia="zh-CN"/>
              </w:rPr>
            </w:pPr>
            <w:r>
              <w:rPr>
                <w:rFonts w:hint="eastAsia"/>
                <w:color w:val="auto"/>
                <w:sz w:val="24"/>
                <w:u w:val="none"/>
                <w:lang w:val="en-US" w:eastAsia="zh-CN"/>
              </w:rPr>
              <w:t>12个月</w:t>
            </w:r>
          </w:p>
        </w:tc>
      </w:tr>
      <w:tr w14:paraId="707DFD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8" w:type="dxa"/>
            <w:tcMar>
              <w:top w:w="16" w:type="dxa"/>
              <w:left w:w="16" w:type="dxa"/>
              <w:right w:w="16" w:type="dxa"/>
            </w:tcMar>
            <w:vAlign w:val="center"/>
          </w:tcPr>
          <w:p w14:paraId="1FF4F7C4">
            <w:pPr>
              <w:adjustRightInd w:val="0"/>
              <w:snapToGrid w:val="0"/>
              <w:jc w:val="center"/>
              <w:rPr>
                <w:rFonts w:hint="eastAsia" w:cs="宋体"/>
                <w:color w:val="auto"/>
                <w:sz w:val="24"/>
                <w:u w:val="none"/>
              </w:rPr>
            </w:pPr>
            <w:r>
              <w:rPr>
                <w:rFonts w:hint="eastAsia" w:cs="宋体"/>
                <w:color w:val="auto"/>
                <w:sz w:val="24"/>
                <w:u w:val="none"/>
              </w:rPr>
              <w:t>是否开工建设</w:t>
            </w:r>
          </w:p>
        </w:tc>
        <w:tc>
          <w:tcPr>
            <w:tcW w:w="2142" w:type="dxa"/>
            <w:vAlign w:val="center"/>
          </w:tcPr>
          <w:p w14:paraId="243912DE">
            <w:pPr>
              <w:adjustRightInd w:val="0"/>
              <w:snapToGrid w:val="0"/>
              <w:rPr>
                <w:color w:val="auto"/>
                <w:sz w:val="24"/>
                <w:u w:val="none"/>
              </w:rPr>
            </w:pPr>
            <w:r>
              <w:rPr>
                <w:rFonts w:hint="eastAsia" w:cs="宋体"/>
                <w:color w:val="auto"/>
                <w:sz w:val="24"/>
                <w:u w:val="none"/>
              </w:rPr>
              <w:sym w:font="Wingdings" w:char="00FE"/>
            </w:r>
            <w:r>
              <w:rPr>
                <w:color w:val="auto"/>
                <w:sz w:val="24"/>
                <w:u w:val="none"/>
              </w:rPr>
              <w:t>否</w:t>
            </w:r>
          </w:p>
          <w:p w14:paraId="55C1C6BC">
            <w:pPr>
              <w:adjustRightInd w:val="0"/>
              <w:snapToGrid w:val="0"/>
              <w:rPr>
                <w:color w:val="auto"/>
                <w:sz w:val="24"/>
                <w:u w:val="none"/>
              </w:rPr>
            </w:pPr>
            <w:r>
              <w:rPr>
                <w:rFonts w:hint="eastAsia" w:cs="宋体"/>
                <w:color w:val="auto"/>
                <w:sz w:val="24"/>
                <w:u w:val="none"/>
              </w:rPr>
              <w:sym w:font="Wingdings" w:char="00A8"/>
            </w:r>
            <w:r>
              <w:rPr>
                <w:color w:val="auto"/>
                <w:sz w:val="24"/>
                <w:u w:val="none"/>
              </w:rPr>
              <w:t xml:space="preserve">是：          </w:t>
            </w:r>
          </w:p>
        </w:tc>
        <w:tc>
          <w:tcPr>
            <w:tcW w:w="2262" w:type="dxa"/>
            <w:tcMar>
              <w:top w:w="16" w:type="dxa"/>
              <w:left w:w="16" w:type="dxa"/>
              <w:right w:w="16" w:type="dxa"/>
            </w:tcMar>
            <w:vAlign w:val="center"/>
          </w:tcPr>
          <w:p w14:paraId="525328B0">
            <w:pPr>
              <w:adjustRightInd w:val="0"/>
              <w:snapToGrid w:val="0"/>
              <w:jc w:val="center"/>
              <w:rPr>
                <w:color w:val="auto"/>
                <w:spacing w:val="-6"/>
                <w:sz w:val="24"/>
                <w:u w:val="none"/>
              </w:rPr>
            </w:pPr>
            <w:r>
              <w:rPr>
                <w:color w:val="auto"/>
                <w:spacing w:val="-6"/>
                <w:sz w:val="24"/>
                <w:u w:val="none"/>
              </w:rPr>
              <w:t>用地（用海）</w:t>
            </w:r>
          </w:p>
          <w:p w14:paraId="7949FEB2">
            <w:pPr>
              <w:adjustRightInd w:val="0"/>
              <w:snapToGrid w:val="0"/>
              <w:jc w:val="center"/>
              <w:rPr>
                <w:color w:val="auto"/>
                <w:sz w:val="24"/>
                <w:u w:val="none"/>
              </w:rPr>
            </w:pPr>
            <w:r>
              <w:rPr>
                <w:color w:val="auto"/>
                <w:spacing w:val="-6"/>
                <w:sz w:val="24"/>
                <w:u w:val="none"/>
              </w:rPr>
              <w:t>面积（m</w:t>
            </w:r>
            <w:r>
              <w:rPr>
                <w:color w:val="auto"/>
                <w:spacing w:val="-6"/>
                <w:sz w:val="24"/>
                <w:u w:val="none"/>
                <w:vertAlign w:val="superscript"/>
              </w:rPr>
              <w:t>2</w:t>
            </w:r>
            <w:r>
              <w:rPr>
                <w:color w:val="auto"/>
                <w:spacing w:val="-6"/>
                <w:sz w:val="24"/>
                <w:u w:val="none"/>
              </w:rPr>
              <w:t>）</w:t>
            </w:r>
          </w:p>
        </w:tc>
        <w:tc>
          <w:tcPr>
            <w:tcW w:w="2699" w:type="dxa"/>
            <w:vAlign w:val="center"/>
          </w:tcPr>
          <w:p w14:paraId="342D452D">
            <w:pPr>
              <w:adjustRightInd w:val="0"/>
              <w:snapToGrid w:val="0"/>
              <w:jc w:val="center"/>
              <w:rPr>
                <w:rFonts w:hint="eastAsia" w:eastAsia="宋体"/>
                <w:color w:val="auto"/>
                <w:sz w:val="24"/>
                <w:u w:val="none"/>
                <w:lang w:eastAsia="zh-CN"/>
              </w:rPr>
            </w:pPr>
            <w:r>
              <w:rPr>
                <w:rFonts w:hint="eastAsia"/>
                <w:color w:val="auto"/>
                <w:sz w:val="24"/>
                <w:u w:val="none"/>
                <w:lang w:val="en-US" w:eastAsia="zh-CN"/>
              </w:rPr>
              <w:t>27057.35</w:t>
            </w:r>
          </w:p>
        </w:tc>
      </w:tr>
      <w:tr w14:paraId="4CD036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1968" w:type="dxa"/>
            <w:vAlign w:val="center"/>
          </w:tcPr>
          <w:p w14:paraId="083C343A">
            <w:pPr>
              <w:autoSpaceDE w:val="0"/>
              <w:autoSpaceDN w:val="0"/>
              <w:adjustRightInd w:val="0"/>
              <w:snapToGrid w:val="0"/>
              <w:jc w:val="center"/>
              <w:rPr>
                <w:rFonts w:cs="宋体"/>
                <w:color w:val="auto"/>
                <w:kern w:val="0"/>
                <w:sz w:val="24"/>
                <w:u w:val="none"/>
              </w:rPr>
            </w:pPr>
            <w:r>
              <w:rPr>
                <w:rFonts w:hint="eastAsia" w:cs="宋体"/>
                <w:color w:val="auto"/>
                <w:kern w:val="0"/>
                <w:sz w:val="24"/>
                <w:u w:val="none"/>
              </w:rPr>
              <w:t>专项评价设置情况</w:t>
            </w:r>
          </w:p>
        </w:tc>
        <w:tc>
          <w:tcPr>
            <w:tcW w:w="7103" w:type="dxa"/>
            <w:gridSpan w:val="3"/>
            <w:vAlign w:val="center"/>
          </w:tcPr>
          <w:p w14:paraId="12559C9A">
            <w:pPr>
              <w:autoSpaceDE w:val="0"/>
              <w:autoSpaceDN w:val="0"/>
              <w:adjustRightInd w:val="0"/>
              <w:snapToGrid w:val="0"/>
              <w:jc w:val="center"/>
              <w:rPr>
                <w:rFonts w:cs="宋体"/>
                <w:color w:val="auto"/>
                <w:kern w:val="0"/>
                <w:sz w:val="24"/>
                <w:u w:val="none"/>
              </w:rPr>
            </w:pPr>
            <w:r>
              <w:rPr>
                <w:rFonts w:hint="eastAsia" w:cs="宋体"/>
                <w:color w:val="auto"/>
                <w:kern w:val="0"/>
                <w:sz w:val="24"/>
                <w:u w:val="none"/>
              </w:rPr>
              <w:t>本项目废水经处理后</w:t>
            </w:r>
            <w:r>
              <w:rPr>
                <w:rFonts w:hint="eastAsia" w:cs="宋体"/>
                <w:color w:val="auto"/>
                <w:kern w:val="0"/>
                <w:sz w:val="24"/>
                <w:u w:val="none"/>
                <w:lang w:val="en-US" w:eastAsia="zh-CN"/>
              </w:rPr>
              <w:t>排入果利河，属于新增废水直排的污水集中处理厂</w:t>
            </w:r>
            <w:r>
              <w:rPr>
                <w:rFonts w:hint="eastAsia" w:cs="宋体"/>
                <w:color w:val="auto"/>
                <w:kern w:val="0"/>
                <w:sz w:val="24"/>
                <w:u w:val="none"/>
                <w:lang w:eastAsia="zh-CN"/>
              </w:rPr>
              <w:t>，</w:t>
            </w:r>
            <w:r>
              <w:rPr>
                <w:rFonts w:hint="eastAsia" w:cs="宋体"/>
                <w:color w:val="auto"/>
                <w:kern w:val="0"/>
                <w:sz w:val="24"/>
                <w:u w:val="none"/>
              </w:rPr>
              <w:t>因此需设置地表水专项</w:t>
            </w:r>
          </w:p>
        </w:tc>
      </w:tr>
      <w:tr w14:paraId="21754A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1968" w:type="dxa"/>
            <w:vAlign w:val="center"/>
          </w:tcPr>
          <w:p w14:paraId="0AE13EF4">
            <w:pPr>
              <w:autoSpaceDE w:val="0"/>
              <w:autoSpaceDN w:val="0"/>
              <w:adjustRightInd w:val="0"/>
              <w:snapToGrid w:val="0"/>
              <w:jc w:val="center"/>
              <w:rPr>
                <w:rFonts w:hint="eastAsia" w:cs="宋体"/>
                <w:color w:val="auto"/>
                <w:kern w:val="0"/>
                <w:sz w:val="24"/>
                <w:u w:val="none"/>
              </w:rPr>
            </w:pPr>
            <w:r>
              <w:rPr>
                <w:rFonts w:hint="eastAsia" w:cs="宋体"/>
                <w:color w:val="auto"/>
                <w:sz w:val="24"/>
                <w:u w:val="none"/>
              </w:rPr>
              <w:t>规划情况</w:t>
            </w:r>
          </w:p>
        </w:tc>
        <w:tc>
          <w:tcPr>
            <w:tcW w:w="7103" w:type="dxa"/>
            <w:gridSpan w:val="3"/>
            <w:vAlign w:val="center"/>
          </w:tcPr>
          <w:p w14:paraId="1DA488C9">
            <w:pPr>
              <w:pStyle w:val="51"/>
              <w:spacing w:beforeLines="0" w:line="360" w:lineRule="auto"/>
              <w:ind w:left="0" w:leftChars="0"/>
              <w:jc w:val="center"/>
              <w:rPr>
                <w:rFonts w:hint="eastAsia" w:eastAsia="宋体"/>
                <w:color w:val="auto"/>
                <w:u w:val="none"/>
                <w:lang w:val="en-US" w:eastAsia="zh-CN"/>
              </w:rPr>
            </w:pPr>
            <w:r>
              <w:rPr>
                <w:rFonts w:hint="eastAsia"/>
                <w:color w:val="auto"/>
                <w:u w:val="none"/>
                <w:lang w:val="en-US" w:eastAsia="zh-CN"/>
              </w:rPr>
              <w:t>无</w:t>
            </w:r>
          </w:p>
        </w:tc>
      </w:tr>
      <w:tr w14:paraId="7BA1BB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1" w:hRule="atLeast"/>
          <w:jc w:val="center"/>
        </w:trPr>
        <w:tc>
          <w:tcPr>
            <w:tcW w:w="1968" w:type="dxa"/>
            <w:vAlign w:val="center"/>
          </w:tcPr>
          <w:p w14:paraId="7E902B19">
            <w:pPr>
              <w:adjustRightInd w:val="0"/>
              <w:snapToGrid w:val="0"/>
              <w:jc w:val="center"/>
              <w:rPr>
                <w:color w:val="auto"/>
                <w:sz w:val="24"/>
                <w:u w:val="none"/>
              </w:rPr>
            </w:pPr>
            <w:r>
              <w:rPr>
                <w:rFonts w:hint="eastAsia"/>
                <w:color w:val="auto"/>
                <w:sz w:val="24"/>
                <w:u w:val="none"/>
              </w:rPr>
              <w:t>规划环境影响</w:t>
            </w:r>
          </w:p>
          <w:p w14:paraId="4D6B1769">
            <w:pPr>
              <w:adjustRightInd w:val="0"/>
              <w:snapToGrid w:val="0"/>
              <w:jc w:val="center"/>
              <w:rPr>
                <w:rFonts w:hint="eastAsia"/>
                <w:color w:val="auto"/>
                <w:sz w:val="24"/>
                <w:u w:val="none"/>
              </w:rPr>
            </w:pPr>
            <w:r>
              <w:rPr>
                <w:rFonts w:hint="eastAsia"/>
                <w:color w:val="auto"/>
                <w:sz w:val="24"/>
                <w:u w:val="none"/>
              </w:rPr>
              <w:t>评价情况</w:t>
            </w:r>
          </w:p>
        </w:tc>
        <w:tc>
          <w:tcPr>
            <w:tcW w:w="7103" w:type="dxa"/>
            <w:gridSpan w:val="3"/>
            <w:vAlign w:val="center"/>
          </w:tcPr>
          <w:p w14:paraId="153D61C4">
            <w:pPr>
              <w:autoSpaceDE w:val="0"/>
              <w:autoSpaceDN w:val="0"/>
              <w:adjustRightInd w:val="0"/>
              <w:snapToGrid w:val="0"/>
              <w:jc w:val="center"/>
              <w:rPr>
                <w:rFonts w:hint="eastAsia"/>
                <w:color w:val="auto"/>
                <w:sz w:val="24"/>
                <w:u w:val="none"/>
              </w:rPr>
            </w:pPr>
            <w:r>
              <w:rPr>
                <w:rFonts w:hint="eastAsia"/>
                <w:color w:val="auto"/>
                <w:u w:val="none"/>
                <w:lang w:val="en-US" w:eastAsia="zh-CN"/>
              </w:rPr>
              <w:t>无</w:t>
            </w:r>
          </w:p>
        </w:tc>
      </w:tr>
      <w:tr w14:paraId="21EAF1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6" w:hRule="atLeast"/>
          <w:jc w:val="center"/>
        </w:trPr>
        <w:tc>
          <w:tcPr>
            <w:tcW w:w="1968" w:type="dxa"/>
            <w:vAlign w:val="center"/>
          </w:tcPr>
          <w:p w14:paraId="773AE9B0">
            <w:pPr>
              <w:autoSpaceDE w:val="0"/>
              <w:autoSpaceDN w:val="0"/>
              <w:adjustRightInd w:val="0"/>
              <w:snapToGrid w:val="0"/>
              <w:jc w:val="center"/>
              <w:rPr>
                <w:rFonts w:hint="eastAsia"/>
                <w:color w:val="auto"/>
                <w:sz w:val="24"/>
                <w:u w:val="none"/>
              </w:rPr>
            </w:pPr>
            <w:r>
              <w:rPr>
                <w:rFonts w:hint="eastAsia"/>
                <w:color w:val="auto"/>
                <w:sz w:val="24"/>
                <w:u w:val="none"/>
              </w:rPr>
              <w:t>规划及规划环境</w:t>
            </w:r>
          </w:p>
          <w:p w14:paraId="3049B5C0">
            <w:pPr>
              <w:autoSpaceDE w:val="0"/>
              <w:autoSpaceDN w:val="0"/>
              <w:adjustRightInd w:val="0"/>
              <w:snapToGrid w:val="0"/>
              <w:jc w:val="center"/>
              <w:rPr>
                <w:color w:val="auto"/>
                <w:sz w:val="24"/>
                <w:u w:val="none"/>
              </w:rPr>
            </w:pPr>
            <w:r>
              <w:rPr>
                <w:rFonts w:hint="eastAsia"/>
                <w:color w:val="auto"/>
                <w:sz w:val="24"/>
                <w:u w:val="none"/>
              </w:rPr>
              <w:t>影响评价符合性分析</w:t>
            </w:r>
          </w:p>
        </w:tc>
        <w:tc>
          <w:tcPr>
            <w:tcW w:w="7103" w:type="dxa"/>
            <w:gridSpan w:val="3"/>
            <w:vAlign w:val="center"/>
          </w:tcPr>
          <w:p w14:paraId="5D827D13">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hint="eastAsia"/>
                <w:color w:val="auto"/>
                <w:kern w:val="0"/>
                <w:sz w:val="24"/>
                <w:u w:val="none"/>
                <w:lang w:bidi="ar"/>
              </w:rPr>
            </w:pPr>
            <w:r>
              <w:rPr>
                <w:rFonts w:hint="eastAsia"/>
                <w:color w:val="auto"/>
                <w:u w:val="none"/>
                <w:lang w:val="en-US" w:eastAsia="zh-CN"/>
              </w:rPr>
              <w:t>无</w:t>
            </w:r>
          </w:p>
        </w:tc>
      </w:tr>
      <w:tr w14:paraId="4D4C43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968" w:type="dxa"/>
            <w:vAlign w:val="center"/>
          </w:tcPr>
          <w:p w14:paraId="2331B21E">
            <w:pPr>
              <w:autoSpaceDE w:val="0"/>
              <w:autoSpaceDN w:val="0"/>
              <w:adjustRightInd w:val="0"/>
              <w:snapToGrid w:val="0"/>
              <w:jc w:val="center"/>
              <w:rPr>
                <w:rFonts w:hint="eastAsia" w:cs="宋体"/>
                <w:color w:val="auto"/>
                <w:kern w:val="0"/>
                <w:sz w:val="24"/>
                <w:u w:val="none"/>
              </w:rPr>
            </w:pPr>
            <w:r>
              <w:rPr>
                <w:rFonts w:hint="eastAsia" w:cs="宋体"/>
                <w:color w:val="auto"/>
                <w:kern w:val="0"/>
                <w:sz w:val="24"/>
                <w:u w:val="none"/>
              </w:rPr>
              <w:t>其他符合性分析</w:t>
            </w:r>
          </w:p>
        </w:tc>
        <w:tc>
          <w:tcPr>
            <w:tcW w:w="7103" w:type="dxa"/>
            <w:gridSpan w:val="3"/>
            <w:vAlign w:val="center"/>
          </w:tcPr>
          <w:p w14:paraId="4413042B">
            <w:pPr>
              <w:pStyle w:val="76"/>
              <w:numPr>
                <w:ilvl w:val="0"/>
                <w:numId w:val="1"/>
              </w:numPr>
              <w:autoSpaceDE/>
              <w:autoSpaceDN/>
              <w:adjustRightInd/>
              <w:spacing w:line="360" w:lineRule="auto"/>
              <w:ind w:firstLine="361" w:firstLineChars="150"/>
              <w:jc w:val="both"/>
              <w:textAlignment w:val="auto"/>
              <w:rPr>
                <w:rFonts w:hint="eastAsia" w:ascii="Times New Roman" w:hAnsi="Times New Roman"/>
                <w:b/>
                <w:color w:val="auto"/>
                <w:szCs w:val="24"/>
                <w:highlight w:val="none"/>
                <w:u w:val="none"/>
              </w:rPr>
            </w:pPr>
            <w:r>
              <w:rPr>
                <w:rFonts w:hint="eastAsia" w:ascii="Times New Roman" w:hAnsi="Times New Roman"/>
                <w:b/>
                <w:color w:val="auto"/>
                <w:szCs w:val="24"/>
                <w:highlight w:val="none"/>
                <w:u w:val="none"/>
              </w:rPr>
              <w:t>产业政策符合性分析</w:t>
            </w:r>
          </w:p>
          <w:p w14:paraId="69592C6E">
            <w:pPr>
              <w:pStyle w:val="76"/>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b w:val="0"/>
                <w:bCs/>
                <w:color w:val="auto"/>
                <w:szCs w:val="24"/>
                <w:highlight w:val="none"/>
                <w:u w:val="none"/>
              </w:rPr>
            </w:pPr>
            <w:r>
              <w:rPr>
                <w:rFonts w:hint="eastAsia" w:ascii="Times New Roman" w:hAnsi="Times New Roman"/>
                <w:b w:val="0"/>
                <w:bCs/>
                <w:color w:val="auto"/>
                <w:szCs w:val="24"/>
                <w:highlight w:val="none"/>
                <w:u w:val="none"/>
              </w:rPr>
              <w:t>本项目为</w:t>
            </w:r>
            <w:r>
              <w:rPr>
                <w:rFonts w:hint="eastAsia" w:ascii="Times New Roman" w:hAnsi="Times New Roman"/>
                <w:b w:val="0"/>
                <w:bCs/>
                <w:color w:val="auto"/>
                <w:szCs w:val="24"/>
                <w:highlight w:val="none"/>
                <w:u w:val="none"/>
                <w:lang w:eastAsia="zh-CN"/>
              </w:rPr>
              <w:t>龙山县高铁新城片区</w:t>
            </w:r>
            <w:r>
              <w:rPr>
                <w:rFonts w:hint="eastAsia" w:ascii="Times New Roman" w:hAnsi="Times New Roman"/>
                <w:b w:val="0"/>
                <w:bCs/>
                <w:color w:val="auto"/>
                <w:szCs w:val="24"/>
                <w:highlight w:val="none"/>
                <w:u w:val="none"/>
              </w:rPr>
              <w:t>处理厂</w:t>
            </w:r>
            <w:r>
              <w:rPr>
                <w:rFonts w:hint="eastAsia" w:ascii="Times New Roman" w:hAnsi="Times New Roman"/>
                <w:b w:val="0"/>
                <w:bCs/>
                <w:color w:val="auto"/>
                <w:szCs w:val="24"/>
                <w:highlight w:val="none"/>
                <w:u w:val="none"/>
                <w:lang w:val="en-US" w:eastAsia="zh-CN"/>
              </w:rPr>
              <w:t>项目，属于城市基础设施建设</w:t>
            </w:r>
            <w:r>
              <w:rPr>
                <w:rFonts w:hint="eastAsia" w:ascii="Times New Roman" w:hAnsi="Times New Roman"/>
                <w:b w:val="0"/>
                <w:bCs/>
                <w:color w:val="auto"/>
                <w:szCs w:val="24"/>
                <w:highlight w:val="none"/>
                <w:u w:val="none"/>
              </w:rPr>
              <w:t>，</w:t>
            </w:r>
            <w:r>
              <w:rPr>
                <w:rFonts w:eastAsia="宋"/>
                <w:color w:val="auto"/>
                <w:sz w:val="24"/>
                <w:highlight w:val="none"/>
                <w:u w:val="none"/>
              </w:rPr>
              <w:t>根据</w:t>
            </w:r>
            <w:r>
              <w:rPr>
                <w:rFonts w:hint="eastAsia" w:eastAsia="宋"/>
                <w:color w:val="auto"/>
                <w:sz w:val="24"/>
                <w:highlight w:val="none"/>
                <w:u w:val="none"/>
              </w:rPr>
              <w:t>《产业结构调整指导目录（2024年本）》</w:t>
            </w:r>
            <w:r>
              <w:rPr>
                <w:rFonts w:eastAsia="宋"/>
                <w:color w:val="auto"/>
                <w:sz w:val="24"/>
                <w:highlight w:val="none"/>
                <w:u w:val="none"/>
              </w:rPr>
              <w:t>，</w:t>
            </w:r>
            <w:r>
              <w:rPr>
                <w:rFonts w:hint="eastAsia" w:eastAsia="宋"/>
                <w:color w:val="auto"/>
                <w:sz w:val="24"/>
                <w:highlight w:val="none"/>
                <w:u w:val="none"/>
                <w:lang w:val="en-US" w:eastAsia="zh-CN"/>
              </w:rPr>
              <w:t>属于四十二、环境保护与资源节约综合利用，为鼓励类建设项目。因此，项目的建设符合国家当前的产业政策</w:t>
            </w:r>
            <w:r>
              <w:rPr>
                <w:rFonts w:hint="eastAsia" w:ascii="Times New Roman" w:hAnsi="Times New Roman"/>
                <w:b w:val="0"/>
                <w:bCs/>
                <w:color w:val="auto"/>
                <w:szCs w:val="24"/>
                <w:highlight w:val="none"/>
                <w:u w:val="none"/>
              </w:rPr>
              <w:t>。</w:t>
            </w:r>
          </w:p>
          <w:p w14:paraId="50695E34">
            <w:pPr>
              <w:pStyle w:val="76"/>
              <w:autoSpaceDE/>
              <w:autoSpaceDN/>
              <w:adjustRightInd/>
              <w:spacing w:line="360" w:lineRule="auto"/>
              <w:ind w:firstLine="361" w:firstLineChars="150"/>
              <w:jc w:val="both"/>
              <w:textAlignment w:val="auto"/>
              <w:rPr>
                <w:rFonts w:ascii="Times New Roman" w:hAnsi="Times New Roman"/>
                <w:b/>
                <w:color w:val="auto"/>
                <w:szCs w:val="24"/>
                <w:highlight w:val="none"/>
                <w:u w:val="none"/>
              </w:rPr>
            </w:pPr>
            <w:r>
              <w:rPr>
                <w:rFonts w:hint="eastAsia" w:ascii="Times New Roman" w:hAnsi="Times New Roman"/>
                <w:b/>
                <w:color w:val="auto"/>
                <w:szCs w:val="24"/>
                <w:highlight w:val="none"/>
                <w:u w:val="none"/>
                <w:lang w:val="en-US" w:eastAsia="zh-CN"/>
              </w:rPr>
              <w:t>2</w:t>
            </w:r>
            <w:r>
              <w:rPr>
                <w:rFonts w:ascii="Times New Roman" w:hAnsi="Times New Roman"/>
                <w:b/>
                <w:color w:val="auto"/>
                <w:szCs w:val="24"/>
                <w:highlight w:val="none"/>
                <w:u w:val="none"/>
              </w:rPr>
              <w:t>、</w:t>
            </w:r>
            <w:r>
              <w:rPr>
                <w:rFonts w:ascii="Times New Roman" w:hAnsi="Times New Roman"/>
                <w:b/>
                <w:bCs/>
                <w:color w:val="auto"/>
                <w:szCs w:val="24"/>
                <w:highlight w:val="none"/>
                <w:u w:val="none"/>
              </w:rPr>
              <w:t>与“三线一单”要求相符性分析</w:t>
            </w:r>
          </w:p>
          <w:p w14:paraId="592DBE3B">
            <w:pPr>
              <w:spacing w:line="360" w:lineRule="auto"/>
              <w:ind w:firstLine="482" w:firstLineChars="200"/>
              <w:rPr>
                <w:rFonts w:hint="eastAsia"/>
                <w:b/>
                <w:bCs/>
                <w:color w:val="auto"/>
                <w:sz w:val="24"/>
                <w:highlight w:val="none"/>
                <w:u w:val="none"/>
                <w:lang w:eastAsia="zh-CN"/>
              </w:rPr>
            </w:pPr>
            <w:r>
              <w:rPr>
                <w:rFonts w:hint="eastAsia"/>
                <w:b/>
                <w:bCs/>
                <w:color w:val="auto"/>
                <w:sz w:val="24"/>
                <w:highlight w:val="none"/>
                <w:u w:val="none"/>
                <w:lang w:eastAsia="zh-CN"/>
              </w:rPr>
              <w:t>（</w:t>
            </w:r>
            <w:r>
              <w:rPr>
                <w:rFonts w:hint="eastAsia"/>
                <w:b/>
                <w:bCs/>
                <w:color w:val="auto"/>
                <w:sz w:val="24"/>
                <w:highlight w:val="none"/>
                <w:u w:val="none"/>
                <w:lang w:val="en-US" w:eastAsia="zh-CN"/>
              </w:rPr>
              <w:t>1</w:t>
            </w:r>
            <w:r>
              <w:rPr>
                <w:rFonts w:hint="eastAsia"/>
                <w:b/>
                <w:bCs/>
                <w:color w:val="auto"/>
                <w:sz w:val="24"/>
                <w:highlight w:val="none"/>
                <w:u w:val="none"/>
                <w:lang w:eastAsia="zh-CN"/>
              </w:rPr>
              <w:t>）与原环保部（环评</w:t>
            </w:r>
            <w:r>
              <w:rPr>
                <w:rFonts w:hint="eastAsia"/>
                <w:b/>
                <w:bCs/>
                <w:color w:val="auto"/>
                <w:sz w:val="24"/>
                <w:highlight w:val="none"/>
                <w:u w:val="none"/>
                <w:lang w:val="en-US" w:eastAsia="zh-CN"/>
              </w:rPr>
              <w:t>[</w:t>
            </w:r>
            <w:r>
              <w:rPr>
                <w:rFonts w:hint="eastAsia"/>
                <w:b/>
                <w:bCs/>
                <w:color w:val="auto"/>
                <w:sz w:val="24"/>
                <w:highlight w:val="none"/>
                <w:u w:val="none"/>
                <w:lang w:eastAsia="zh-CN"/>
              </w:rPr>
              <w:t>2016</w:t>
            </w:r>
            <w:r>
              <w:rPr>
                <w:rFonts w:hint="eastAsia"/>
                <w:b/>
                <w:bCs/>
                <w:color w:val="auto"/>
                <w:sz w:val="24"/>
                <w:highlight w:val="none"/>
                <w:u w:val="none"/>
                <w:lang w:val="en-US" w:eastAsia="zh-CN"/>
              </w:rPr>
              <w:t>]</w:t>
            </w:r>
            <w:r>
              <w:rPr>
                <w:rFonts w:hint="eastAsia"/>
                <w:b/>
                <w:bCs/>
                <w:color w:val="auto"/>
                <w:sz w:val="24"/>
                <w:highlight w:val="none"/>
                <w:u w:val="none"/>
                <w:lang w:eastAsia="zh-CN"/>
              </w:rPr>
              <w:t>150号）“三线一单”符合性分析</w:t>
            </w:r>
          </w:p>
          <w:p w14:paraId="607F6F27">
            <w:pPr>
              <w:spacing w:line="360" w:lineRule="auto"/>
              <w:ind w:firstLine="480" w:firstLineChars="200"/>
              <w:rPr>
                <w:rFonts w:hint="eastAsia"/>
                <w:color w:val="auto"/>
                <w:sz w:val="24"/>
                <w:highlight w:val="none"/>
                <w:u w:val="none"/>
                <w:lang w:eastAsia="zh-CN"/>
              </w:rPr>
            </w:pPr>
            <w:r>
              <w:rPr>
                <w:rFonts w:hint="eastAsia"/>
                <w:color w:val="auto"/>
                <w:sz w:val="24"/>
                <w:highlight w:val="none"/>
                <w:u w:val="none"/>
                <w:lang w:eastAsia="zh-CN"/>
              </w:rPr>
              <w:t>根据原环境保护部《关于以改善环境质量为核心加强环境影响评价管理的通知》（环评</w:t>
            </w:r>
            <w:r>
              <w:rPr>
                <w:rFonts w:hint="eastAsia"/>
                <w:color w:val="auto"/>
                <w:sz w:val="24"/>
                <w:highlight w:val="none"/>
                <w:u w:val="none"/>
                <w:lang w:val="en-US" w:eastAsia="zh-CN"/>
              </w:rPr>
              <w:t>[</w:t>
            </w:r>
            <w:r>
              <w:rPr>
                <w:rFonts w:hint="eastAsia"/>
                <w:color w:val="auto"/>
                <w:sz w:val="24"/>
                <w:highlight w:val="none"/>
                <w:u w:val="none"/>
                <w:lang w:eastAsia="zh-CN"/>
              </w:rPr>
              <w:t>2016</w:t>
            </w:r>
            <w:r>
              <w:rPr>
                <w:rFonts w:hint="eastAsia"/>
                <w:color w:val="auto"/>
                <w:sz w:val="24"/>
                <w:highlight w:val="none"/>
                <w:u w:val="none"/>
                <w:lang w:val="en-US" w:eastAsia="zh-CN"/>
              </w:rPr>
              <w:t>]</w:t>
            </w:r>
            <w:r>
              <w:rPr>
                <w:rFonts w:hint="eastAsia"/>
                <w:color w:val="auto"/>
                <w:sz w:val="24"/>
                <w:highlight w:val="none"/>
                <w:u w:val="none"/>
                <w:lang w:eastAsia="zh-CN"/>
              </w:rPr>
              <w:t>150号）中“为适应以改善环境质量为核心的环境管理要求，切实加强环境影响评价管理，落实生态保护红线、环境质量底线、资源利用上线和环境准入负面清单（以下简称“三线一单”）约束，建立项目环评审批与规划环评、现有项且环境管理、区域环境质量联动机制，更好地发挥环评制度从源头防范环境污染和生态破坏的作用，加快推进改善环境质量”的要求，本项且结合生态环境部关于“三线一单”要求进行判定。</w:t>
            </w:r>
          </w:p>
          <w:p w14:paraId="6E8C15BD">
            <w:pPr>
              <w:spacing w:line="360" w:lineRule="auto"/>
              <w:ind w:firstLine="480" w:firstLineChars="200"/>
              <w:rPr>
                <w:rFonts w:hint="eastAsia"/>
                <w:color w:val="auto"/>
                <w:sz w:val="24"/>
                <w:highlight w:val="none"/>
                <w:u w:val="single"/>
                <w:lang w:eastAsia="zh-CN"/>
              </w:rPr>
            </w:pPr>
            <w:r>
              <w:rPr>
                <w:rFonts w:hint="eastAsia"/>
                <w:color w:val="auto"/>
                <w:sz w:val="24"/>
                <w:highlight w:val="none"/>
                <w:u w:val="single"/>
                <w:lang w:eastAsia="zh-CN"/>
              </w:rPr>
              <w:t>①生态保护红线</w:t>
            </w:r>
          </w:p>
          <w:p w14:paraId="33EDF75F">
            <w:pPr>
              <w:spacing w:line="360" w:lineRule="auto"/>
              <w:ind w:firstLine="480" w:firstLineChars="200"/>
              <w:rPr>
                <w:rFonts w:hint="eastAsia"/>
                <w:color w:val="auto"/>
                <w:sz w:val="24"/>
                <w:highlight w:val="none"/>
                <w:u w:val="single"/>
                <w:lang w:eastAsia="zh-CN"/>
              </w:rPr>
            </w:pPr>
            <w:r>
              <w:rPr>
                <w:rFonts w:hint="eastAsia"/>
                <w:color w:val="auto"/>
                <w:sz w:val="24"/>
                <w:highlight w:val="none"/>
                <w:u w:val="single"/>
                <w:lang w:eastAsia="zh-CN"/>
              </w:rPr>
              <w:t>本项目位于</w:t>
            </w:r>
            <w:r>
              <w:rPr>
                <w:rFonts w:hint="eastAsia"/>
                <w:color w:val="auto"/>
                <w:sz w:val="24"/>
                <w:highlight w:val="none"/>
                <w:u w:val="single"/>
                <w:lang w:val="en-US" w:eastAsia="zh-CN"/>
              </w:rPr>
              <w:t>龙山县高铁新城</w:t>
            </w:r>
            <w:r>
              <w:rPr>
                <w:rFonts w:hint="eastAsia"/>
                <w:color w:val="auto"/>
                <w:sz w:val="24"/>
                <w:highlight w:val="none"/>
                <w:u w:val="single"/>
                <w:lang w:eastAsia="zh-CN"/>
              </w:rPr>
              <w:t>范围内，根据龙山县自然资源局出具的项目用地预审意见可知</w:t>
            </w:r>
            <w:r>
              <w:rPr>
                <w:rFonts w:hint="eastAsia"/>
                <w:color w:val="auto"/>
                <w:sz w:val="24"/>
                <w:highlight w:val="none"/>
                <w:u w:val="single"/>
                <w:lang w:val="en-US" w:eastAsia="zh-CN"/>
              </w:rPr>
              <w:t>属于城镇建设用地</w:t>
            </w:r>
            <w:r>
              <w:rPr>
                <w:rFonts w:hint="eastAsia"/>
                <w:color w:val="auto"/>
                <w:sz w:val="24"/>
                <w:highlight w:val="none"/>
                <w:u w:val="single"/>
                <w:lang w:eastAsia="zh-CN"/>
              </w:rPr>
              <w:t>，根据本项目在龙山县自然资源局三区三线核准结果可知项目不在</w:t>
            </w:r>
            <w:r>
              <w:rPr>
                <w:rFonts w:hint="eastAsia"/>
                <w:color w:val="auto"/>
                <w:sz w:val="24"/>
                <w:highlight w:val="none"/>
                <w:u w:val="single"/>
                <w:lang w:val="en-US" w:eastAsia="zh-CN"/>
              </w:rPr>
              <w:t>龙山县</w:t>
            </w:r>
            <w:r>
              <w:rPr>
                <w:rFonts w:hint="eastAsia"/>
                <w:color w:val="auto"/>
                <w:sz w:val="24"/>
                <w:highlight w:val="none"/>
                <w:u w:val="single"/>
                <w:lang w:eastAsia="zh-CN"/>
              </w:rPr>
              <w:t>生态保护红线区范围内，详见附图。</w:t>
            </w:r>
          </w:p>
          <w:p w14:paraId="403179CA">
            <w:pPr>
              <w:spacing w:line="360" w:lineRule="auto"/>
              <w:ind w:firstLine="480" w:firstLineChars="200"/>
              <w:rPr>
                <w:rFonts w:hint="eastAsia"/>
                <w:color w:val="auto"/>
                <w:sz w:val="24"/>
                <w:highlight w:val="none"/>
                <w:u w:val="none"/>
                <w:lang w:eastAsia="zh-CN"/>
              </w:rPr>
            </w:pPr>
            <w:r>
              <w:rPr>
                <w:rFonts w:hint="eastAsia"/>
                <w:color w:val="auto"/>
                <w:sz w:val="24"/>
                <w:highlight w:val="none"/>
                <w:u w:val="none"/>
                <w:lang w:eastAsia="zh-CN"/>
              </w:rPr>
              <w:t>②环境质量底线</w:t>
            </w:r>
          </w:p>
          <w:p w14:paraId="0E9E6851">
            <w:pPr>
              <w:spacing w:line="360" w:lineRule="auto"/>
              <w:ind w:firstLine="480" w:firstLineChars="200"/>
              <w:rPr>
                <w:rFonts w:hint="eastAsia"/>
                <w:color w:val="auto"/>
                <w:sz w:val="24"/>
                <w:highlight w:val="none"/>
                <w:u w:val="none"/>
                <w:lang w:eastAsia="zh-CN"/>
              </w:rPr>
            </w:pPr>
            <w:r>
              <w:rPr>
                <w:rFonts w:hint="eastAsia"/>
                <w:color w:val="auto"/>
                <w:sz w:val="24"/>
                <w:highlight w:val="none"/>
                <w:u w:val="none"/>
                <w:lang w:eastAsia="zh-CN"/>
              </w:rPr>
              <w:t>本项目附近地表水环境、环境空气、声环境质量均能满足相应的标准要求。根据环境影响分析，若能依照本环评要求的措施合理处置各项污染物，则本项目各项污染物不会改变项目所在区域环境质量等级，因此本项目的建设符合环境质量底线要求。</w:t>
            </w:r>
          </w:p>
          <w:p w14:paraId="6A7B1B79">
            <w:pPr>
              <w:spacing w:line="360" w:lineRule="auto"/>
              <w:ind w:firstLine="480" w:firstLineChars="200"/>
              <w:rPr>
                <w:rFonts w:hint="eastAsia"/>
                <w:color w:val="auto"/>
                <w:sz w:val="24"/>
                <w:highlight w:val="none"/>
                <w:u w:val="none"/>
                <w:lang w:eastAsia="zh-CN"/>
              </w:rPr>
            </w:pPr>
            <w:r>
              <w:rPr>
                <w:rFonts w:hint="eastAsia"/>
                <w:color w:val="auto"/>
                <w:sz w:val="24"/>
                <w:highlight w:val="none"/>
                <w:u w:val="none"/>
                <w:lang w:eastAsia="zh-CN"/>
              </w:rPr>
              <w:t>③资源利用上线</w:t>
            </w:r>
          </w:p>
          <w:p w14:paraId="04E11EF2">
            <w:pPr>
              <w:spacing w:line="360" w:lineRule="auto"/>
              <w:ind w:firstLine="480" w:firstLineChars="200"/>
              <w:rPr>
                <w:rFonts w:hint="eastAsia"/>
                <w:color w:val="auto"/>
                <w:sz w:val="24"/>
                <w:highlight w:val="none"/>
                <w:u w:val="none"/>
                <w:lang w:eastAsia="zh-CN"/>
              </w:rPr>
            </w:pPr>
            <w:r>
              <w:rPr>
                <w:rFonts w:hint="eastAsia"/>
                <w:color w:val="auto"/>
                <w:sz w:val="24"/>
                <w:highlight w:val="none"/>
                <w:u w:val="none"/>
                <w:lang w:eastAsia="zh-CN"/>
              </w:rPr>
              <w:t>本区域内已铺设自来水管网且水源充足，生产和生活用水均使用自来水；能源主要电网供电系统，属于清洁能源；项目不占用基本农田，土地资源消耗符合要求。</w:t>
            </w:r>
          </w:p>
          <w:p w14:paraId="6B35B0DC">
            <w:pPr>
              <w:spacing w:line="360" w:lineRule="auto"/>
              <w:ind w:firstLine="480" w:firstLineChars="200"/>
              <w:rPr>
                <w:rFonts w:hint="eastAsia"/>
                <w:color w:val="auto"/>
                <w:sz w:val="24"/>
                <w:highlight w:val="none"/>
                <w:u w:val="none"/>
                <w:lang w:eastAsia="zh-CN"/>
              </w:rPr>
            </w:pPr>
            <w:r>
              <w:rPr>
                <w:rFonts w:hint="eastAsia"/>
                <w:color w:val="auto"/>
                <w:sz w:val="24"/>
                <w:highlight w:val="none"/>
                <w:u w:val="none"/>
                <w:lang w:eastAsia="zh-CN"/>
              </w:rPr>
              <w:t>因此，项目资源利用满足要求。</w:t>
            </w:r>
          </w:p>
          <w:p w14:paraId="30D57173">
            <w:pPr>
              <w:spacing w:line="360" w:lineRule="auto"/>
              <w:ind w:firstLine="480" w:firstLineChars="200"/>
              <w:rPr>
                <w:rFonts w:hint="eastAsia"/>
                <w:color w:val="auto"/>
                <w:sz w:val="24"/>
                <w:highlight w:val="none"/>
                <w:u w:val="none"/>
                <w:lang w:eastAsia="zh-CN"/>
              </w:rPr>
            </w:pPr>
            <w:r>
              <w:rPr>
                <w:rFonts w:hint="eastAsia"/>
                <w:color w:val="auto"/>
                <w:sz w:val="24"/>
                <w:highlight w:val="none"/>
                <w:u w:val="none"/>
                <w:lang w:eastAsia="zh-CN"/>
              </w:rPr>
              <w:t>④环境准入负面清单</w:t>
            </w:r>
          </w:p>
          <w:p w14:paraId="7850FE85">
            <w:pPr>
              <w:spacing w:line="360" w:lineRule="auto"/>
              <w:ind w:firstLine="480" w:firstLineChars="200"/>
              <w:rPr>
                <w:rFonts w:hint="eastAsia"/>
                <w:color w:val="auto"/>
                <w:sz w:val="24"/>
                <w:highlight w:val="none"/>
                <w:u w:val="single"/>
                <w:lang w:eastAsia="zh-CN"/>
              </w:rPr>
            </w:pPr>
            <w:r>
              <w:rPr>
                <w:rFonts w:hint="eastAsia"/>
                <w:color w:val="auto"/>
                <w:sz w:val="24"/>
                <w:highlight w:val="none"/>
                <w:u w:val="single"/>
                <w:lang w:eastAsia="zh-CN"/>
              </w:rPr>
              <w:t>项目为</w:t>
            </w:r>
            <w:r>
              <w:rPr>
                <w:rFonts w:hint="eastAsia"/>
                <w:color w:val="auto"/>
                <w:sz w:val="24"/>
                <w:highlight w:val="none"/>
                <w:u w:val="single"/>
                <w:lang w:val="en-US" w:eastAsia="zh-CN"/>
              </w:rPr>
              <w:t>城镇污水处理</w:t>
            </w:r>
            <w:r>
              <w:rPr>
                <w:rFonts w:hint="eastAsia"/>
                <w:color w:val="auto"/>
                <w:sz w:val="24"/>
                <w:highlight w:val="none"/>
                <w:u w:val="single"/>
                <w:lang w:eastAsia="zh-CN"/>
              </w:rPr>
              <w:t>项目，根据国家发展改革委、商务部印发《市场准入负面清单（</w:t>
            </w:r>
            <w:r>
              <w:rPr>
                <w:rFonts w:hint="eastAsia"/>
                <w:color w:val="auto"/>
                <w:sz w:val="24"/>
                <w:highlight w:val="none"/>
                <w:u w:val="single"/>
                <w:lang w:val="en-US" w:eastAsia="zh-CN"/>
              </w:rPr>
              <w:t>2022年版</w:t>
            </w:r>
            <w:r>
              <w:rPr>
                <w:rFonts w:hint="eastAsia"/>
                <w:color w:val="auto"/>
                <w:sz w:val="24"/>
                <w:highlight w:val="none"/>
                <w:u w:val="single"/>
                <w:lang w:eastAsia="zh-CN"/>
              </w:rPr>
              <w:t>）》（发改体改规〔2022〕397号），本项目不属于禁止准入类项目。</w:t>
            </w:r>
          </w:p>
          <w:p w14:paraId="5F3E02B7">
            <w:pPr>
              <w:spacing w:line="360" w:lineRule="auto"/>
              <w:ind w:firstLine="482" w:firstLineChars="200"/>
              <w:rPr>
                <w:rFonts w:hint="eastAsia"/>
                <w:b/>
                <w:bCs/>
                <w:color w:val="auto"/>
                <w:sz w:val="24"/>
                <w:highlight w:val="none"/>
                <w:u w:val="none"/>
                <w:lang w:eastAsia="zh-CN"/>
              </w:rPr>
            </w:pPr>
            <w:r>
              <w:rPr>
                <w:rFonts w:hint="eastAsia"/>
                <w:b/>
                <w:bCs/>
                <w:color w:val="auto"/>
                <w:sz w:val="24"/>
                <w:highlight w:val="none"/>
                <w:u w:val="none"/>
                <w:lang w:eastAsia="zh-CN"/>
              </w:rPr>
              <w:t>（</w:t>
            </w:r>
            <w:r>
              <w:rPr>
                <w:rFonts w:hint="eastAsia"/>
                <w:b/>
                <w:bCs/>
                <w:color w:val="auto"/>
                <w:sz w:val="24"/>
                <w:highlight w:val="none"/>
                <w:u w:val="none"/>
                <w:lang w:val="en-US" w:eastAsia="zh-CN"/>
              </w:rPr>
              <w:t>2</w:t>
            </w:r>
            <w:r>
              <w:rPr>
                <w:rFonts w:hint="eastAsia"/>
                <w:b/>
                <w:bCs/>
                <w:color w:val="auto"/>
                <w:sz w:val="24"/>
                <w:highlight w:val="none"/>
                <w:u w:val="none"/>
                <w:lang w:eastAsia="zh-CN"/>
              </w:rPr>
              <w:t>）与湖南省人民政府关于实施“三线一单”生态环境分区管控的意见符合性分析</w:t>
            </w:r>
          </w:p>
          <w:p w14:paraId="4C719E40">
            <w:pPr>
              <w:spacing w:line="360" w:lineRule="auto"/>
              <w:ind w:firstLine="480" w:firstLineChars="200"/>
              <w:rPr>
                <w:rFonts w:hint="default"/>
                <w:color w:val="auto"/>
                <w:sz w:val="24"/>
                <w:highlight w:val="none"/>
                <w:u w:val="none"/>
                <w:lang w:val="en-US" w:eastAsia="zh-CN"/>
              </w:rPr>
            </w:pPr>
            <w:r>
              <w:rPr>
                <w:rFonts w:hint="eastAsia"/>
                <w:color w:val="auto"/>
                <w:sz w:val="24"/>
                <w:highlight w:val="none"/>
                <w:u w:val="none"/>
                <w:lang w:eastAsia="zh-CN"/>
              </w:rPr>
              <w:t>根据湖南省环境管控单元图，本项且选址所在地属于优先保护单元。项目与湖南省人民政府关于实施“三线一单”生态环境分区管控的意见</w:t>
            </w:r>
            <w:r>
              <w:rPr>
                <w:rFonts w:hint="eastAsia"/>
                <w:color w:val="auto"/>
                <w:sz w:val="24"/>
                <w:highlight w:val="none"/>
                <w:u w:val="none"/>
                <w:lang w:val="en-US" w:eastAsia="zh-CN"/>
              </w:rPr>
              <w:t>符合性分析对照表见下表：</w:t>
            </w:r>
          </w:p>
          <w:p w14:paraId="241DFB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highlight w:val="none"/>
                <w:u w:val="none"/>
              </w:rPr>
            </w:pPr>
            <w:r>
              <w:rPr>
                <w:b/>
                <w:bCs/>
                <w:color w:val="auto"/>
                <w:highlight w:val="none"/>
                <w:u w:val="none"/>
              </w:rPr>
              <w:t>表</w:t>
            </w:r>
            <w:r>
              <w:rPr>
                <w:rFonts w:hint="eastAsia"/>
                <w:b/>
                <w:bCs/>
                <w:color w:val="auto"/>
                <w:highlight w:val="none"/>
                <w:u w:val="none"/>
                <w:lang w:val="en-US" w:eastAsia="zh-CN"/>
              </w:rPr>
              <w:t>1-</w:t>
            </w:r>
            <w:r>
              <w:rPr>
                <w:b/>
                <w:bCs/>
                <w:color w:val="auto"/>
                <w:highlight w:val="none"/>
                <w:u w:val="none"/>
              </w:rPr>
              <w:t xml:space="preserve">1  </w:t>
            </w:r>
            <w:r>
              <w:rPr>
                <w:rFonts w:hint="eastAsia"/>
                <w:b/>
                <w:bCs/>
                <w:color w:val="auto"/>
                <w:highlight w:val="none"/>
                <w:u w:val="none"/>
              </w:rPr>
              <w:t>本项目与湖南省人民政府关于实施“三线一单”</w:t>
            </w:r>
          </w:p>
          <w:p w14:paraId="5162B2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color w:val="auto"/>
                <w:highlight w:val="none"/>
                <w:u w:val="none"/>
              </w:rPr>
            </w:pPr>
            <w:r>
              <w:rPr>
                <w:rFonts w:hint="eastAsia"/>
                <w:b/>
                <w:bCs/>
                <w:color w:val="auto"/>
                <w:highlight w:val="none"/>
                <w:u w:val="none"/>
              </w:rPr>
              <w:t>生态环境分区管控的意见对照表</w:t>
            </w:r>
          </w:p>
          <w:tbl>
            <w:tblPr>
              <w:tblStyle w:val="32"/>
              <w:tblW w:w="680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40"/>
              <w:gridCol w:w="600"/>
              <w:gridCol w:w="915"/>
              <w:gridCol w:w="2145"/>
              <w:gridCol w:w="1980"/>
              <w:gridCol w:w="623"/>
            </w:tblGrid>
            <w:tr w14:paraId="02A47E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00" w:type="dxa"/>
                  <w:gridSpan w:val="4"/>
                  <w:tcBorders>
                    <w:tl2br w:val="nil"/>
                    <w:tr2bl w:val="nil"/>
                  </w:tcBorders>
                  <w:vAlign w:val="center"/>
                </w:tcPr>
                <w:p w14:paraId="754A931D">
                  <w:pPr>
                    <w:keepNext w:val="0"/>
                    <w:keepLines w:val="0"/>
                    <w:pageBreakBefore w:val="0"/>
                    <w:kinsoku/>
                    <w:wordWrap/>
                    <w:overflowPunct/>
                    <w:topLinePunct w:val="0"/>
                    <w:autoSpaceDE/>
                    <w:autoSpaceDN/>
                    <w:bidi w:val="0"/>
                    <w:adjustRightInd/>
                    <w:snapToGrid/>
                    <w:spacing w:line="240" w:lineRule="auto"/>
                    <w:ind w:left="0" w:firstLine="0" w:firstLineChars="0"/>
                    <w:jc w:val="center"/>
                    <w:textAlignment w:val="auto"/>
                    <w:rPr>
                      <w:rFonts w:hint="eastAsia" w:ascii="宋体" w:hAnsi="宋体"/>
                      <w:b w:val="0"/>
                      <w:bCs w:val="0"/>
                      <w:color w:val="auto"/>
                      <w:sz w:val="21"/>
                      <w:szCs w:val="21"/>
                      <w:highlight w:val="none"/>
                      <w:u w:val="none"/>
                    </w:rPr>
                  </w:pPr>
                  <w:r>
                    <w:rPr>
                      <w:rFonts w:hint="eastAsia" w:ascii="宋体" w:hAnsi="宋体"/>
                      <w:b w:val="0"/>
                      <w:bCs w:val="0"/>
                      <w:color w:val="auto"/>
                      <w:sz w:val="21"/>
                      <w:szCs w:val="21"/>
                      <w:highlight w:val="none"/>
                      <w:u w:val="none"/>
                    </w:rPr>
                    <w:t>湖南省人民政府关于实施“三线一单”</w:t>
                  </w:r>
                </w:p>
                <w:p w14:paraId="295905CA">
                  <w:pPr>
                    <w:keepNext w:val="0"/>
                    <w:keepLines w:val="0"/>
                    <w:pageBreakBefore w:val="0"/>
                    <w:kinsoku/>
                    <w:wordWrap/>
                    <w:overflowPunct/>
                    <w:topLinePunct w:val="0"/>
                    <w:autoSpaceDE/>
                    <w:autoSpaceDN/>
                    <w:bidi w:val="0"/>
                    <w:adjustRightInd/>
                    <w:snapToGrid/>
                    <w:spacing w:line="240" w:lineRule="auto"/>
                    <w:ind w:left="0" w:firstLine="0" w:firstLineChars="0"/>
                    <w:jc w:val="center"/>
                    <w:textAlignment w:val="auto"/>
                    <w:rPr>
                      <w:rFonts w:ascii="宋体" w:hAnsi="宋体"/>
                      <w:b w:val="0"/>
                      <w:bCs w:val="0"/>
                      <w:color w:val="auto"/>
                      <w:sz w:val="21"/>
                      <w:szCs w:val="21"/>
                      <w:highlight w:val="none"/>
                      <w:u w:val="none"/>
                    </w:rPr>
                  </w:pPr>
                  <w:r>
                    <w:rPr>
                      <w:rFonts w:hint="eastAsia" w:ascii="宋体" w:hAnsi="宋体"/>
                      <w:b w:val="0"/>
                      <w:bCs w:val="0"/>
                      <w:color w:val="auto"/>
                      <w:sz w:val="21"/>
                      <w:szCs w:val="21"/>
                      <w:highlight w:val="none"/>
                      <w:u w:val="none"/>
                    </w:rPr>
                    <w:t>生态环境分区管控的意见</w:t>
                  </w:r>
                </w:p>
              </w:tc>
              <w:tc>
                <w:tcPr>
                  <w:tcW w:w="1980" w:type="dxa"/>
                  <w:tcBorders>
                    <w:tl2br w:val="nil"/>
                    <w:tr2bl w:val="nil"/>
                  </w:tcBorders>
                  <w:vAlign w:val="center"/>
                </w:tcPr>
                <w:p w14:paraId="3F1F3256">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hint="eastAsia" w:ascii="宋体" w:hAnsi="宋体" w:eastAsia="宋体"/>
                      <w:b w:val="0"/>
                      <w:bCs w:val="0"/>
                      <w:color w:val="auto"/>
                      <w:sz w:val="21"/>
                      <w:szCs w:val="21"/>
                      <w:highlight w:val="none"/>
                      <w:u w:val="none"/>
                      <w:lang w:val="en-US" w:eastAsia="zh-CN"/>
                    </w:rPr>
                  </w:pPr>
                  <w:r>
                    <w:rPr>
                      <w:rFonts w:hint="eastAsia" w:eastAsia="宋体"/>
                      <w:b w:val="0"/>
                      <w:bCs w:val="0"/>
                      <w:color w:val="auto"/>
                      <w:sz w:val="21"/>
                      <w:szCs w:val="21"/>
                      <w:highlight w:val="none"/>
                      <w:u w:val="none"/>
                    </w:rPr>
                    <w:t>本项</w:t>
                  </w:r>
                  <w:r>
                    <w:rPr>
                      <w:rFonts w:hint="eastAsia" w:eastAsia="宋体"/>
                      <w:b w:val="0"/>
                      <w:bCs w:val="0"/>
                      <w:color w:val="auto"/>
                      <w:sz w:val="21"/>
                      <w:szCs w:val="21"/>
                      <w:highlight w:val="none"/>
                      <w:u w:val="none"/>
                      <w:lang w:val="en-US" w:eastAsia="zh-CN"/>
                    </w:rPr>
                    <w:t>目</w:t>
                  </w:r>
                </w:p>
              </w:tc>
              <w:tc>
                <w:tcPr>
                  <w:tcW w:w="623" w:type="dxa"/>
                  <w:tcBorders>
                    <w:tl2br w:val="nil"/>
                    <w:tr2bl w:val="nil"/>
                  </w:tcBorders>
                  <w:vAlign w:val="center"/>
                </w:tcPr>
                <w:p w14:paraId="3F431CF6">
                  <w:pPr>
                    <w:keepNext w:val="0"/>
                    <w:keepLines w:val="0"/>
                    <w:pageBreakBefore w:val="0"/>
                    <w:kinsoku/>
                    <w:wordWrap/>
                    <w:overflowPunct/>
                    <w:topLinePunct w:val="0"/>
                    <w:autoSpaceDE/>
                    <w:autoSpaceDN/>
                    <w:bidi w:val="0"/>
                    <w:adjustRightInd/>
                    <w:snapToGrid/>
                    <w:spacing w:line="240" w:lineRule="auto"/>
                    <w:ind w:left="0" w:firstLine="0" w:firstLineChars="0"/>
                    <w:jc w:val="center"/>
                    <w:textAlignment w:val="auto"/>
                    <w:rPr>
                      <w:rFonts w:hint="eastAsia" w:ascii="宋体" w:hAnsi="宋体" w:eastAsia="宋体"/>
                      <w:b w:val="0"/>
                      <w:bCs w:val="0"/>
                      <w:color w:val="auto"/>
                      <w:sz w:val="21"/>
                      <w:szCs w:val="21"/>
                      <w:highlight w:val="none"/>
                      <w:u w:val="none"/>
                      <w:lang w:val="en-US" w:eastAsia="zh-CN"/>
                    </w:rPr>
                  </w:pPr>
                  <w:r>
                    <w:rPr>
                      <w:rFonts w:hint="eastAsia" w:ascii="宋体" w:hAnsi="宋体"/>
                      <w:b w:val="0"/>
                      <w:bCs w:val="0"/>
                      <w:color w:val="auto"/>
                      <w:sz w:val="21"/>
                      <w:szCs w:val="21"/>
                      <w:highlight w:val="none"/>
                      <w:u w:val="none"/>
                      <w:lang w:val="en-US" w:eastAsia="zh-CN"/>
                    </w:rPr>
                    <w:t>符合性</w:t>
                  </w:r>
                </w:p>
              </w:tc>
            </w:tr>
            <w:tr w14:paraId="7FFA52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0" w:type="dxa"/>
                  <w:vMerge w:val="restart"/>
                  <w:tcBorders>
                    <w:tl2br w:val="nil"/>
                    <w:tr2bl w:val="nil"/>
                  </w:tcBorders>
                  <w:vAlign w:val="center"/>
                </w:tcPr>
                <w:p w14:paraId="2D469D02">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hint="default" w:eastAsia="宋体"/>
                      <w:color w:val="auto"/>
                      <w:sz w:val="21"/>
                      <w:szCs w:val="21"/>
                      <w:highlight w:val="none"/>
                      <w:u w:val="none"/>
                      <w:lang w:val="en-US" w:eastAsia="zh-CN"/>
                    </w:rPr>
                  </w:pPr>
                  <w:r>
                    <w:rPr>
                      <w:rFonts w:hint="eastAsia" w:eastAsia="宋体"/>
                      <w:color w:val="auto"/>
                      <w:sz w:val="21"/>
                      <w:szCs w:val="21"/>
                      <w:highlight w:val="none"/>
                      <w:u w:val="none"/>
                      <w:lang w:val="en-US" w:eastAsia="zh-CN"/>
                    </w:rPr>
                    <w:t>优先保护单元生态环境总体管控要求</w:t>
                  </w:r>
                </w:p>
              </w:tc>
              <w:tc>
                <w:tcPr>
                  <w:tcW w:w="600" w:type="dxa"/>
                  <w:vMerge w:val="restart"/>
                  <w:tcBorders>
                    <w:tl2br w:val="nil"/>
                    <w:tr2bl w:val="nil"/>
                  </w:tcBorders>
                  <w:vAlign w:val="center"/>
                </w:tcPr>
                <w:p w14:paraId="5C30F225">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hint="default" w:eastAsia="宋体"/>
                      <w:color w:val="auto"/>
                      <w:sz w:val="21"/>
                      <w:szCs w:val="21"/>
                      <w:highlight w:val="none"/>
                      <w:u w:val="none"/>
                      <w:lang w:val="en-US" w:eastAsia="zh-CN"/>
                    </w:rPr>
                  </w:pPr>
                  <w:r>
                    <w:rPr>
                      <w:rFonts w:hint="eastAsia" w:eastAsia="宋体"/>
                      <w:color w:val="auto"/>
                      <w:sz w:val="21"/>
                      <w:szCs w:val="21"/>
                      <w:highlight w:val="none"/>
                      <w:u w:val="none"/>
                      <w:lang w:val="en-US" w:eastAsia="zh-CN"/>
                    </w:rPr>
                    <w:t>生态空间</w:t>
                  </w:r>
                </w:p>
              </w:tc>
              <w:tc>
                <w:tcPr>
                  <w:tcW w:w="915" w:type="dxa"/>
                  <w:tcBorders>
                    <w:tl2br w:val="nil"/>
                    <w:tr2bl w:val="nil"/>
                  </w:tcBorders>
                  <w:vAlign w:val="center"/>
                </w:tcPr>
                <w:p w14:paraId="5846A6E9">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hint="default" w:eastAsia="宋体"/>
                      <w:color w:val="auto"/>
                      <w:sz w:val="21"/>
                      <w:szCs w:val="21"/>
                      <w:highlight w:val="none"/>
                      <w:u w:val="none"/>
                      <w:lang w:val="en-US" w:eastAsia="zh-CN"/>
                    </w:rPr>
                  </w:pPr>
                  <w:r>
                    <w:rPr>
                      <w:rFonts w:hint="eastAsia" w:eastAsia="宋体"/>
                      <w:color w:val="auto"/>
                      <w:sz w:val="21"/>
                      <w:szCs w:val="21"/>
                      <w:highlight w:val="none"/>
                      <w:u w:val="none"/>
                      <w:lang w:val="en-US" w:eastAsia="zh-CN"/>
                    </w:rPr>
                    <w:t>生态保护红线</w:t>
                  </w:r>
                </w:p>
              </w:tc>
              <w:tc>
                <w:tcPr>
                  <w:tcW w:w="2145" w:type="dxa"/>
                  <w:tcBorders>
                    <w:tl2br w:val="nil"/>
                    <w:tr2bl w:val="nil"/>
                  </w:tcBorders>
                  <w:vAlign w:val="center"/>
                </w:tcPr>
                <w:p w14:paraId="5518EF8C">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r>
                    <w:rPr>
                      <w:rFonts w:hint="eastAsia" w:eastAsia="宋体"/>
                      <w:color w:val="auto"/>
                      <w:sz w:val="21"/>
                      <w:szCs w:val="21"/>
                      <w:highlight w:val="none"/>
                      <w:u w:val="none"/>
                    </w:rPr>
                    <w:t>生态空间范围内具真特殊重要生态功能、必须强制性严格保护的区域</w:t>
                  </w:r>
                </w:p>
              </w:tc>
              <w:tc>
                <w:tcPr>
                  <w:tcW w:w="1980" w:type="dxa"/>
                  <w:tcBorders>
                    <w:tl2br w:val="nil"/>
                    <w:tr2bl w:val="nil"/>
                  </w:tcBorders>
                  <w:vAlign w:val="center"/>
                </w:tcPr>
                <w:p w14:paraId="253100A2">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r>
                    <w:rPr>
                      <w:rFonts w:hint="eastAsia" w:eastAsia="宋体"/>
                      <w:color w:val="auto"/>
                      <w:sz w:val="21"/>
                      <w:szCs w:val="21"/>
                      <w:highlight w:val="none"/>
                      <w:u w:val="none"/>
                    </w:rPr>
                    <w:t>本项且不属于</w:t>
                  </w:r>
                  <w:r>
                    <w:rPr>
                      <w:rFonts w:hint="eastAsia" w:eastAsia="宋体"/>
                      <w:color w:val="auto"/>
                      <w:sz w:val="21"/>
                      <w:szCs w:val="21"/>
                      <w:highlight w:val="none"/>
                      <w:u w:val="none"/>
                      <w:lang w:val="en-US" w:eastAsia="zh-CN"/>
                    </w:rPr>
                    <w:t>龙山县</w:t>
                  </w:r>
                  <w:r>
                    <w:rPr>
                      <w:rFonts w:hint="eastAsia" w:eastAsia="宋体"/>
                      <w:color w:val="auto"/>
                      <w:sz w:val="21"/>
                      <w:szCs w:val="21"/>
                      <w:highlight w:val="none"/>
                      <w:u w:val="none"/>
                    </w:rPr>
                    <w:t>生态保护红线范围，项</w:t>
                  </w:r>
                  <w:r>
                    <w:rPr>
                      <w:rFonts w:hint="eastAsia" w:eastAsia="宋体"/>
                      <w:color w:val="auto"/>
                      <w:sz w:val="21"/>
                      <w:szCs w:val="21"/>
                      <w:highlight w:val="none"/>
                      <w:u w:val="none"/>
                      <w:lang w:val="en-US" w:eastAsia="zh-CN"/>
                    </w:rPr>
                    <w:t>目</w:t>
                  </w:r>
                  <w:r>
                    <w:rPr>
                      <w:rFonts w:hint="eastAsia" w:eastAsia="宋体"/>
                      <w:color w:val="auto"/>
                      <w:sz w:val="21"/>
                      <w:szCs w:val="21"/>
                      <w:highlight w:val="none"/>
                      <w:u w:val="none"/>
                    </w:rPr>
                    <w:t>地范围内无具有特殊生态功能和必须强制保护的区域，符合生态保护红线要求</w:t>
                  </w:r>
                </w:p>
              </w:tc>
              <w:tc>
                <w:tcPr>
                  <w:tcW w:w="623" w:type="dxa"/>
                  <w:tcBorders>
                    <w:tl2br w:val="nil"/>
                    <w:tr2bl w:val="nil"/>
                  </w:tcBorders>
                  <w:vAlign w:val="center"/>
                </w:tcPr>
                <w:p w14:paraId="7343F5BF">
                  <w:pPr>
                    <w:keepNext w:val="0"/>
                    <w:keepLines w:val="0"/>
                    <w:pageBreakBefore w:val="0"/>
                    <w:kinsoku/>
                    <w:wordWrap/>
                    <w:overflowPunct/>
                    <w:topLinePunct w:val="0"/>
                    <w:autoSpaceDE/>
                    <w:autoSpaceDN/>
                    <w:bidi w:val="0"/>
                    <w:adjustRightInd/>
                    <w:snapToGrid/>
                    <w:spacing w:line="240" w:lineRule="auto"/>
                    <w:ind w:left="0" w:firstLine="0" w:firstLineChars="0"/>
                    <w:jc w:val="center"/>
                    <w:textAlignment w:val="auto"/>
                    <w:rPr>
                      <w:rFonts w:ascii="宋体" w:hAnsi="宋体"/>
                      <w:color w:val="auto"/>
                      <w:sz w:val="21"/>
                      <w:szCs w:val="21"/>
                      <w:highlight w:val="none"/>
                      <w:u w:val="none"/>
                    </w:rPr>
                  </w:pPr>
                  <w:r>
                    <w:rPr>
                      <w:rFonts w:hint="eastAsia" w:ascii="宋体" w:hAnsi="宋体"/>
                      <w:b w:val="0"/>
                      <w:bCs w:val="0"/>
                      <w:color w:val="auto"/>
                      <w:sz w:val="21"/>
                      <w:szCs w:val="21"/>
                      <w:highlight w:val="none"/>
                      <w:u w:val="none"/>
                      <w:lang w:val="en-US" w:eastAsia="zh-CN"/>
                    </w:rPr>
                    <w:t>符合</w:t>
                  </w:r>
                </w:p>
              </w:tc>
            </w:tr>
            <w:tr w14:paraId="160B72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0" w:type="dxa"/>
                  <w:vMerge w:val="continue"/>
                  <w:tcBorders>
                    <w:tl2br w:val="nil"/>
                    <w:tr2bl w:val="nil"/>
                  </w:tcBorders>
                  <w:vAlign w:val="center"/>
                </w:tcPr>
                <w:p w14:paraId="017F6921">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Style w:val="79"/>
                      <w:rFonts w:eastAsia="宋体"/>
                      <w:color w:val="auto"/>
                      <w:sz w:val="21"/>
                      <w:szCs w:val="21"/>
                      <w:highlight w:val="none"/>
                      <w:u w:val="none"/>
                    </w:rPr>
                  </w:pPr>
                </w:p>
              </w:tc>
              <w:tc>
                <w:tcPr>
                  <w:tcW w:w="600" w:type="dxa"/>
                  <w:vMerge w:val="continue"/>
                  <w:tcBorders>
                    <w:tl2br w:val="nil"/>
                    <w:tr2bl w:val="nil"/>
                  </w:tcBorders>
                  <w:vAlign w:val="center"/>
                </w:tcPr>
                <w:p w14:paraId="45A1AFEF">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Style w:val="79"/>
                      <w:rFonts w:eastAsia="宋体"/>
                      <w:color w:val="auto"/>
                      <w:sz w:val="21"/>
                      <w:szCs w:val="21"/>
                      <w:highlight w:val="none"/>
                      <w:u w:val="none"/>
                    </w:rPr>
                  </w:pPr>
                </w:p>
              </w:tc>
              <w:tc>
                <w:tcPr>
                  <w:tcW w:w="915" w:type="dxa"/>
                  <w:tcBorders>
                    <w:tl2br w:val="nil"/>
                    <w:tr2bl w:val="nil"/>
                  </w:tcBorders>
                  <w:vAlign w:val="center"/>
                </w:tcPr>
                <w:p w14:paraId="27711777">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Style w:val="79"/>
                      <w:rFonts w:hint="default" w:eastAsia="宋体"/>
                      <w:color w:val="auto"/>
                      <w:sz w:val="21"/>
                      <w:szCs w:val="21"/>
                      <w:highlight w:val="none"/>
                      <w:u w:val="none"/>
                      <w:lang w:val="en-US" w:eastAsia="zh-CN"/>
                    </w:rPr>
                  </w:pPr>
                  <w:r>
                    <w:rPr>
                      <w:rStyle w:val="79"/>
                      <w:rFonts w:hint="eastAsia" w:eastAsia="宋体"/>
                      <w:color w:val="auto"/>
                      <w:sz w:val="21"/>
                      <w:szCs w:val="21"/>
                      <w:highlight w:val="none"/>
                      <w:u w:val="none"/>
                      <w:lang w:val="en-US" w:eastAsia="zh-CN"/>
                    </w:rPr>
                    <w:t>一般生态空间</w:t>
                  </w:r>
                </w:p>
              </w:tc>
              <w:tc>
                <w:tcPr>
                  <w:tcW w:w="2145" w:type="dxa"/>
                  <w:tcBorders>
                    <w:tl2br w:val="nil"/>
                    <w:tr2bl w:val="nil"/>
                  </w:tcBorders>
                  <w:vAlign w:val="center"/>
                </w:tcPr>
                <w:p w14:paraId="1AAFCA64">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Style w:val="79"/>
                      <w:rFonts w:eastAsia="宋体"/>
                      <w:color w:val="auto"/>
                      <w:sz w:val="21"/>
                      <w:szCs w:val="21"/>
                      <w:highlight w:val="none"/>
                      <w:u w:val="none"/>
                    </w:rPr>
                  </w:pPr>
                  <w:r>
                    <w:rPr>
                      <w:rFonts w:hint="eastAsia" w:eastAsia="宋体"/>
                      <w:color w:val="auto"/>
                      <w:sz w:val="21"/>
                      <w:szCs w:val="21"/>
                      <w:highlight w:val="none"/>
                      <w:u w:val="none"/>
                    </w:rPr>
                    <w:t>除生态保护红线以外，需要加强生态保护的各类区域</w:t>
                  </w:r>
                </w:p>
              </w:tc>
              <w:tc>
                <w:tcPr>
                  <w:tcW w:w="1980" w:type="dxa"/>
                  <w:tcBorders>
                    <w:tl2br w:val="nil"/>
                    <w:tr2bl w:val="nil"/>
                  </w:tcBorders>
                  <w:vAlign w:val="center"/>
                </w:tcPr>
                <w:p w14:paraId="1C223A42">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Style w:val="79"/>
                      <w:rFonts w:eastAsia="宋体"/>
                      <w:color w:val="auto"/>
                      <w:sz w:val="21"/>
                      <w:szCs w:val="21"/>
                      <w:highlight w:val="none"/>
                      <w:u w:val="none"/>
                    </w:rPr>
                  </w:pPr>
                  <w:r>
                    <w:rPr>
                      <w:rFonts w:hint="eastAsia" w:eastAsia="宋体"/>
                      <w:color w:val="auto"/>
                      <w:sz w:val="21"/>
                      <w:szCs w:val="21"/>
                      <w:highlight w:val="none"/>
                      <w:u w:val="none"/>
                    </w:rPr>
                    <w:t>本项目不涉及</w:t>
                  </w:r>
                </w:p>
              </w:tc>
              <w:tc>
                <w:tcPr>
                  <w:tcW w:w="623" w:type="dxa"/>
                  <w:tcBorders>
                    <w:tl2br w:val="nil"/>
                    <w:tr2bl w:val="nil"/>
                  </w:tcBorders>
                  <w:vAlign w:val="center"/>
                </w:tcPr>
                <w:p w14:paraId="65D8ACF9">
                  <w:pPr>
                    <w:keepNext w:val="0"/>
                    <w:keepLines w:val="0"/>
                    <w:pageBreakBefore w:val="0"/>
                    <w:kinsoku/>
                    <w:wordWrap/>
                    <w:overflowPunct/>
                    <w:topLinePunct w:val="0"/>
                    <w:autoSpaceDE/>
                    <w:autoSpaceDN/>
                    <w:bidi w:val="0"/>
                    <w:adjustRightInd/>
                    <w:snapToGrid/>
                    <w:spacing w:line="240" w:lineRule="auto"/>
                    <w:ind w:left="0" w:firstLine="0" w:firstLineChars="0"/>
                    <w:jc w:val="center"/>
                    <w:textAlignment w:val="auto"/>
                    <w:rPr>
                      <w:rFonts w:ascii="宋体" w:hAnsi="宋体"/>
                      <w:color w:val="auto"/>
                      <w:sz w:val="21"/>
                      <w:szCs w:val="21"/>
                      <w:highlight w:val="none"/>
                      <w:u w:val="none"/>
                    </w:rPr>
                  </w:pPr>
                  <w:r>
                    <w:rPr>
                      <w:rFonts w:hint="eastAsia" w:ascii="宋体" w:hAnsi="宋体"/>
                      <w:b w:val="0"/>
                      <w:bCs w:val="0"/>
                      <w:color w:val="auto"/>
                      <w:sz w:val="21"/>
                      <w:szCs w:val="21"/>
                      <w:highlight w:val="none"/>
                      <w:u w:val="none"/>
                      <w:lang w:val="en-US" w:eastAsia="zh-CN"/>
                    </w:rPr>
                    <w:t>符合</w:t>
                  </w:r>
                </w:p>
              </w:tc>
            </w:tr>
            <w:tr w14:paraId="7FC188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0" w:type="dxa"/>
                  <w:vMerge w:val="continue"/>
                  <w:tcBorders>
                    <w:tl2br w:val="nil"/>
                    <w:tr2bl w:val="nil"/>
                  </w:tcBorders>
                  <w:vAlign w:val="center"/>
                </w:tcPr>
                <w:p w14:paraId="3DAC59CD">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Style w:val="79"/>
                      <w:rFonts w:eastAsia="宋体"/>
                      <w:color w:val="auto"/>
                      <w:sz w:val="21"/>
                      <w:szCs w:val="21"/>
                      <w:highlight w:val="none"/>
                      <w:u w:val="none"/>
                    </w:rPr>
                  </w:pPr>
                </w:p>
              </w:tc>
              <w:tc>
                <w:tcPr>
                  <w:tcW w:w="1515" w:type="dxa"/>
                  <w:gridSpan w:val="2"/>
                  <w:tcBorders>
                    <w:tl2br w:val="nil"/>
                    <w:tr2bl w:val="nil"/>
                  </w:tcBorders>
                  <w:vAlign w:val="center"/>
                </w:tcPr>
                <w:p w14:paraId="23541571">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Style w:val="79"/>
                      <w:rFonts w:hint="default" w:eastAsia="宋体"/>
                      <w:color w:val="auto"/>
                      <w:sz w:val="21"/>
                      <w:szCs w:val="21"/>
                      <w:highlight w:val="none"/>
                      <w:u w:val="none"/>
                      <w:lang w:val="en-US" w:eastAsia="zh-CN"/>
                    </w:rPr>
                  </w:pPr>
                  <w:r>
                    <w:rPr>
                      <w:rStyle w:val="79"/>
                      <w:rFonts w:hint="eastAsia" w:eastAsia="宋体"/>
                      <w:color w:val="auto"/>
                      <w:sz w:val="21"/>
                      <w:szCs w:val="21"/>
                      <w:highlight w:val="none"/>
                      <w:u w:val="none"/>
                      <w:lang w:val="en-US" w:eastAsia="zh-CN"/>
                    </w:rPr>
                    <w:t>大气环境优先保护区</w:t>
                  </w:r>
                </w:p>
              </w:tc>
              <w:tc>
                <w:tcPr>
                  <w:tcW w:w="2145" w:type="dxa"/>
                  <w:tcBorders>
                    <w:tl2br w:val="nil"/>
                    <w:tr2bl w:val="nil"/>
                  </w:tcBorders>
                  <w:vAlign w:val="center"/>
                </w:tcPr>
                <w:p w14:paraId="316BF048">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Style w:val="79"/>
                      <w:rFonts w:eastAsia="宋体"/>
                      <w:color w:val="auto"/>
                      <w:sz w:val="21"/>
                      <w:szCs w:val="21"/>
                      <w:highlight w:val="none"/>
                      <w:u w:val="none"/>
                    </w:rPr>
                  </w:pPr>
                  <w:r>
                    <w:rPr>
                      <w:rFonts w:hint="eastAsia" w:eastAsia="宋体"/>
                      <w:color w:val="auto"/>
                      <w:sz w:val="21"/>
                      <w:szCs w:val="21"/>
                      <w:highlight w:val="none"/>
                      <w:u w:val="none"/>
                    </w:rPr>
                    <w:t>环境空气一类功能区</w:t>
                  </w:r>
                </w:p>
              </w:tc>
              <w:tc>
                <w:tcPr>
                  <w:tcW w:w="1980" w:type="dxa"/>
                  <w:tcBorders>
                    <w:tl2br w:val="nil"/>
                    <w:tr2bl w:val="nil"/>
                  </w:tcBorders>
                  <w:vAlign w:val="center"/>
                </w:tcPr>
                <w:p w14:paraId="4FB578EF">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Style w:val="79"/>
                      <w:rFonts w:eastAsia="宋体"/>
                      <w:color w:val="auto"/>
                      <w:sz w:val="21"/>
                      <w:szCs w:val="21"/>
                      <w:highlight w:val="none"/>
                      <w:u w:val="none"/>
                    </w:rPr>
                  </w:pPr>
                  <w:r>
                    <w:rPr>
                      <w:rFonts w:hint="eastAsia" w:eastAsia="宋体"/>
                      <w:color w:val="auto"/>
                      <w:sz w:val="21"/>
                      <w:szCs w:val="21"/>
                      <w:highlight w:val="none"/>
                      <w:u w:val="none"/>
                    </w:rPr>
                    <w:t>项目所在地为二类环境空气质量功能区</w:t>
                  </w:r>
                </w:p>
              </w:tc>
              <w:tc>
                <w:tcPr>
                  <w:tcW w:w="623" w:type="dxa"/>
                  <w:tcBorders>
                    <w:tl2br w:val="nil"/>
                    <w:tr2bl w:val="nil"/>
                  </w:tcBorders>
                  <w:vAlign w:val="center"/>
                </w:tcPr>
                <w:p w14:paraId="68FDFC6C">
                  <w:pPr>
                    <w:keepNext w:val="0"/>
                    <w:keepLines w:val="0"/>
                    <w:pageBreakBefore w:val="0"/>
                    <w:kinsoku/>
                    <w:wordWrap/>
                    <w:overflowPunct/>
                    <w:topLinePunct w:val="0"/>
                    <w:autoSpaceDE/>
                    <w:autoSpaceDN/>
                    <w:bidi w:val="0"/>
                    <w:adjustRightInd/>
                    <w:snapToGrid/>
                    <w:spacing w:line="240" w:lineRule="auto"/>
                    <w:ind w:left="0" w:firstLine="0" w:firstLineChars="0"/>
                    <w:jc w:val="center"/>
                    <w:textAlignment w:val="auto"/>
                    <w:rPr>
                      <w:rFonts w:ascii="宋体" w:hAnsi="宋体"/>
                      <w:color w:val="auto"/>
                      <w:sz w:val="21"/>
                      <w:szCs w:val="21"/>
                      <w:highlight w:val="none"/>
                      <w:u w:val="none"/>
                    </w:rPr>
                  </w:pPr>
                  <w:r>
                    <w:rPr>
                      <w:rFonts w:hint="eastAsia" w:ascii="宋体" w:hAnsi="宋体"/>
                      <w:b w:val="0"/>
                      <w:bCs w:val="0"/>
                      <w:color w:val="auto"/>
                      <w:sz w:val="21"/>
                      <w:szCs w:val="21"/>
                      <w:highlight w:val="none"/>
                      <w:u w:val="none"/>
                      <w:lang w:val="en-US" w:eastAsia="zh-CN"/>
                    </w:rPr>
                    <w:t>符合</w:t>
                  </w:r>
                </w:p>
              </w:tc>
            </w:tr>
            <w:tr w14:paraId="4DA936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0" w:type="dxa"/>
                  <w:vMerge w:val="continue"/>
                  <w:tcBorders>
                    <w:tl2br w:val="nil"/>
                    <w:tr2bl w:val="nil"/>
                  </w:tcBorders>
                  <w:vAlign w:val="center"/>
                </w:tcPr>
                <w:p w14:paraId="59235A5A">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p>
              </w:tc>
              <w:tc>
                <w:tcPr>
                  <w:tcW w:w="1515" w:type="dxa"/>
                  <w:gridSpan w:val="2"/>
                  <w:vMerge w:val="restart"/>
                  <w:tcBorders>
                    <w:tl2br w:val="nil"/>
                    <w:tr2bl w:val="nil"/>
                  </w:tcBorders>
                  <w:vAlign w:val="center"/>
                </w:tcPr>
                <w:p w14:paraId="210B0794">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hint="default" w:eastAsia="宋体"/>
                      <w:color w:val="auto"/>
                      <w:sz w:val="21"/>
                      <w:szCs w:val="21"/>
                      <w:highlight w:val="none"/>
                      <w:u w:val="none"/>
                      <w:lang w:val="en-US" w:eastAsia="zh-CN"/>
                    </w:rPr>
                  </w:pPr>
                  <w:r>
                    <w:rPr>
                      <w:rFonts w:hint="eastAsia" w:eastAsia="宋体"/>
                      <w:color w:val="auto"/>
                      <w:sz w:val="21"/>
                      <w:szCs w:val="21"/>
                      <w:highlight w:val="none"/>
                      <w:u w:val="none"/>
                      <w:lang w:val="en-US" w:eastAsia="zh-CN"/>
                    </w:rPr>
                    <w:t>水环境优先保护区</w:t>
                  </w:r>
                </w:p>
              </w:tc>
              <w:tc>
                <w:tcPr>
                  <w:tcW w:w="2145" w:type="dxa"/>
                  <w:tcBorders>
                    <w:tl2br w:val="nil"/>
                    <w:tr2bl w:val="nil"/>
                  </w:tcBorders>
                  <w:vAlign w:val="center"/>
                </w:tcPr>
                <w:p w14:paraId="70ECD415">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r>
                    <w:rPr>
                      <w:rFonts w:hint="eastAsia" w:eastAsia="宋体"/>
                      <w:color w:val="auto"/>
                      <w:sz w:val="21"/>
                      <w:szCs w:val="21"/>
                      <w:highlight w:val="none"/>
                      <w:u w:val="none"/>
                    </w:rPr>
                    <w:t>饮用水水源保护区所在水环境优先保护区域</w:t>
                  </w:r>
                </w:p>
              </w:tc>
              <w:tc>
                <w:tcPr>
                  <w:tcW w:w="1980" w:type="dxa"/>
                  <w:tcBorders>
                    <w:tl2br w:val="nil"/>
                    <w:tr2bl w:val="nil"/>
                  </w:tcBorders>
                  <w:vAlign w:val="center"/>
                </w:tcPr>
                <w:p w14:paraId="0A6C8604">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r>
                    <w:rPr>
                      <w:rFonts w:hint="eastAsia" w:eastAsia="宋体"/>
                      <w:color w:val="auto"/>
                      <w:sz w:val="21"/>
                      <w:szCs w:val="21"/>
                      <w:highlight w:val="none"/>
                      <w:u w:val="none"/>
                    </w:rPr>
                    <w:t>不涉及</w:t>
                  </w:r>
                </w:p>
              </w:tc>
              <w:tc>
                <w:tcPr>
                  <w:tcW w:w="623" w:type="dxa"/>
                  <w:tcBorders>
                    <w:tl2br w:val="nil"/>
                    <w:tr2bl w:val="nil"/>
                  </w:tcBorders>
                  <w:vAlign w:val="center"/>
                </w:tcPr>
                <w:p w14:paraId="2EBB88E4">
                  <w:pPr>
                    <w:keepNext w:val="0"/>
                    <w:keepLines w:val="0"/>
                    <w:pageBreakBefore w:val="0"/>
                    <w:kinsoku/>
                    <w:wordWrap/>
                    <w:overflowPunct/>
                    <w:topLinePunct w:val="0"/>
                    <w:autoSpaceDE/>
                    <w:autoSpaceDN/>
                    <w:bidi w:val="0"/>
                    <w:adjustRightInd/>
                    <w:snapToGrid/>
                    <w:spacing w:line="240" w:lineRule="auto"/>
                    <w:ind w:left="0" w:firstLine="0" w:firstLineChars="0"/>
                    <w:jc w:val="center"/>
                    <w:textAlignment w:val="auto"/>
                    <w:rPr>
                      <w:rFonts w:ascii="宋体" w:hAnsi="宋体"/>
                      <w:color w:val="auto"/>
                      <w:sz w:val="21"/>
                      <w:szCs w:val="21"/>
                      <w:highlight w:val="none"/>
                      <w:u w:val="none"/>
                    </w:rPr>
                  </w:pPr>
                  <w:r>
                    <w:rPr>
                      <w:rFonts w:hint="eastAsia" w:ascii="宋体" w:hAnsi="宋体"/>
                      <w:b w:val="0"/>
                      <w:bCs w:val="0"/>
                      <w:color w:val="auto"/>
                      <w:sz w:val="21"/>
                      <w:szCs w:val="21"/>
                      <w:highlight w:val="none"/>
                      <w:u w:val="none"/>
                      <w:lang w:val="en-US" w:eastAsia="zh-CN"/>
                    </w:rPr>
                    <w:t>符合</w:t>
                  </w:r>
                </w:p>
              </w:tc>
            </w:tr>
            <w:tr w14:paraId="33C4AB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0" w:type="dxa"/>
                  <w:vMerge w:val="continue"/>
                  <w:tcBorders>
                    <w:tl2br w:val="nil"/>
                    <w:tr2bl w:val="nil"/>
                  </w:tcBorders>
                  <w:vAlign w:val="center"/>
                </w:tcPr>
                <w:p w14:paraId="7588C9FC">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p>
              </w:tc>
              <w:tc>
                <w:tcPr>
                  <w:tcW w:w="1515" w:type="dxa"/>
                  <w:gridSpan w:val="2"/>
                  <w:vMerge w:val="continue"/>
                  <w:tcBorders>
                    <w:tl2br w:val="nil"/>
                    <w:tr2bl w:val="nil"/>
                  </w:tcBorders>
                  <w:vAlign w:val="center"/>
                </w:tcPr>
                <w:p w14:paraId="20126504">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p>
              </w:tc>
              <w:tc>
                <w:tcPr>
                  <w:tcW w:w="2145" w:type="dxa"/>
                  <w:tcBorders>
                    <w:tl2br w:val="nil"/>
                    <w:tr2bl w:val="nil"/>
                  </w:tcBorders>
                  <w:vAlign w:val="center"/>
                </w:tcPr>
                <w:p w14:paraId="6B784B8E">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r>
                    <w:rPr>
                      <w:rFonts w:hint="eastAsia" w:eastAsia="宋体"/>
                      <w:color w:val="auto"/>
                      <w:sz w:val="21"/>
                      <w:szCs w:val="21"/>
                      <w:highlight w:val="none"/>
                      <w:u w:val="none"/>
                    </w:rPr>
                    <w:t>水产种质资源保护区</w:t>
                  </w:r>
                  <w:r>
                    <w:rPr>
                      <w:rFonts w:hint="eastAsia" w:eastAsia="宋体"/>
                      <w:color w:val="auto"/>
                      <w:sz w:val="21"/>
                      <w:szCs w:val="21"/>
                      <w:highlight w:val="none"/>
                      <w:u w:val="none"/>
                      <w:lang w:eastAsia="zh-CN"/>
                    </w:rPr>
                    <w:t>、</w:t>
                  </w:r>
                  <w:r>
                    <w:rPr>
                      <w:rFonts w:hint="eastAsia" w:eastAsia="宋体"/>
                      <w:color w:val="auto"/>
                      <w:sz w:val="21"/>
                      <w:szCs w:val="21"/>
                      <w:highlight w:val="none"/>
                      <w:u w:val="none"/>
                    </w:rPr>
                    <w:t>所在水环境优先保护区域</w:t>
                  </w:r>
                </w:p>
              </w:tc>
              <w:tc>
                <w:tcPr>
                  <w:tcW w:w="1980" w:type="dxa"/>
                  <w:tcBorders>
                    <w:tl2br w:val="nil"/>
                    <w:tr2bl w:val="nil"/>
                  </w:tcBorders>
                  <w:vAlign w:val="center"/>
                </w:tcPr>
                <w:p w14:paraId="5E26EF60">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r>
                    <w:rPr>
                      <w:rFonts w:hint="eastAsia" w:eastAsia="宋体"/>
                      <w:color w:val="auto"/>
                      <w:sz w:val="21"/>
                      <w:szCs w:val="21"/>
                      <w:highlight w:val="none"/>
                      <w:u w:val="none"/>
                    </w:rPr>
                    <w:t>不涉及</w:t>
                  </w:r>
                </w:p>
              </w:tc>
              <w:tc>
                <w:tcPr>
                  <w:tcW w:w="623" w:type="dxa"/>
                  <w:tcBorders>
                    <w:tl2br w:val="nil"/>
                    <w:tr2bl w:val="nil"/>
                  </w:tcBorders>
                  <w:vAlign w:val="center"/>
                </w:tcPr>
                <w:p w14:paraId="2F225DEF">
                  <w:pPr>
                    <w:keepNext w:val="0"/>
                    <w:keepLines w:val="0"/>
                    <w:pageBreakBefore w:val="0"/>
                    <w:kinsoku/>
                    <w:wordWrap/>
                    <w:overflowPunct/>
                    <w:topLinePunct w:val="0"/>
                    <w:autoSpaceDE/>
                    <w:autoSpaceDN/>
                    <w:bidi w:val="0"/>
                    <w:adjustRightInd/>
                    <w:snapToGrid/>
                    <w:spacing w:line="240" w:lineRule="auto"/>
                    <w:ind w:left="0" w:firstLine="0" w:firstLineChars="0"/>
                    <w:jc w:val="center"/>
                    <w:textAlignment w:val="auto"/>
                    <w:rPr>
                      <w:rFonts w:ascii="宋体" w:hAnsi="宋体"/>
                      <w:color w:val="auto"/>
                      <w:sz w:val="21"/>
                      <w:szCs w:val="21"/>
                      <w:highlight w:val="none"/>
                      <w:u w:val="none"/>
                    </w:rPr>
                  </w:pPr>
                  <w:r>
                    <w:rPr>
                      <w:rFonts w:hint="eastAsia" w:ascii="宋体" w:hAnsi="宋体"/>
                      <w:b w:val="0"/>
                      <w:bCs w:val="0"/>
                      <w:color w:val="auto"/>
                      <w:sz w:val="21"/>
                      <w:szCs w:val="21"/>
                      <w:highlight w:val="none"/>
                      <w:u w:val="none"/>
                      <w:lang w:val="en-US" w:eastAsia="zh-CN"/>
                    </w:rPr>
                    <w:t>符合</w:t>
                  </w:r>
                </w:p>
              </w:tc>
            </w:tr>
            <w:tr w14:paraId="7E46BA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0" w:type="dxa"/>
                  <w:vMerge w:val="continue"/>
                  <w:tcBorders>
                    <w:tl2br w:val="nil"/>
                    <w:tr2bl w:val="nil"/>
                  </w:tcBorders>
                  <w:vAlign w:val="center"/>
                </w:tcPr>
                <w:p w14:paraId="087ED722">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p>
              </w:tc>
              <w:tc>
                <w:tcPr>
                  <w:tcW w:w="1515" w:type="dxa"/>
                  <w:gridSpan w:val="2"/>
                  <w:vMerge w:val="continue"/>
                  <w:tcBorders>
                    <w:tl2br w:val="nil"/>
                    <w:tr2bl w:val="nil"/>
                  </w:tcBorders>
                  <w:vAlign w:val="center"/>
                </w:tcPr>
                <w:p w14:paraId="6E358D8B">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p>
              </w:tc>
              <w:tc>
                <w:tcPr>
                  <w:tcW w:w="2145" w:type="dxa"/>
                  <w:tcBorders>
                    <w:tl2br w:val="nil"/>
                    <w:tr2bl w:val="nil"/>
                  </w:tcBorders>
                  <w:vAlign w:val="center"/>
                </w:tcPr>
                <w:p w14:paraId="3D8FC836">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r>
                    <w:rPr>
                      <w:rFonts w:hint="eastAsia" w:eastAsia="宋体"/>
                      <w:color w:val="auto"/>
                      <w:sz w:val="21"/>
                      <w:szCs w:val="21"/>
                      <w:highlight w:val="none"/>
                      <w:u w:val="none"/>
                    </w:rPr>
                    <w:t>湿地公园所在水环境优先保护区域</w:t>
                  </w:r>
                </w:p>
              </w:tc>
              <w:tc>
                <w:tcPr>
                  <w:tcW w:w="1980" w:type="dxa"/>
                  <w:tcBorders>
                    <w:tl2br w:val="nil"/>
                    <w:tr2bl w:val="nil"/>
                  </w:tcBorders>
                  <w:vAlign w:val="center"/>
                </w:tcPr>
                <w:p w14:paraId="0B29C92A">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r>
                    <w:rPr>
                      <w:rFonts w:hint="eastAsia" w:eastAsia="宋体"/>
                      <w:color w:val="auto"/>
                      <w:sz w:val="21"/>
                      <w:szCs w:val="21"/>
                      <w:highlight w:val="none"/>
                      <w:u w:val="none"/>
                    </w:rPr>
                    <w:t>不涉及</w:t>
                  </w:r>
                </w:p>
              </w:tc>
              <w:tc>
                <w:tcPr>
                  <w:tcW w:w="623" w:type="dxa"/>
                  <w:tcBorders>
                    <w:tl2br w:val="nil"/>
                    <w:tr2bl w:val="nil"/>
                  </w:tcBorders>
                  <w:vAlign w:val="center"/>
                </w:tcPr>
                <w:p w14:paraId="3D4D9F58">
                  <w:pPr>
                    <w:keepNext w:val="0"/>
                    <w:keepLines w:val="0"/>
                    <w:pageBreakBefore w:val="0"/>
                    <w:kinsoku/>
                    <w:wordWrap/>
                    <w:overflowPunct/>
                    <w:topLinePunct w:val="0"/>
                    <w:autoSpaceDE/>
                    <w:autoSpaceDN/>
                    <w:bidi w:val="0"/>
                    <w:adjustRightInd/>
                    <w:snapToGrid/>
                    <w:spacing w:line="240" w:lineRule="auto"/>
                    <w:ind w:left="0" w:firstLine="0" w:firstLineChars="0"/>
                    <w:jc w:val="center"/>
                    <w:textAlignment w:val="auto"/>
                    <w:rPr>
                      <w:rFonts w:ascii="宋体" w:hAnsi="宋体"/>
                      <w:color w:val="auto"/>
                      <w:sz w:val="21"/>
                      <w:szCs w:val="21"/>
                      <w:highlight w:val="none"/>
                      <w:u w:val="none"/>
                    </w:rPr>
                  </w:pPr>
                  <w:r>
                    <w:rPr>
                      <w:rFonts w:hint="eastAsia" w:ascii="宋体" w:hAnsi="宋体"/>
                      <w:b w:val="0"/>
                      <w:bCs w:val="0"/>
                      <w:color w:val="auto"/>
                      <w:sz w:val="21"/>
                      <w:szCs w:val="21"/>
                      <w:highlight w:val="none"/>
                      <w:u w:val="none"/>
                      <w:lang w:val="en-US" w:eastAsia="zh-CN"/>
                    </w:rPr>
                    <w:t>符合</w:t>
                  </w:r>
                </w:p>
              </w:tc>
            </w:tr>
            <w:tr w14:paraId="1E3C1B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0" w:type="dxa"/>
                  <w:vMerge w:val="continue"/>
                  <w:tcBorders>
                    <w:tl2br w:val="nil"/>
                    <w:tr2bl w:val="nil"/>
                  </w:tcBorders>
                  <w:vAlign w:val="center"/>
                </w:tcPr>
                <w:p w14:paraId="080C3EB5">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p>
              </w:tc>
              <w:tc>
                <w:tcPr>
                  <w:tcW w:w="1515" w:type="dxa"/>
                  <w:gridSpan w:val="2"/>
                  <w:vMerge w:val="continue"/>
                  <w:tcBorders>
                    <w:tl2br w:val="nil"/>
                    <w:tr2bl w:val="nil"/>
                  </w:tcBorders>
                  <w:vAlign w:val="center"/>
                </w:tcPr>
                <w:p w14:paraId="5A65154E">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p>
              </w:tc>
              <w:tc>
                <w:tcPr>
                  <w:tcW w:w="2145" w:type="dxa"/>
                  <w:tcBorders>
                    <w:tl2br w:val="nil"/>
                    <w:tr2bl w:val="nil"/>
                  </w:tcBorders>
                  <w:vAlign w:val="center"/>
                </w:tcPr>
                <w:p w14:paraId="26152773">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r>
                    <w:rPr>
                      <w:rFonts w:hint="eastAsia" w:eastAsia="宋体"/>
                      <w:color w:val="auto"/>
                      <w:sz w:val="21"/>
                      <w:szCs w:val="21"/>
                      <w:highlight w:val="none"/>
                      <w:u w:val="none"/>
                    </w:rPr>
                    <w:t>江河源头所在水环境优先保护区域</w:t>
                  </w:r>
                </w:p>
              </w:tc>
              <w:tc>
                <w:tcPr>
                  <w:tcW w:w="1980" w:type="dxa"/>
                  <w:tcBorders>
                    <w:tl2br w:val="nil"/>
                    <w:tr2bl w:val="nil"/>
                  </w:tcBorders>
                  <w:vAlign w:val="center"/>
                </w:tcPr>
                <w:p w14:paraId="47DD4B15">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r>
                    <w:rPr>
                      <w:rFonts w:hint="eastAsia" w:eastAsia="宋体"/>
                      <w:color w:val="auto"/>
                      <w:sz w:val="21"/>
                      <w:szCs w:val="21"/>
                      <w:highlight w:val="none"/>
                      <w:u w:val="none"/>
                    </w:rPr>
                    <w:t>不涉及</w:t>
                  </w:r>
                </w:p>
              </w:tc>
              <w:tc>
                <w:tcPr>
                  <w:tcW w:w="623" w:type="dxa"/>
                  <w:tcBorders>
                    <w:tl2br w:val="nil"/>
                    <w:tr2bl w:val="nil"/>
                  </w:tcBorders>
                  <w:vAlign w:val="center"/>
                </w:tcPr>
                <w:p w14:paraId="352CFF91">
                  <w:pPr>
                    <w:keepNext w:val="0"/>
                    <w:keepLines w:val="0"/>
                    <w:pageBreakBefore w:val="0"/>
                    <w:kinsoku/>
                    <w:wordWrap/>
                    <w:overflowPunct/>
                    <w:topLinePunct w:val="0"/>
                    <w:autoSpaceDE/>
                    <w:autoSpaceDN/>
                    <w:bidi w:val="0"/>
                    <w:adjustRightInd/>
                    <w:snapToGrid/>
                    <w:spacing w:line="240" w:lineRule="auto"/>
                    <w:ind w:left="0" w:firstLine="0" w:firstLineChars="0"/>
                    <w:jc w:val="center"/>
                    <w:textAlignment w:val="auto"/>
                    <w:rPr>
                      <w:rFonts w:ascii="宋体" w:hAnsi="宋体"/>
                      <w:color w:val="auto"/>
                      <w:sz w:val="21"/>
                      <w:szCs w:val="21"/>
                      <w:highlight w:val="none"/>
                      <w:u w:val="none"/>
                    </w:rPr>
                  </w:pPr>
                  <w:r>
                    <w:rPr>
                      <w:rFonts w:hint="eastAsia" w:ascii="宋体" w:hAnsi="宋体"/>
                      <w:b w:val="0"/>
                      <w:bCs w:val="0"/>
                      <w:color w:val="auto"/>
                      <w:sz w:val="21"/>
                      <w:szCs w:val="21"/>
                      <w:highlight w:val="none"/>
                      <w:u w:val="none"/>
                      <w:lang w:val="en-US" w:eastAsia="zh-CN"/>
                    </w:rPr>
                    <w:t>符合</w:t>
                  </w:r>
                </w:p>
              </w:tc>
            </w:tr>
            <w:tr w14:paraId="4C769E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0" w:type="dxa"/>
                  <w:vMerge w:val="continue"/>
                  <w:tcBorders>
                    <w:tl2br w:val="nil"/>
                    <w:tr2bl w:val="nil"/>
                  </w:tcBorders>
                  <w:vAlign w:val="center"/>
                </w:tcPr>
                <w:p w14:paraId="342BDFB2">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p>
              </w:tc>
              <w:tc>
                <w:tcPr>
                  <w:tcW w:w="1515" w:type="dxa"/>
                  <w:gridSpan w:val="2"/>
                  <w:tcBorders>
                    <w:tl2br w:val="nil"/>
                    <w:tr2bl w:val="nil"/>
                  </w:tcBorders>
                  <w:vAlign w:val="center"/>
                </w:tcPr>
                <w:p w14:paraId="10F85192">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hint="default" w:eastAsia="宋体"/>
                      <w:color w:val="auto"/>
                      <w:sz w:val="21"/>
                      <w:szCs w:val="21"/>
                      <w:highlight w:val="none"/>
                      <w:u w:val="none"/>
                      <w:lang w:val="en-US" w:eastAsia="zh-CN"/>
                    </w:rPr>
                  </w:pPr>
                  <w:r>
                    <w:rPr>
                      <w:rFonts w:hint="eastAsia" w:eastAsia="宋体"/>
                      <w:color w:val="auto"/>
                      <w:sz w:val="21"/>
                      <w:szCs w:val="21"/>
                      <w:highlight w:val="none"/>
                      <w:u w:val="none"/>
                      <w:lang w:val="en-US" w:eastAsia="zh-CN"/>
                    </w:rPr>
                    <w:t>农用地优先保护区</w:t>
                  </w:r>
                </w:p>
              </w:tc>
              <w:tc>
                <w:tcPr>
                  <w:tcW w:w="2145" w:type="dxa"/>
                  <w:tcBorders>
                    <w:tl2br w:val="nil"/>
                    <w:tr2bl w:val="nil"/>
                  </w:tcBorders>
                  <w:vAlign w:val="center"/>
                </w:tcPr>
                <w:p w14:paraId="08004F07">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r>
                    <w:rPr>
                      <w:rFonts w:hint="eastAsia" w:eastAsia="宋体"/>
                      <w:color w:val="auto"/>
                      <w:sz w:val="21"/>
                      <w:szCs w:val="21"/>
                      <w:highlight w:val="none"/>
                      <w:u w:val="none"/>
                    </w:rPr>
                    <w:t>永久基本农田区域</w:t>
                  </w:r>
                </w:p>
              </w:tc>
              <w:tc>
                <w:tcPr>
                  <w:tcW w:w="1980" w:type="dxa"/>
                  <w:tcBorders>
                    <w:tl2br w:val="nil"/>
                    <w:tr2bl w:val="nil"/>
                  </w:tcBorders>
                  <w:vAlign w:val="center"/>
                </w:tcPr>
                <w:p w14:paraId="071E313E">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r>
                    <w:rPr>
                      <w:rFonts w:hint="eastAsia" w:eastAsia="宋体"/>
                      <w:color w:val="auto"/>
                      <w:sz w:val="21"/>
                      <w:szCs w:val="21"/>
                      <w:highlight w:val="none"/>
                      <w:u w:val="none"/>
                    </w:rPr>
                    <w:t>不涉及</w:t>
                  </w:r>
                </w:p>
              </w:tc>
              <w:tc>
                <w:tcPr>
                  <w:tcW w:w="623" w:type="dxa"/>
                  <w:tcBorders>
                    <w:tl2br w:val="nil"/>
                    <w:tr2bl w:val="nil"/>
                  </w:tcBorders>
                  <w:vAlign w:val="center"/>
                </w:tcPr>
                <w:p w14:paraId="32C048DD">
                  <w:pPr>
                    <w:keepNext w:val="0"/>
                    <w:keepLines w:val="0"/>
                    <w:pageBreakBefore w:val="0"/>
                    <w:kinsoku/>
                    <w:wordWrap/>
                    <w:overflowPunct/>
                    <w:topLinePunct w:val="0"/>
                    <w:autoSpaceDE/>
                    <w:autoSpaceDN/>
                    <w:bidi w:val="0"/>
                    <w:adjustRightInd/>
                    <w:snapToGrid/>
                    <w:spacing w:line="240" w:lineRule="auto"/>
                    <w:ind w:left="0" w:firstLine="0" w:firstLineChars="0"/>
                    <w:jc w:val="center"/>
                    <w:textAlignment w:val="auto"/>
                    <w:rPr>
                      <w:rFonts w:ascii="宋体" w:hAnsi="宋体"/>
                      <w:color w:val="auto"/>
                      <w:sz w:val="21"/>
                      <w:szCs w:val="21"/>
                      <w:highlight w:val="none"/>
                      <w:u w:val="none"/>
                    </w:rPr>
                  </w:pPr>
                  <w:r>
                    <w:rPr>
                      <w:rFonts w:hint="eastAsia" w:ascii="宋体" w:hAnsi="宋体"/>
                      <w:b w:val="0"/>
                      <w:bCs w:val="0"/>
                      <w:color w:val="auto"/>
                      <w:sz w:val="21"/>
                      <w:szCs w:val="21"/>
                      <w:highlight w:val="none"/>
                      <w:u w:val="none"/>
                      <w:lang w:val="en-US" w:eastAsia="zh-CN"/>
                    </w:rPr>
                    <w:t>符合</w:t>
                  </w:r>
                </w:p>
              </w:tc>
            </w:tr>
          </w:tbl>
          <w:p w14:paraId="58675B51">
            <w:pPr>
              <w:spacing w:line="360" w:lineRule="auto"/>
              <w:ind w:firstLine="480" w:firstLineChars="200"/>
              <w:rPr>
                <w:rFonts w:hint="eastAsia"/>
                <w:color w:val="auto"/>
                <w:sz w:val="24"/>
                <w:highlight w:val="none"/>
                <w:u w:val="none"/>
                <w:lang w:eastAsia="zh-CN"/>
              </w:rPr>
            </w:pPr>
            <w:r>
              <w:rPr>
                <w:rFonts w:hint="eastAsia"/>
                <w:color w:val="auto"/>
                <w:sz w:val="24"/>
                <w:highlight w:val="none"/>
                <w:u w:val="none"/>
                <w:lang w:eastAsia="zh-CN"/>
              </w:rPr>
              <w:t>综上，评价认为本项目在严格落实工程设计及评价要求的各种污染防治及管理措施后，项目符合湖南省人民政府关于实施“三线一单”生态环境分区管控的意见中有关要求。</w:t>
            </w:r>
          </w:p>
          <w:p w14:paraId="64BD4127">
            <w:pPr>
              <w:spacing w:line="360" w:lineRule="auto"/>
              <w:ind w:firstLine="482" w:firstLineChars="200"/>
              <w:rPr>
                <w:rFonts w:hint="eastAsia"/>
                <w:b/>
                <w:bCs/>
                <w:color w:val="auto"/>
                <w:sz w:val="24"/>
                <w:highlight w:val="none"/>
                <w:u w:val="none"/>
                <w:lang w:eastAsia="zh-CN"/>
              </w:rPr>
            </w:pPr>
            <w:r>
              <w:rPr>
                <w:rFonts w:hint="eastAsia"/>
                <w:b/>
                <w:bCs/>
                <w:color w:val="auto"/>
                <w:sz w:val="24"/>
                <w:highlight w:val="none"/>
                <w:u w:val="none"/>
                <w:lang w:eastAsia="zh-CN"/>
              </w:rPr>
              <w:t>（</w:t>
            </w:r>
            <w:r>
              <w:rPr>
                <w:rFonts w:hint="eastAsia"/>
                <w:b/>
                <w:bCs/>
                <w:color w:val="auto"/>
                <w:sz w:val="24"/>
                <w:highlight w:val="none"/>
                <w:u w:val="none"/>
                <w:lang w:val="en-US" w:eastAsia="zh-CN"/>
              </w:rPr>
              <w:t>3</w:t>
            </w:r>
            <w:r>
              <w:rPr>
                <w:rFonts w:hint="eastAsia"/>
                <w:b/>
                <w:bCs/>
                <w:color w:val="auto"/>
                <w:sz w:val="24"/>
                <w:highlight w:val="none"/>
                <w:u w:val="none"/>
                <w:lang w:eastAsia="zh-CN"/>
              </w:rPr>
              <w:t>）与湘西州“三线一单”符合性分析</w:t>
            </w:r>
          </w:p>
          <w:p w14:paraId="75369553">
            <w:pPr>
              <w:spacing w:line="360" w:lineRule="auto"/>
              <w:ind w:firstLine="480" w:firstLineChars="200"/>
              <w:rPr>
                <w:rFonts w:hint="eastAsia"/>
                <w:color w:val="auto"/>
                <w:sz w:val="24"/>
                <w:highlight w:val="none"/>
                <w:u w:val="none"/>
                <w:lang w:eastAsia="zh-CN"/>
              </w:rPr>
            </w:pPr>
            <w:r>
              <w:rPr>
                <w:rFonts w:hint="eastAsia"/>
                <w:color w:val="auto"/>
                <w:sz w:val="24"/>
                <w:highlight w:val="none"/>
                <w:u w:val="none"/>
                <w:lang w:eastAsia="zh-CN"/>
              </w:rPr>
              <w:t>本项目与湘西自治州人民政府关于实施“三线一单”生态环境分区管控的意见相符性见下表：</w:t>
            </w:r>
          </w:p>
          <w:p w14:paraId="20CC09C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b/>
                <w:color w:val="auto"/>
                <w:highlight w:val="none"/>
                <w:u w:val="none"/>
              </w:rPr>
            </w:pPr>
            <w:r>
              <w:rPr>
                <w:b/>
                <w:bCs/>
                <w:color w:val="auto"/>
                <w:highlight w:val="none"/>
                <w:u w:val="none"/>
              </w:rPr>
              <w:t>表</w:t>
            </w:r>
            <w:r>
              <w:rPr>
                <w:rFonts w:hint="eastAsia"/>
                <w:b/>
                <w:bCs/>
                <w:color w:val="auto"/>
                <w:highlight w:val="none"/>
                <w:u w:val="none"/>
                <w:lang w:val="en-US" w:eastAsia="zh-CN"/>
              </w:rPr>
              <w:t>1-2</w:t>
            </w:r>
            <w:r>
              <w:rPr>
                <w:b/>
                <w:bCs/>
                <w:color w:val="auto"/>
                <w:highlight w:val="none"/>
                <w:u w:val="none"/>
              </w:rPr>
              <w:t xml:space="preserve"> </w:t>
            </w:r>
            <w:r>
              <w:rPr>
                <w:rFonts w:hint="eastAsia"/>
                <w:b/>
                <w:bCs/>
                <w:color w:val="auto"/>
                <w:highlight w:val="none"/>
                <w:u w:val="none"/>
              </w:rPr>
              <w:t>本项目与湘西州“三线一单”生态环境分区管控的意见对照表</w:t>
            </w:r>
          </w:p>
          <w:tbl>
            <w:tblPr>
              <w:tblStyle w:val="32"/>
              <w:tblW w:w="68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44"/>
              <w:gridCol w:w="390"/>
              <w:gridCol w:w="435"/>
              <w:gridCol w:w="2943"/>
              <w:gridCol w:w="2097"/>
              <w:gridCol w:w="678"/>
            </w:tblGrid>
            <w:tr w14:paraId="698130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12" w:type="dxa"/>
                  <w:gridSpan w:val="4"/>
                  <w:tcBorders>
                    <w:tl2br w:val="nil"/>
                    <w:tr2bl w:val="nil"/>
                  </w:tcBorders>
                  <w:vAlign w:val="center"/>
                </w:tcPr>
                <w:p w14:paraId="54B66C47">
                  <w:pPr>
                    <w:keepNext w:val="0"/>
                    <w:keepLines w:val="0"/>
                    <w:pageBreakBefore w:val="0"/>
                    <w:kinsoku/>
                    <w:wordWrap/>
                    <w:overflowPunct/>
                    <w:topLinePunct w:val="0"/>
                    <w:autoSpaceDE/>
                    <w:autoSpaceDN/>
                    <w:bidi w:val="0"/>
                    <w:adjustRightInd/>
                    <w:snapToGrid/>
                    <w:spacing w:line="240" w:lineRule="auto"/>
                    <w:ind w:left="0" w:firstLine="0" w:firstLineChars="0"/>
                    <w:jc w:val="center"/>
                    <w:textAlignment w:val="auto"/>
                    <w:rPr>
                      <w:rFonts w:ascii="宋体" w:hAnsi="宋体"/>
                      <w:b w:val="0"/>
                      <w:bCs w:val="0"/>
                      <w:color w:val="auto"/>
                      <w:sz w:val="21"/>
                      <w:szCs w:val="21"/>
                      <w:highlight w:val="none"/>
                      <w:u w:val="none"/>
                    </w:rPr>
                  </w:pPr>
                  <w:r>
                    <w:rPr>
                      <w:rFonts w:hint="eastAsia" w:ascii="宋体" w:hAnsi="宋体"/>
                      <w:b w:val="0"/>
                      <w:bCs w:val="0"/>
                      <w:color w:val="auto"/>
                      <w:sz w:val="21"/>
                      <w:szCs w:val="21"/>
                      <w:highlight w:val="none"/>
                      <w:u w:val="none"/>
                    </w:rPr>
                    <w:t>湘西州“三线一单”生态环境分区管控的意见</w:t>
                  </w:r>
                </w:p>
              </w:tc>
              <w:tc>
                <w:tcPr>
                  <w:tcW w:w="2097" w:type="dxa"/>
                  <w:tcBorders>
                    <w:tl2br w:val="nil"/>
                    <w:tr2bl w:val="nil"/>
                  </w:tcBorders>
                  <w:vAlign w:val="center"/>
                </w:tcPr>
                <w:p w14:paraId="087D1D9B">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hint="eastAsia" w:ascii="宋体" w:hAnsi="宋体" w:eastAsia="宋体"/>
                      <w:b w:val="0"/>
                      <w:bCs w:val="0"/>
                      <w:color w:val="auto"/>
                      <w:sz w:val="21"/>
                      <w:szCs w:val="21"/>
                      <w:highlight w:val="none"/>
                      <w:u w:val="none"/>
                      <w:lang w:val="en-US" w:eastAsia="zh-CN"/>
                    </w:rPr>
                  </w:pPr>
                  <w:r>
                    <w:rPr>
                      <w:rFonts w:hint="eastAsia" w:eastAsia="宋体"/>
                      <w:b w:val="0"/>
                      <w:bCs w:val="0"/>
                      <w:color w:val="auto"/>
                      <w:sz w:val="21"/>
                      <w:szCs w:val="21"/>
                      <w:highlight w:val="none"/>
                      <w:u w:val="none"/>
                    </w:rPr>
                    <w:t>本项</w:t>
                  </w:r>
                  <w:r>
                    <w:rPr>
                      <w:rFonts w:hint="eastAsia" w:eastAsia="宋体"/>
                      <w:b w:val="0"/>
                      <w:bCs w:val="0"/>
                      <w:color w:val="auto"/>
                      <w:sz w:val="21"/>
                      <w:szCs w:val="21"/>
                      <w:highlight w:val="none"/>
                      <w:u w:val="none"/>
                      <w:lang w:val="en-US" w:eastAsia="zh-CN"/>
                    </w:rPr>
                    <w:t>目</w:t>
                  </w:r>
                </w:p>
              </w:tc>
              <w:tc>
                <w:tcPr>
                  <w:tcW w:w="678" w:type="dxa"/>
                  <w:tcBorders>
                    <w:tl2br w:val="nil"/>
                    <w:tr2bl w:val="nil"/>
                  </w:tcBorders>
                  <w:vAlign w:val="center"/>
                </w:tcPr>
                <w:p w14:paraId="4A46C13E">
                  <w:pPr>
                    <w:keepNext w:val="0"/>
                    <w:keepLines w:val="0"/>
                    <w:pageBreakBefore w:val="0"/>
                    <w:widowControl w:val="0"/>
                    <w:kinsoku/>
                    <w:wordWrap/>
                    <w:overflowPunct/>
                    <w:topLinePunct w:val="0"/>
                    <w:autoSpaceDE/>
                    <w:autoSpaceDN/>
                    <w:bidi w:val="0"/>
                    <w:adjustRightInd/>
                    <w:snapToGrid/>
                    <w:spacing w:line="240" w:lineRule="auto"/>
                    <w:ind w:left="-105" w:leftChars="-50" w:right="-105" w:rightChars="-50" w:firstLine="0" w:firstLineChars="0"/>
                    <w:jc w:val="center"/>
                    <w:textAlignment w:val="auto"/>
                    <w:rPr>
                      <w:rFonts w:hint="eastAsia" w:ascii="宋体" w:hAnsi="宋体" w:eastAsia="宋体"/>
                      <w:b w:val="0"/>
                      <w:bCs w:val="0"/>
                      <w:color w:val="auto"/>
                      <w:sz w:val="21"/>
                      <w:szCs w:val="21"/>
                      <w:highlight w:val="none"/>
                      <w:u w:val="none"/>
                      <w:lang w:val="en-US" w:eastAsia="zh-CN"/>
                    </w:rPr>
                  </w:pPr>
                  <w:r>
                    <w:rPr>
                      <w:rFonts w:hint="eastAsia" w:ascii="宋体" w:hAnsi="宋体"/>
                      <w:b w:val="0"/>
                      <w:bCs w:val="0"/>
                      <w:color w:val="auto"/>
                      <w:sz w:val="21"/>
                      <w:szCs w:val="21"/>
                      <w:highlight w:val="none"/>
                      <w:u w:val="none"/>
                      <w:lang w:val="en-US" w:eastAsia="zh-CN"/>
                    </w:rPr>
                    <w:t>符合性</w:t>
                  </w:r>
                </w:p>
              </w:tc>
            </w:tr>
            <w:tr w14:paraId="678EFD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4" w:type="dxa"/>
                  <w:tcBorders>
                    <w:tl2br w:val="nil"/>
                    <w:tr2bl w:val="nil"/>
                  </w:tcBorders>
                  <w:vAlign w:val="center"/>
                </w:tcPr>
                <w:p w14:paraId="4A7734EE">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hint="default" w:eastAsia="宋体"/>
                      <w:color w:val="auto"/>
                      <w:sz w:val="21"/>
                      <w:szCs w:val="21"/>
                      <w:highlight w:val="none"/>
                      <w:u w:val="none"/>
                      <w:lang w:val="en-US" w:eastAsia="zh-CN"/>
                    </w:rPr>
                  </w:pPr>
                  <w:r>
                    <w:rPr>
                      <w:rFonts w:hint="eastAsia" w:eastAsia="宋体"/>
                      <w:color w:val="auto"/>
                      <w:sz w:val="21"/>
                      <w:szCs w:val="21"/>
                      <w:highlight w:val="none"/>
                      <w:u w:val="none"/>
                      <w:lang w:val="en-US" w:eastAsia="zh-CN"/>
                    </w:rPr>
                    <w:t>基本原则</w:t>
                  </w:r>
                </w:p>
              </w:tc>
              <w:tc>
                <w:tcPr>
                  <w:tcW w:w="390" w:type="dxa"/>
                  <w:tcBorders>
                    <w:tl2br w:val="nil"/>
                    <w:tr2bl w:val="nil"/>
                  </w:tcBorders>
                  <w:vAlign w:val="center"/>
                </w:tcPr>
                <w:p w14:paraId="16A0C599">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hint="default" w:eastAsia="宋体"/>
                      <w:color w:val="auto"/>
                      <w:sz w:val="21"/>
                      <w:szCs w:val="21"/>
                      <w:highlight w:val="none"/>
                      <w:u w:val="none"/>
                      <w:lang w:val="en-US" w:eastAsia="zh-CN"/>
                    </w:rPr>
                  </w:pPr>
                  <w:r>
                    <w:rPr>
                      <w:rFonts w:hint="eastAsia" w:eastAsia="宋体"/>
                      <w:color w:val="auto"/>
                      <w:sz w:val="21"/>
                      <w:szCs w:val="21"/>
                      <w:highlight w:val="none"/>
                      <w:u w:val="none"/>
                      <w:lang w:val="en-US" w:eastAsia="zh-CN"/>
                    </w:rPr>
                    <w:t>保护优先</w:t>
                  </w:r>
                </w:p>
              </w:tc>
              <w:tc>
                <w:tcPr>
                  <w:tcW w:w="435" w:type="dxa"/>
                  <w:tcBorders>
                    <w:tl2br w:val="nil"/>
                    <w:tr2bl w:val="nil"/>
                  </w:tcBorders>
                  <w:vAlign w:val="center"/>
                </w:tcPr>
                <w:p w14:paraId="6E0B3760">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hint="default" w:eastAsia="宋体"/>
                      <w:color w:val="auto"/>
                      <w:sz w:val="21"/>
                      <w:szCs w:val="21"/>
                      <w:highlight w:val="none"/>
                      <w:u w:val="none"/>
                      <w:lang w:val="en-US" w:eastAsia="zh-CN"/>
                    </w:rPr>
                  </w:pPr>
                  <w:r>
                    <w:rPr>
                      <w:rFonts w:hint="eastAsia" w:eastAsia="宋体"/>
                      <w:color w:val="auto"/>
                      <w:sz w:val="21"/>
                      <w:szCs w:val="21"/>
                      <w:highlight w:val="none"/>
                      <w:u w:val="none"/>
                      <w:lang w:val="en-US" w:eastAsia="zh-CN"/>
                    </w:rPr>
                    <w:t>生态保护红线</w:t>
                  </w:r>
                </w:p>
              </w:tc>
              <w:tc>
                <w:tcPr>
                  <w:tcW w:w="2943" w:type="dxa"/>
                  <w:tcBorders>
                    <w:tl2br w:val="nil"/>
                    <w:tr2bl w:val="nil"/>
                  </w:tcBorders>
                  <w:vAlign w:val="center"/>
                </w:tcPr>
                <w:p w14:paraId="4C5C1B11">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r>
                    <w:rPr>
                      <w:rFonts w:hint="eastAsia" w:eastAsia="宋体"/>
                      <w:color w:val="auto"/>
                      <w:sz w:val="21"/>
                      <w:szCs w:val="21"/>
                      <w:highlight w:val="none"/>
                      <w:u w:val="none"/>
                    </w:rPr>
                    <w:t>落实生态保护红线、环境质量底线、资源利用上线硬约束，推动形成绿色发展方式和生活方式，筑牢生态安全屏障，促进环境质量持续改善。服务发展。协调好生态环境保护与经济社会发展的关系“三线一单”与国土空间规划的关系，促进经济高质量发展和精准脱贫质量提升。</w:t>
                  </w:r>
                </w:p>
              </w:tc>
              <w:tc>
                <w:tcPr>
                  <w:tcW w:w="2097" w:type="dxa"/>
                  <w:tcBorders>
                    <w:tl2br w:val="nil"/>
                    <w:tr2bl w:val="nil"/>
                  </w:tcBorders>
                  <w:vAlign w:val="center"/>
                </w:tcPr>
                <w:p w14:paraId="23F5E2DB">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r>
                    <w:rPr>
                      <w:rFonts w:hint="eastAsia" w:eastAsia="宋体"/>
                      <w:color w:val="auto"/>
                      <w:sz w:val="21"/>
                      <w:szCs w:val="21"/>
                      <w:highlight w:val="none"/>
                      <w:u w:val="none"/>
                    </w:rPr>
                    <w:t>本项且选址位于湘西州</w:t>
                  </w:r>
                  <w:r>
                    <w:rPr>
                      <w:rFonts w:hint="eastAsia" w:eastAsia="宋体"/>
                      <w:color w:val="auto"/>
                      <w:sz w:val="21"/>
                      <w:szCs w:val="21"/>
                      <w:highlight w:val="none"/>
                      <w:u w:val="none"/>
                      <w:lang w:eastAsia="zh-CN"/>
                    </w:rPr>
                    <w:t>龙山县高铁新城片区</w:t>
                  </w:r>
                  <w:r>
                    <w:rPr>
                      <w:rFonts w:hint="eastAsia" w:eastAsia="宋体"/>
                      <w:color w:val="auto"/>
                      <w:sz w:val="21"/>
                      <w:szCs w:val="21"/>
                      <w:highlight w:val="none"/>
                      <w:u w:val="none"/>
                    </w:rPr>
                    <w:t>，属于城镇建设范围内，不属于</w:t>
                  </w:r>
                  <w:r>
                    <w:rPr>
                      <w:rFonts w:hint="eastAsia" w:eastAsia="宋体"/>
                      <w:color w:val="auto"/>
                      <w:sz w:val="21"/>
                      <w:szCs w:val="21"/>
                      <w:highlight w:val="none"/>
                      <w:u w:val="none"/>
                      <w:lang w:eastAsia="zh-CN"/>
                    </w:rPr>
                    <w:t>龙山县</w:t>
                  </w:r>
                  <w:r>
                    <w:rPr>
                      <w:rFonts w:hint="eastAsia" w:eastAsia="宋体"/>
                      <w:color w:val="auto"/>
                      <w:sz w:val="21"/>
                      <w:szCs w:val="21"/>
                      <w:highlight w:val="none"/>
                      <w:u w:val="none"/>
                    </w:rPr>
                    <w:t>生态保护红线范围内，符合生态保护红线要求，区域环境空气质量、声环境质量、地表水均满足环境质量标准要求</w:t>
                  </w:r>
                </w:p>
              </w:tc>
              <w:tc>
                <w:tcPr>
                  <w:tcW w:w="678" w:type="dxa"/>
                  <w:tcBorders>
                    <w:tl2br w:val="nil"/>
                    <w:tr2bl w:val="nil"/>
                  </w:tcBorders>
                  <w:vAlign w:val="center"/>
                </w:tcPr>
                <w:p w14:paraId="6BECA0FD">
                  <w:pPr>
                    <w:keepNext w:val="0"/>
                    <w:keepLines w:val="0"/>
                    <w:pageBreakBefore w:val="0"/>
                    <w:kinsoku/>
                    <w:wordWrap/>
                    <w:overflowPunct/>
                    <w:topLinePunct w:val="0"/>
                    <w:autoSpaceDE/>
                    <w:autoSpaceDN/>
                    <w:bidi w:val="0"/>
                    <w:adjustRightInd/>
                    <w:snapToGrid/>
                    <w:spacing w:line="240" w:lineRule="auto"/>
                    <w:ind w:left="0" w:firstLine="0" w:firstLineChars="0"/>
                    <w:jc w:val="center"/>
                    <w:textAlignment w:val="auto"/>
                    <w:rPr>
                      <w:rFonts w:ascii="宋体" w:hAnsi="宋体"/>
                      <w:color w:val="auto"/>
                      <w:sz w:val="21"/>
                      <w:szCs w:val="21"/>
                      <w:highlight w:val="none"/>
                      <w:u w:val="none"/>
                    </w:rPr>
                  </w:pPr>
                  <w:r>
                    <w:rPr>
                      <w:rFonts w:hint="eastAsia" w:ascii="宋体" w:hAnsi="宋体"/>
                      <w:b w:val="0"/>
                      <w:bCs w:val="0"/>
                      <w:color w:val="auto"/>
                      <w:sz w:val="21"/>
                      <w:szCs w:val="21"/>
                      <w:highlight w:val="none"/>
                      <w:u w:val="none"/>
                      <w:lang w:val="en-US" w:eastAsia="zh-CN"/>
                    </w:rPr>
                    <w:t>符合</w:t>
                  </w:r>
                </w:p>
              </w:tc>
            </w:tr>
            <w:tr w14:paraId="09DC2F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4" w:type="dxa"/>
                  <w:vMerge w:val="restart"/>
                  <w:tcBorders>
                    <w:tl2br w:val="nil"/>
                    <w:tr2bl w:val="nil"/>
                  </w:tcBorders>
                  <w:vAlign w:val="center"/>
                </w:tcPr>
                <w:p w14:paraId="08FA4FFB">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eastAsia="宋体"/>
                      <w:color w:val="auto"/>
                      <w:sz w:val="21"/>
                      <w:szCs w:val="21"/>
                      <w:highlight w:val="none"/>
                      <w:u w:val="none"/>
                    </w:rPr>
                  </w:pPr>
                  <w:r>
                    <w:rPr>
                      <w:rStyle w:val="79"/>
                      <w:rFonts w:hint="eastAsia" w:eastAsia="宋体"/>
                      <w:color w:val="auto"/>
                      <w:sz w:val="21"/>
                      <w:szCs w:val="21"/>
                      <w:highlight w:val="none"/>
                      <w:u w:val="none"/>
                    </w:rPr>
                    <w:t>分区管控</w:t>
                  </w:r>
                </w:p>
              </w:tc>
              <w:tc>
                <w:tcPr>
                  <w:tcW w:w="825" w:type="dxa"/>
                  <w:gridSpan w:val="2"/>
                  <w:tcBorders>
                    <w:tl2br w:val="nil"/>
                    <w:tr2bl w:val="nil"/>
                  </w:tcBorders>
                  <w:vAlign w:val="center"/>
                </w:tcPr>
                <w:p w14:paraId="505D3FB5">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hint="eastAsia" w:eastAsia="宋体"/>
                      <w:color w:val="auto"/>
                      <w:sz w:val="21"/>
                      <w:szCs w:val="21"/>
                      <w:highlight w:val="none"/>
                      <w:u w:val="none"/>
                      <w:lang w:val="en-US" w:eastAsia="zh-CN"/>
                    </w:rPr>
                  </w:pPr>
                  <w:r>
                    <w:rPr>
                      <w:rFonts w:hint="eastAsia" w:eastAsia="宋体"/>
                      <w:color w:val="auto"/>
                      <w:sz w:val="21"/>
                      <w:szCs w:val="21"/>
                      <w:highlight w:val="none"/>
                      <w:u w:val="none"/>
                      <w:lang w:val="en-US" w:eastAsia="zh-CN"/>
                    </w:rPr>
                    <w:t>管控单元划分</w:t>
                  </w:r>
                </w:p>
              </w:tc>
              <w:tc>
                <w:tcPr>
                  <w:tcW w:w="2943" w:type="dxa"/>
                  <w:tcBorders>
                    <w:tl2br w:val="nil"/>
                    <w:tr2bl w:val="nil"/>
                  </w:tcBorders>
                  <w:vAlign w:val="center"/>
                </w:tcPr>
                <w:p w14:paraId="17CD11F9">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hint="eastAsia" w:eastAsia="宋体"/>
                      <w:color w:val="auto"/>
                      <w:sz w:val="21"/>
                      <w:szCs w:val="21"/>
                      <w:highlight w:val="none"/>
                      <w:u w:val="none"/>
                    </w:rPr>
                  </w:pPr>
                  <w:r>
                    <w:rPr>
                      <w:rFonts w:hint="default" w:ascii="Times New Roman" w:hAnsi="Times New Roman" w:eastAsia="宋体" w:cs="Times New Roman"/>
                      <w:color w:val="auto"/>
                      <w:sz w:val="21"/>
                      <w:szCs w:val="21"/>
                      <w:highlight w:val="none"/>
                      <w:u w:val="none"/>
                    </w:rPr>
                    <w:t>我州共划定环境管控单元59个，其中：优先保护单元21个，面积占全州国土面积的46.22%；重点管控单元21个（含9家省级产业园区），面积占比为16.30%；一般管控单元17个，面积占比为37.48%。</w:t>
                  </w:r>
                </w:p>
              </w:tc>
              <w:tc>
                <w:tcPr>
                  <w:tcW w:w="2097" w:type="dxa"/>
                  <w:tcBorders>
                    <w:tl2br w:val="nil"/>
                    <w:tr2bl w:val="nil"/>
                  </w:tcBorders>
                  <w:vAlign w:val="center"/>
                </w:tcPr>
                <w:p w14:paraId="14A291A8">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hint="eastAsia" w:eastAsia="宋体"/>
                      <w:color w:val="auto"/>
                      <w:sz w:val="21"/>
                      <w:szCs w:val="21"/>
                      <w:highlight w:val="none"/>
                      <w:u w:val="none"/>
                      <w:lang w:eastAsia="zh-CN"/>
                    </w:rPr>
                  </w:pPr>
                  <w:r>
                    <w:rPr>
                      <w:rFonts w:hint="eastAsia" w:eastAsia="宋体"/>
                      <w:color w:val="auto"/>
                      <w:sz w:val="21"/>
                      <w:szCs w:val="21"/>
                      <w:highlight w:val="none"/>
                      <w:u w:val="none"/>
                      <w:lang w:eastAsia="zh-CN"/>
                    </w:rPr>
                    <w:t>本项目位于优先保护单元内</w:t>
                  </w:r>
                </w:p>
              </w:tc>
              <w:tc>
                <w:tcPr>
                  <w:tcW w:w="678" w:type="dxa"/>
                  <w:tcBorders>
                    <w:tl2br w:val="nil"/>
                    <w:tr2bl w:val="nil"/>
                  </w:tcBorders>
                  <w:vAlign w:val="center"/>
                </w:tcPr>
                <w:p w14:paraId="05813129">
                  <w:pPr>
                    <w:keepNext w:val="0"/>
                    <w:keepLines w:val="0"/>
                    <w:pageBreakBefore w:val="0"/>
                    <w:kinsoku/>
                    <w:wordWrap/>
                    <w:overflowPunct/>
                    <w:topLinePunct w:val="0"/>
                    <w:autoSpaceDE/>
                    <w:autoSpaceDN/>
                    <w:bidi w:val="0"/>
                    <w:adjustRightInd/>
                    <w:snapToGrid/>
                    <w:spacing w:line="240" w:lineRule="auto"/>
                    <w:ind w:left="0" w:firstLine="0" w:firstLineChars="0"/>
                    <w:jc w:val="center"/>
                    <w:textAlignment w:val="auto"/>
                    <w:rPr>
                      <w:rFonts w:hint="eastAsia" w:ascii="宋体" w:hAnsi="宋体"/>
                      <w:b w:val="0"/>
                      <w:bCs w:val="0"/>
                      <w:color w:val="auto"/>
                      <w:sz w:val="21"/>
                      <w:szCs w:val="21"/>
                      <w:highlight w:val="none"/>
                      <w:u w:val="none"/>
                      <w:lang w:val="en-US" w:eastAsia="zh-CN"/>
                    </w:rPr>
                  </w:pPr>
                  <w:r>
                    <w:rPr>
                      <w:rFonts w:hint="eastAsia" w:ascii="宋体" w:hAnsi="宋体"/>
                      <w:b w:val="0"/>
                      <w:bCs w:val="0"/>
                      <w:color w:val="auto"/>
                      <w:sz w:val="21"/>
                      <w:szCs w:val="21"/>
                      <w:highlight w:val="none"/>
                      <w:u w:val="none"/>
                      <w:lang w:val="en-US" w:eastAsia="zh-CN"/>
                    </w:rPr>
                    <w:t>符合</w:t>
                  </w:r>
                </w:p>
              </w:tc>
            </w:tr>
            <w:tr w14:paraId="1E16E0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4" w:type="dxa"/>
                  <w:vMerge w:val="continue"/>
                  <w:tcBorders>
                    <w:tl2br w:val="nil"/>
                    <w:tr2bl w:val="nil"/>
                  </w:tcBorders>
                  <w:vAlign w:val="center"/>
                </w:tcPr>
                <w:p w14:paraId="14044EEC">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Style w:val="79"/>
                      <w:rFonts w:hint="eastAsia" w:eastAsia="宋体"/>
                      <w:color w:val="auto"/>
                      <w:sz w:val="21"/>
                      <w:szCs w:val="21"/>
                      <w:highlight w:val="none"/>
                      <w:u w:val="none"/>
                    </w:rPr>
                  </w:pPr>
                </w:p>
              </w:tc>
              <w:tc>
                <w:tcPr>
                  <w:tcW w:w="825" w:type="dxa"/>
                  <w:gridSpan w:val="2"/>
                  <w:vMerge w:val="restart"/>
                  <w:tcBorders>
                    <w:tl2br w:val="nil"/>
                    <w:tr2bl w:val="nil"/>
                  </w:tcBorders>
                  <w:vAlign w:val="center"/>
                </w:tcPr>
                <w:p w14:paraId="78AE443A">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hint="eastAsia" w:eastAsia="宋体"/>
                      <w:color w:val="auto"/>
                      <w:sz w:val="21"/>
                      <w:szCs w:val="21"/>
                      <w:highlight w:val="none"/>
                      <w:u w:val="none"/>
                      <w:lang w:val="en-US" w:eastAsia="zh-CN"/>
                    </w:rPr>
                  </w:pPr>
                  <w:r>
                    <w:rPr>
                      <w:rFonts w:hint="eastAsia" w:eastAsia="宋体"/>
                      <w:color w:val="auto"/>
                      <w:sz w:val="21"/>
                      <w:szCs w:val="21"/>
                      <w:highlight w:val="none"/>
                      <w:u w:val="none"/>
                      <w:lang w:val="en-US" w:eastAsia="zh-CN"/>
                    </w:rPr>
                    <w:t>总体管控要求</w:t>
                  </w:r>
                </w:p>
              </w:tc>
              <w:tc>
                <w:tcPr>
                  <w:tcW w:w="2943" w:type="dxa"/>
                  <w:tcBorders>
                    <w:tl2br w:val="nil"/>
                    <w:tr2bl w:val="nil"/>
                  </w:tcBorders>
                  <w:vAlign w:val="center"/>
                </w:tcPr>
                <w:p w14:paraId="46C35D02">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hint="eastAsia" w:eastAsia="宋体"/>
                      <w:color w:val="auto"/>
                      <w:sz w:val="21"/>
                      <w:szCs w:val="21"/>
                      <w:highlight w:val="none"/>
                      <w:u w:val="none"/>
                    </w:rPr>
                  </w:pPr>
                  <w:r>
                    <w:rPr>
                      <w:rFonts w:hint="eastAsia" w:eastAsia="宋体"/>
                      <w:color w:val="auto"/>
                      <w:sz w:val="21"/>
                      <w:szCs w:val="21"/>
                      <w:highlight w:val="none"/>
                      <w:u w:val="none"/>
                    </w:rPr>
                    <w:t>严禁高耗能、高排放等产业转入，提高水源通养能力保护森林生态系统。</w:t>
                  </w:r>
                </w:p>
              </w:tc>
              <w:tc>
                <w:tcPr>
                  <w:tcW w:w="2097" w:type="dxa"/>
                  <w:tcBorders>
                    <w:tl2br w:val="nil"/>
                    <w:tr2bl w:val="nil"/>
                  </w:tcBorders>
                  <w:vAlign w:val="center"/>
                </w:tcPr>
                <w:p w14:paraId="2819BFF6">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hint="eastAsia" w:eastAsia="宋体"/>
                      <w:color w:val="auto"/>
                      <w:sz w:val="21"/>
                      <w:szCs w:val="21"/>
                      <w:highlight w:val="none"/>
                      <w:u w:val="none"/>
                    </w:rPr>
                  </w:pPr>
                  <w:r>
                    <w:rPr>
                      <w:rFonts w:hint="eastAsia" w:eastAsia="宋体"/>
                      <w:color w:val="auto"/>
                      <w:sz w:val="21"/>
                      <w:szCs w:val="21"/>
                      <w:highlight w:val="none"/>
                      <w:u w:val="none"/>
                    </w:rPr>
                    <w:t>本项目为城镇污水集中处置项目，不属于高耗能、高排放产业</w:t>
                  </w:r>
                </w:p>
              </w:tc>
              <w:tc>
                <w:tcPr>
                  <w:tcW w:w="678" w:type="dxa"/>
                  <w:tcBorders>
                    <w:tl2br w:val="nil"/>
                    <w:tr2bl w:val="nil"/>
                  </w:tcBorders>
                  <w:vAlign w:val="center"/>
                </w:tcPr>
                <w:p w14:paraId="25365B72">
                  <w:pPr>
                    <w:keepNext w:val="0"/>
                    <w:keepLines w:val="0"/>
                    <w:pageBreakBefore w:val="0"/>
                    <w:kinsoku/>
                    <w:wordWrap/>
                    <w:overflowPunct/>
                    <w:topLinePunct w:val="0"/>
                    <w:autoSpaceDE/>
                    <w:autoSpaceDN/>
                    <w:bidi w:val="0"/>
                    <w:adjustRightInd/>
                    <w:snapToGrid/>
                    <w:spacing w:line="240" w:lineRule="auto"/>
                    <w:ind w:left="0" w:firstLine="0" w:firstLineChars="0"/>
                    <w:jc w:val="center"/>
                    <w:textAlignment w:val="auto"/>
                    <w:rPr>
                      <w:rFonts w:hint="eastAsia" w:ascii="宋体" w:hAnsi="宋体"/>
                      <w:b w:val="0"/>
                      <w:bCs w:val="0"/>
                      <w:color w:val="auto"/>
                      <w:sz w:val="21"/>
                      <w:szCs w:val="21"/>
                      <w:highlight w:val="none"/>
                      <w:u w:val="none"/>
                      <w:lang w:val="en-US" w:eastAsia="zh-CN"/>
                    </w:rPr>
                  </w:pPr>
                  <w:r>
                    <w:rPr>
                      <w:rFonts w:hint="eastAsia" w:ascii="宋体" w:hAnsi="宋体"/>
                      <w:b w:val="0"/>
                      <w:bCs w:val="0"/>
                      <w:color w:val="auto"/>
                      <w:sz w:val="21"/>
                      <w:szCs w:val="21"/>
                      <w:highlight w:val="none"/>
                      <w:u w:val="none"/>
                      <w:lang w:val="en-US" w:eastAsia="zh-CN"/>
                    </w:rPr>
                    <w:t>符合</w:t>
                  </w:r>
                </w:p>
              </w:tc>
            </w:tr>
            <w:tr w14:paraId="026C10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4" w:type="dxa"/>
                  <w:vMerge w:val="continue"/>
                  <w:tcBorders>
                    <w:tl2br w:val="nil"/>
                    <w:tr2bl w:val="nil"/>
                  </w:tcBorders>
                  <w:vAlign w:val="center"/>
                </w:tcPr>
                <w:p w14:paraId="552671F8">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Style w:val="79"/>
                      <w:rFonts w:hint="eastAsia" w:eastAsia="宋体"/>
                      <w:color w:val="auto"/>
                      <w:sz w:val="21"/>
                      <w:szCs w:val="21"/>
                      <w:highlight w:val="none"/>
                      <w:u w:val="none"/>
                    </w:rPr>
                  </w:pPr>
                </w:p>
              </w:tc>
              <w:tc>
                <w:tcPr>
                  <w:tcW w:w="825" w:type="dxa"/>
                  <w:gridSpan w:val="2"/>
                  <w:vMerge w:val="continue"/>
                  <w:tcBorders>
                    <w:tl2br w:val="nil"/>
                    <w:tr2bl w:val="nil"/>
                  </w:tcBorders>
                  <w:vAlign w:val="center"/>
                </w:tcPr>
                <w:p w14:paraId="27B0DC60">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hint="eastAsia" w:eastAsia="宋体"/>
                      <w:color w:val="auto"/>
                      <w:sz w:val="21"/>
                      <w:szCs w:val="21"/>
                      <w:highlight w:val="none"/>
                      <w:u w:val="none"/>
                      <w:lang w:val="en-US" w:eastAsia="zh-CN"/>
                    </w:rPr>
                  </w:pPr>
                </w:p>
              </w:tc>
              <w:tc>
                <w:tcPr>
                  <w:tcW w:w="2943" w:type="dxa"/>
                  <w:tcBorders>
                    <w:tl2br w:val="nil"/>
                    <w:tr2bl w:val="nil"/>
                  </w:tcBorders>
                  <w:vAlign w:val="center"/>
                </w:tcPr>
                <w:p w14:paraId="6D9FCDA0">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hint="eastAsia" w:eastAsia="宋体"/>
                      <w:color w:val="auto"/>
                      <w:sz w:val="21"/>
                      <w:szCs w:val="21"/>
                      <w:highlight w:val="none"/>
                      <w:u w:val="none"/>
                    </w:rPr>
                  </w:pPr>
                  <w:r>
                    <w:rPr>
                      <w:rFonts w:hint="eastAsia" w:eastAsia="宋体"/>
                      <w:color w:val="auto"/>
                      <w:sz w:val="21"/>
                      <w:szCs w:val="21"/>
                      <w:highlight w:val="none"/>
                      <w:u w:val="none"/>
                    </w:rPr>
                    <w:t>优先保护单元应依法禁止或限制大规模、高强度的工业和城镇建设，在功能受损的优先保护单元优先开展生态态保护修复活动，恢复生态系统服务功能。</w:t>
                  </w:r>
                </w:p>
              </w:tc>
              <w:tc>
                <w:tcPr>
                  <w:tcW w:w="2097" w:type="dxa"/>
                  <w:tcBorders>
                    <w:tl2br w:val="nil"/>
                    <w:tr2bl w:val="nil"/>
                  </w:tcBorders>
                  <w:vAlign w:val="center"/>
                </w:tcPr>
                <w:p w14:paraId="55486B6D">
                  <w:pPr>
                    <w:pStyle w:val="78"/>
                    <w:keepNext w:val="0"/>
                    <w:keepLines w:val="0"/>
                    <w:pageBreakBefore w:val="0"/>
                    <w:kinsoku/>
                    <w:wordWrap/>
                    <w:overflowPunct/>
                    <w:topLinePunct w:val="0"/>
                    <w:autoSpaceDE/>
                    <w:autoSpaceDN/>
                    <w:bidi w:val="0"/>
                    <w:adjustRightInd/>
                    <w:snapToGrid/>
                    <w:spacing w:before="0" w:beforeLines="0" w:after="0" w:afterLines="0" w:line="240" w:lineRule="auto"/>
                    <w:ind w:left="0" w:firstLine="0" w:firstLineChars="0"/>
                    <w:jc w:val="center"/>
                    <w:textAlignment w:val="auto"/>
                    <w:rPr>
                      <w:rFonts w:hint="eastAsia" w:eastAsia="宋体"/>
                      <w:color w:val="auto"/>
                      <w:sz w:val="21"/>
                      <w:szCs w:val="21"/>
                      <w:highlight w:val="none"/>
                      <w:u w:val="none"/>
                    </w:rPr>
                  </w:pPr>
                  <w:r>
                    <w:rPr>
                      <w:rFonts w:hint="eastAsia" w:eastAsia="宋体"/>
                      <w:color w:val="auto"/>
                      <w:sz w:val="21"/>
                      <w:szCs w:val="21"/>
                      <w:highlight w:val="none"/>
                      <w:u w:val="none"/>
                      <w:lang w:eastAsia="zh-CN"/>
                    </w:rPr>
                    <w:t>本项目位于优先保护单元内，</w:t>
                  </w:r>
                  <w:r>
                    <w:rPr>
                      <w:rFonts w:hint="eastAsia" w:eastAsia="宋体"/>
                      <w:color w:val="auto"/>
                      <w:sz w:val="21"/>
                      <w:szCs w:val="21"/>
                      <w:highlight w:val="none"/>
                      <w:u w:val="none"/>
                    </w:rPr>
                    <w:t>本项目为城镇污水集中处置项目，</w:t>
                  </w:r>
                  <w:r>
                    <w:rPr>
                      <w:rFonts w:hint="eastAsia" w:eastAsia="宋体"/>
                      <w:color w:val="auto"/>
                      <w:sz w:val="21"/>
                      <w:szCs w:val="21"/>
                      <w:highlight w:val="none"/>
                      <w:u w:val="none"/>
                      <w:lang w:eastAsia="zh-CN"/>
                    </w:rPr>
                    <w:t>不属于</w:t>
                  </w:r>
                  <w:r>
                    <w:rPr>
                      <w:rFonts w:hint="eastAsia" w:eastAsia="宋体"/>
                      <w:color w:val="auto"/>
                      <w:sz w:val="21"/>
                      <w:szCs w:val="21"/>
                      <w:highlight w:val="none"/>
                      <w:u w:val="none"/>
                    </w:rPr>
                    <w:t>大规模、高强度的工业和城镇建设项目</w:t>
                  </w:r>
                  <w:r>
                    <w:rPr>
                      <w:rFonts w:hint="eastAsia" w:eastAsia="宋体"/>
                      <w:color w:val="auto"/>
                      <w:sz w:val="21"/>
                      <w:szCs w:val="21"/>
                      <w:highlight w:val="none"/>
                      <w:u w:val="none"/>
                      <w:lang w:eastAsia="zh-CN"/>
                    </w:rPr>
                    <w:t>。项目所在区域不属于功能受损的优先保护单元。项目</w:t>
                  </w:r>
                  <w:r>
                    <w:rPr>
                      <w:rFonts w:hint="eastAsia" w:eastAsia="宋体"/>
                      <w:color w:val="auto"/>
                      <w:sz w:val="21"/>
                      <w:szCs w:val="21"/>
                      <w:highlight w:val="none"/>
                      <w:u w:val="none"/>
                    </w:rPr>
                    <w:t>产生污染较少，建设单位在落实本环评提出的污染防治措施后污染物能够实现达标排放，项目符合湘西州</w:t>
                  </w:r>
                  <w:r>
                    <w:rPr>
                      <w:rFonts w:hint="eastAsia" w:eastAsia="宋体"/>
                      <w:color w:val="auto"/>
                      <w:sz w:val="21"/>
                      <w:szCs w:val="21"/>
                      <w:highlight w:val="none"/>
                      <w:u w:val="none"/>
                      <w:lang w:eastAsia="zh-CN"/>
                    </w:rPr>
                    <w:t>“</w:t>
                  </w:r>
                  <w:r>
                    <w:rPr>
                      <w:rFonts w:hint="eastAsia" w:eastAsia="宋体"/>
                      <w:color w:val="auto"/>
                      <w:sz w:val="21"/>
                      <w:szCs w:val="21"/>
                      <w:highlight w:val="none"/>
                      <w:u w:val="none"/>
                    </w:rPr>
                    <w:t>三线一单</w:t>
                  </w:r>
                  <w:r>
                    <w:rPr>
                      <w:rFonts w:hint="eastAsia" w:eastAsia="宋体"/>
                      <w:color w:val="auto"/>
                      <w:sz w:val="21"/>
                      <w:szCs w:val="21"/>
                      <w:highlight w:val="none"/>
                      <w:u w:val="none"/>
                      <w:lang w:eastAsia="zh-CN"/>
                    </w:rPr>
                    <w:t>”</w:t>
                  </w:r>
                  <w:r>
                    <w:rPr>
                      <w:rFonts w:hint="eastAsia" w:eastAsia="宋体"/>
                      <w:color w:val="auto"/>
                      <w:sz w:val="21"/>
                      <w:szCs w:val="21"/>
                      <w:highlight w:val="none"/>
                      <w:u w:val="none"/>
                    </w:rPr>
                    <w:t>分区管控要求。</w:t>
                  </w:r>
                </w:p>
              </w:tc>
              <w:tc>
                <w:tcPr>
                  <w:tcW w:w="678" w:type="dxa"/>
                  <w:tcBorders>
                    <w:tl2br w:val="nil"/>
                    <w:tr2bl w:val="nil"/>
                  </w:tcBorders>
                  <w:vAlign w:val="center"/>
                </w:tcPr>
                <w:p w14:paraId="49285F55">
                  <w:pPr>
                    <w:keepNext w:val="0"/>
                    <w:keepLines w:val="0"/>
                    <w:pageBreakBefore w:val="0"/>
                    <w:kinsoku/>
                    <w:wordWrap/>
                    <w:overflowPunct/>
                    <w:topLinePunct w:val="0"/>
                    <w:autoSpaceDE/>
                    <w:autoSpaceDN/>
                    <w:bidi w:val="0"/>
                    <w:adjustRightInd/>
                    <w:snapToGrid/>
                    <w:spacing w:line="240" w:lineRule="auto"/>
                    <w:ind w:left="0" w:firstLine="0" w:firstLineChars="0"/>
                    <w:jc w:val="center"/>
                    <w:textAlignment w:val="auto"/>
                    <w:rPr>
                      <w:rFonts w:hint="eastAsia" w:ascii="宋体" w:hAnsi="宋体"/>
                      <w:b w:val="0"/>
                      <w:bCs w:val="0"/>
                      <w:color w:val="auto"/>
                      <w:sz w:val="21"/>
                      <w:szCs w:val="21"/>
                      <w:highlight w:val="none"/>
                      <w:u w:val="none"/>
                      <w:lang w:val="en-US" w:eastAsia="zh-CN"/>
                    </w:rPr>
                  </w:pPr>
                  <w:r>
                    <w:rPr>
                      <w:rFonts w:hint="eastAsia" w:ascii="宋体" w:hAnsi="宋体"/>
                      <w:b w:val="0"/>
                      <w:bCs w:val="0"/>
                      <w:color w:val="auto"/>
                      <w:sz w:val="21"/>
                      <w:szCs w:val="21"/>
                      <w:highlight w:val="none"/>
                      <w:u w:val="none"/>
                      <w:lang w:val="en-US" w:eastAsia="zh-CN"/>
                    </w:rPr>
                    <w:t>符合</w:t>
                  </w:r>
                </w:p>
              </w:tc>
            </w:tr>
          </w:tbl>
          <w:p w14:paraId="5637F4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highlight w:val="none"/>
                <w:u w:val="none"/>
                <w:lang w:eastAsia="zh-CN"/>
              </w:rPr>
            </w:pPr>
            <w:r>
              <w:rPr>
                <w:b/>
                <w:bCs/>
                <w:color w:val="auto"/>
                <w:highlight w:val="none"/>
                <w:u w:val="none"/>
              </w:rPr>
              <w:t>表</w:t>
            </w:r>
            <w:r>
              <w:rPr>
                <w:rFonts w:hint="eastAsia"/>
                <w:b/>
                <w:bCs/>
                <w:color w:val="auto"/>
                <w:highlight w:val="none"/>
                <w:u w:val="none"/>
                <w:lang w:val="en-US" w:eastAsia="zh-CN"/>
              </w:rPr>
              <w:t>1-3</w:t>
            </w:r>
            <w:r>
              <w:rPr>
                <w:b/>
                <w:bCs/>
                <w:color w:val="auto"/>
                <w:highlight w:val="none"/>
                <w:u w:val="none"/>
              </w:rPr>
              <w:t xml:space="preserve"> </w:t>
            </w:r>
            <w:r>
              <w:rPr>
                <w:rFonts w:hint="eastAsia"/>
                <w:b/>
                <w:bCs/>
                <w:color w:val="auto"/>
                <w:highlight w:val="none"/>
                <w:u w:val="none"/>
              </w:rPr>
              <w:t>本项目与《湘西自治州环境管控单元</w:t>
            </w:r>
            <w:r>
              <w:rPr>
                <w:rFonts w:hint="eastAsia"/>
                <w:b/>
                <w:bCs/>
                <w:color w:val="auto"/>
                <w:highlight w:val="none"/>
                <w:u w:val="none"/>
                <w:lang w:eastAsia="zh-CN"/>
              </w:rPr>
              <w:t xml:space="preserve">龙山县 </w:t>
            </w:r>
            <w:r>
              <w:rPr>
                <w:rFonts w:hint="eastAsia"/>
                <w:b/>
                <w:bCs/>
                <w:color w:val="auto"/>
                <w:highlight w:val="none"/>
                <w:u w:val="none"/>
              </w:rPr>
              <w:t>生态环境准入清单》</w:t>
            </w:r>
            <w:r>
              <w:rPr>
                <w:rFonts w:hint="eastAsia"/>
                <w:b/>
                <w:bCs/>
                <w:color w:val="auto"/>
                <w:highlight w:val="none"/>
                <w:u w:val="none"/>
                <w:lang w:eastAsia="zh-CN"/>
              </w:rPr>
              <w:t>符合性分析</w:t>
            </w:r>
          </w:p>
          <w:tbl>
            <w:tblPr>
              <w:tblStyle w:val="3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72"/>
              <w:gridCol w:w="1117"/>
              <w:gridCol w:w="722"/>
              <w:gridCol w:w="1053"/>
              <w:gridCol w:w="24"/>
              <w:gridCol w:w="1031"/>
              <w:gridCol w:w="1046"/>
              <w:gridCol w:w="334"/>
              <w:gridCol w:w="583"/>
            </w:tblGrid>
            <w:tr w14:paraId="26BF3C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3" w:type="dxa"/>
                  <w:tcBorders>
                    <w:tl2br w:val="nil"/>
                    <w:tr2bl w:val="nil"/>
                  </w:tcBorders>
                  <w:noWrap w:val="0"/>
                  <w:vAlign w:val="center"/>
                </w:tcPr>
                <w:p w14:paraId="484D16AB">
                  <w:pPr>
                    <w:pStyle w:val="149"/>
                    <w:widowControl w:val="0"/>
                    <w:bidi w:val="0"/>
                    <w:rPr>
                      <w:rFonts w:hint="eastAsia"/>
                      <w:color w:val="auto"/>
                      <w:highlight w:val="none"/>
                      <w:u w:val="none"/>
                      <w:lang w:eastAsia="zh-CN"/>
                    </w:rPr>
                  </w:pPr>
                  <w:r>
                    <w:rPr>
                      <w:rFonts w:hint="eastAsia"/>
                      <w:color w:val="auto"/>
                      <w:highlight w:val="none"/>
                      <w:u w:val="none"/>
                      <w:lang w:eastAsia="zh-CN"/>
                    </w:rPr>
                    <w:t>环境管控单元编码</w:t>
                  </w:r>
                </w:p>
              </w:tc>
              <w:tc>
                <w:tcPr>
                  <w:tcW w:w="886" w:type="dxa"/>
                  <w:tcBorders>
                    <w:tl2br w:val="nil"/>
                    <w:tr2bl w:val="nil"/>
                  </w:tcBorders>
                  <w:noWrap w:val="0"/>
                  <w:vAlign w:val="center"/>
                </w:tcPr>
                <w:p w14:paraId="5EEBD465">
                  <w:pPr>
                    <w:pStyle w:val="149"/>
                    <w:widowControl w:val="0"/>
                    <w:bidi w:val="0"/>
                    <w:rPr>
                      <w:rFonts w:hint="eastAsia"/>
                      <w:color w:val="auto"/>
                      <w:highlight w:val="none"/>
                      <w:u w:val="none"/>
                      <w:lang w:eastAsia="zh-CN"/>
                    </w:rPr>
                  </w:pPr>
                  <w:r>
                    <w:rPr>
                      <w:rFonts w:hint="eastAsia"/>
                      <w:color w:val="auto"/>
                      <w:highlight w:val="none"/>
                      <w:u w:val="none"/>
                      <w:lang w:eastAsia="zh-CN"/>
                    </w:rPr>
                    <w:t>行政区划</w:t>
                  </w:r>
                </w:p>
              </w:tc>
              <w:tc>
                <w:tcPr>
                  <w:tcW w:w="722" w:type="dxa"/>
                  <w:tcBorders>
                    <w:tl2br w:val="nil"/>
                    <w:tr2bl w:val="nil"/>
                  </w:tcBorders>
                  <w:noWrap w:val="0"/>
                  <w:vAlign w:val="center"/>
                </w:tcPr>
                <w:p w14:paraId="4CBD6FC3">
                  <w:pPr>
                    <w:pStyle w:val="149"/>
                    <w:widowControl w:val="0"/>
                    <w:bidi w:val="0"/>
                    <w:rPr>
                      <w:rFonts w:hint="eastAsia"/>
                      <w:color w:val="auto"/>
                      <w:highlight w:val="none"/>
                      <w:u w:val="none"/>
                      <w:lang w:eastAsia="zh-CN"/>
                    </w:rPr>
                  </w:pPr>
                  <w:r>
                    <w:rPr>
                      <w:rFonts w:hint="eastAsia"/>
                      <w:color w:val="auto"/>
                      <w:highlight w:val="none"/>
                      <w:u w:val="none"/>
                      <w:lang w:eastAsia="zh-CN"/>
                    </w:rPr>
                    <w:t>单元</w:t>
                  </w:r>
                </w:p>
                <w:p w14:paraId="395F0BA9">
                  <w:pPr>
                    <w:pStyle w:val="149"/>
                    <w:widowControl w:val="0"/>
                    <w:bidi w:val="0"/>
                    <w:rPr>
                      <w:rFonts w:hint="eastAsia"/>
                      <w:color w:val="auto"/>
                      <w:highlight w:val="none"/>
                      <w:u w:val="none"/>
                      <w:lang w:eastAsia="zh-CN"/>
                    </w:rPr>
                  </w:pPr>
                  <w:r>
                    <w:rPr>
                      <w:rFonts w:hint="eastAsia"/>
                      <w:color w:val="auto"/>
                      <w:highlight w:val="none"/>
                      <w:u w:val="none"/>
                      <w:lang w:eastAsia="zh-CN"/>
                    </w:rPr>
                    <w:t>分类</w:t>
                  </w:r>
                </w:p>
              </w:tc>
              <w:tc>
                <w:tcPr>
                  <w:tcW w:w="1053" w:type="dxa"/>
                  <w:tcBorders>
                    <w:tl2br w:val="nil"/>
                    <w:tr2bl w:val="nil"/>
                  </w:tcBorders>
                  <w:noWrap w:val="0"/>
                  <w:vAlign w:val="center"/>
                </w:tcPr>
                <w:p w14:paraId="3DA25A53">
                  <w:pPr>
                    <w:pStyle w:val="149"/>
                    <w:widowControl w:val="0"/>
                    <w:bidi w:val="0"/>
                    <w:rPr>
                      <w:rFonts w:hint="eastAsia"/>
                      <w:color w:val="auto"/>
                      <w:highlight w:val="none"/>
                      <w:u w:val="none"/>
                      <w:lang w:eastAsia="zh-CN"/>
                    </w:rPr>
                  </w:pPr>
                  <w:r>
                    <w:rPr>
                      <w:rFonts w:hint="eastAsia"/>
                      <w:color w:val="auto"/>
                      <w:highlight w:val="none"/>
                      <w:u w:val="none"/>
                      <w:lang w:eastAsia="zh-CN"/>
                    </w:rPr>
                    <w:t>单元面积（km</w:t>
                  </w:r>
                  <w:r>
                    <w:rPr>
                      <w:rFonts w:hint="eastAsia"/>
                      <w:color w:val="auto"/>
                      <w:highlight w:val="none"/>
                      <w:u w:val="none"/>
                      <w:vertAlign w:val="superscript"/>
                      <w:lang w:val="en-US" w:eastAsia="zh-CN"/>
                    </w:rPr>
                    <w:t>2</w:t>
                  </w:r>
                  <w:r>
                    <w:rPr>
                      <w:rFonts w:hint="eastAsia"/>
                      <w:color w:val="auto"/>
                      <w:highlight w:val="none"/>
                      <w:u w:val="none"/>
                      <w:lang w:eastAsia="zh-CN"/>
                    </w:rPr>
                    <w:t>）</w:t>
                  </w:r>
                </w:p>
              </w:tc>
              <w:tc>
                <w:tcPr>
                  <w:tcW w:w="1055" w:type="dxa"/>
                  <w:gridSpan w:val="2"/>
                  <w:tcBorders>
                    <w:tl2br w:val="nil"/>
                    <w:tr2bl w:val="nil"/>
                  </w:tcBorders>
                  <w:noWrap w:val="0"/>
                  <w:vAlign w:val="center"/>
                </w:tcPr>
                <w:p w14:paraId="763F2F43">
                  <w:pPr>
                    <w:pStyle w:val="149"/>
                    <w:widowControl w:val="0"/>
                    <w:bidi w:val="0"/>
                    <w:rPr>
                      <w:rFonts w:hint="eastAsia"/>
                      <w:color w:val="auto"/>
                      <w:highlight w:val="none"/>
                      <w:u w:val="none"/>
                      <w:lang w:eastAsia="zh-CN"/>
                    </w:rPr>
                  </w:pPr>
                  <w:r>
                    <w:rPr>
                      <w:rFonts w:hint="eastAsia"/>
                      <w:color w:val="auto"/>
                      <w:highlight w:val="none"/>
                      <w:u w:val="none"/>
                      <w:lang w:eastAsia="zh-CN"/>
                    </w:rPr>
                    <w:t>涉及乡镇</w:t>
                  </w:r>
                </w:p>
                <w:p w14:paraId="1A982E29">
                  <w:pPr>
                    <w:pStyle w:val="149"/>
                    <w:widowControl w:val="0"/>
                    <w:bidi w:val="0"/>
                    <w:rPr>
                      <w:rFonts w:hint="eastAsia"/>
                      <w:color w:val="auto"/>
                      <w:highlight w:val="none"/>
                      <w:u w:val="none"/>
                      <w:lang w:eastAsia="zh-CN"/>
                    </w:rPr>
                  </w:pPr>
                  <w:r>
                    <w:rPr>
                      <w:rFonts w:hint="eastAsia"/>
                      <w:color w:val="auto"/>
                      <w:highlight w:val="none"/>
                      <w:u w:val="none"/>
                      <w:lang w:eastAsia="zh-CN"/>
                    </w:rPr>
                    <w:t>（街道）</w:t>
                  </w:r>
                </w:p>
              </w:tc>
              <w:tc>
                <w:tcPr>
                  <w:tcW w:w="1046" w:type="dxa"/>
                  <w:tcBorders>
                    <w:tl2br w:val="nil"/>
                    <w:tr2bl w:val="nil"/>
                  </w:tcBorders>
                  <w:noWrap w:val="0"/>
                  <w:vAlign w:val="center"/>
                </w:tcPr>
                <w:p w14:paraId="4805A9CE">
                  <w:pPr>
                    <w:pStyle w:val="149"/>
                    <w:widowControl w:val="0"/>
                    <w:bidi w:val="0"/>
                    <w:rPr>
                      <w:rFonts w:hint="eastAsia"/>
                      <w:color w:val="auto"/>
                      <w:highlight w:val="none"/>
                      <w:u w:val="none"/>
                      <w:lang w:eastAsia="zh-CN"/>
                    </w:rPr>
                  </w:pPr>
                  <w:r>
                    <w:rPr>
                      <w:rFonts w:hint="eastAsia"/>
                      <w:color w:val="auto"/>
                      <w:highlight w:val="none"/>
                      <w:u w:val="none"/>
                      <w:lang w:eastAsia="zh-CN"/>
                    </w:rPr>
                    <w:t>主体功能定位</w:t>
                  </w:r>
                </w:p>
              </w:tc>
              <w:tc>
                <w:tcPr>
                  <w:tcW w:w="2554" w:type="dxa"/>
                  <w:gridSpan w:val="2"/>
                  <w:tcBorders>
                    <w:tl2br w:val="nil"/>
                    <w:tr2bl w:val="nil"/>
                  </w:tcBorders>
                  <w:noWrap w:val="0"/>
                  <w:vAlign w:val="center"/>
                </w:tcPr>
                <w:p w14:paraId="1127D90F">
                  <w:pPr>
                    <w:pStyle w:val="149"/>
                    <w:widowControl w:val="0"/>
                    <w:bidi w:val="0"/>
                    <w:rPr>
                      <w:rFonts w:hint="eastAsia"/>
                      <w:color w:val="auto"/>
                      <w:highlight w:val="none"/>
                      <w:u w:val="none"/>
                      <w:lang w:eastAsia="zh-CN"/>
                    </w:rPr>
                  </w:pPr>
                  <w:r>
                    <w:rPr>
                      <w:rFonts w:hint="eastAsia"/>
                      <w:color w:val="auto"/>
                      <w:highlight w:val="none"/>
                      <w:u w:val="none"/>
                      <w:lang w:eastAsia="zh-CN"/>
                    </w:rPr>
                    <w:t>经济产业布局</w:t>
                  </w:r>
                </w:p>
              </w:tc>
            </w:tr>
            <w:tr w14:paraId="73C987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3" w:type="dxa"/>
                  <w:tcBorders>
                    <w:tl2br w:val="nil"/>
                    <w:tr2bl w:val="nil"/>
                  </w:tcBorders>
                  <w:noWrap w:val="0"/>
                  <w:vAlign w:val="center"/>
                </w:tcPr>
                <w:p w14:paraId="5BC9AB49">
                  <w:pPr>
                    <w:pStyle w:val="149"/>
                    <w:widowControl w:val="0"/>
                    <w:bidi w:val="0"/>
                    <w:rPr>
                      <w:rFonts w:hint="default"/>
                      <w:color w:val="auto"/>
                      <w:highlight w:val="none"/>
                      <w:u w:val="none"/>
                      <w:lang w:val="en-US" w:eastAsia="zh-CN"/>
                    </w:rPr>
                  </w:pPr>
                  <w:r>
                    <w:rPr>
                      <w:rFonts w:hint="default"/>
                      <w:color w:val="auto"/>
                      <w:highlight w:val="none"/>
                      <w:u w:val="none"/>
                      <w:lang w:val="en-US" w:eastAsia="zh-CN"/>
                    </w:rPr>
                    <w:t>ZH43312310002</w:t>
                  </w:r>
                </w:p>
              </w:tc>
              <w:tc>
                <w:tcPr>
                  <w:tcW w:w="886" w:type="dxa"/>
                  <w:tcBorders>
                    <w:tl2br w:val="nil"/>
                    <w:tr2bl w:val="nil"/>
                  </w:tcBorders>
                  <w:noWrap w:val="0"/>
                  <w:vAlign w:val="center"/>
                </w:tcPr>
                <w:p w14:paraId="5CF116C1">
                  <w:pPr>
                    <w:pStyle w:val="149"/>
                    <w:widowControl w:val="0"/>
                    <w:bidi w:val="0"/>
                    <w:rPr>
                      <w:rFonts w:hint="eastAsia"/>
                      <w:color w:val="auto"/>
                      <w:highlight w:val="none"/>
                      <w:u w:val="none"/>
                      <w:lang w:eastAsia="zh-CN"/>
                    </w:rPr>
                  </w:pPr>
                  <w:r>
                    <w:rPr>
                      <w:rFonts w:hint="eastAsia"/>
                      <w:color w:val="auto"/>
                      <w:highlight w:val="none"/>
                      <w:u w:val="none"/>
                      <w:lang w:eastAsia="zh-CN"/>
                    </w:rPr>
                    <w:t>湖南省湘西州龙山县</w:t>
                  </w:r>
                </w:p>
              </w:tc>
              <w:tc>
                <w:tcPr>
                  <w:tcW w:w="722" w:type="dxa"/>
                  <w:tcBorders>
                    <w:tl2br w:val="nil"/>
                    <w:tr2bl w:val="nil"/>
                  </w:tcBorders>
                  <w:noWrap w:val="0"/>
                  <w:vAlign w:val="center"/>
                </w:tcPr>
                <w:p w14:paraId="0BDA49EA">
                  <w:pPr>
                    <w:pStyle w:val="149"/>
                    <w:widowControl w:val="0"/>
                    <w:bidi w:val="0"/>
                    <w:rPr>
                      <w:rFonts w:hint="eastAsia"/>
                      <w:color w:val="auto"/>
                      <w:highlight w:val="none"/>
                      <w:u w:val="none"/>
                      <w:lang w:eastAsia="zh-CN"/>
                    </w:rPr>
                  </w:pPr>
                  <w:r>
                    <w:rPr>
                      <w:rFonts w:hint="eastAsia"/>
                      <w:color w:val="auto"/>
                      <w:highlight w:val="none"/>
                      <w:u w:val="none"/>
                      <w:lang w:eastAsia="zh-CN"/>
                    </w:rPr>
                    <w:t>优先保护单元</w:t>
                  </w:r>
                </w:p>
              </w:tc>
              <w:tc>
                <w:tcPr>
                  <w:tcW w:w="1053" w:type="dxa"/>
                  <w:tcBorders>
                    <w:tl2br w:val="nil"/>
                    <w:tr2bl w:val="nil"/>
                  </w:tcBorders>
                  <w:noWrap w:val="0"/>
                  <w:vAlign w:val="center"/>
                </w:tcPr>
                <w:p w14:paraId="62B717D1">
                  <w:pPr>
                    <w:pStyle w:val="149"/>
                    <w:widowControl w:val="0"/>
                    <w:bidi w:val="0"/>
                    <w:rPr>
                      <w:rFonts w:hint="default"/>
                      <w:color w:val="auto"/>
                      <w:highlight w:val="none"/>
                      <w:u w:val="none"/>
                      <w:lang w:val="en-US" w:eastAsia="zh-CN"/>
                    </w:rPr>
                  </w:pPr>
                  <w:r>
                    <w:rPr>
                      <w:rFonts w:hint="eastAsia"/>
                      <w:color w:val="auto"/>
                      <w:highlight w:val="none"/>
                      <w:u w:val="none"/>
                      <w:lang w:val="en-US" w:eastAsia="zh-CN"/>
                    </w:rPr>
                    <w:t>290.05</w:t>
                  </w:r>
                </w:p>
              </w:tc>
              <w:tc>
                <w:tcPr>
                  <w:tcW w:w="1055" w:type="dxa"/>
                  <w:gridSpan w:val="2"/>
                  <w:tcBorders>
                    <w:tl2br w:val="nil"/>
                    <w:tr2bl w:val="nil"/>
                  </w:tcBorders>
                  <w:noWrap w:val="0"/>
                  <w:vAlign w:val="center"/>
                </w:tcPr>
                <w:p w14:paraId="038D5AE2">
                  <w:pPr>
                    <w:pStyle w:val="149"/>
                    <w:widowControl w:val="0"/>
                    <w:bidi w:val="0"/>
                    <w:rPr>
                      <w:rFonts w:hint="eastAsia"/>
                      <w:color w:val="auto"/>
                      <w:highlight w:val="none"/>
                      <w:u w:val="none"/>
                      <w:lang w:eastAsia="zh-CN"/>
                    </w:rPr>
                  </w:pPr>
                  <w:r>
                    <w:rPr>
                      <w:rFonts w:hint="eastAsia"/>
                      <w:color w:val="auto"/>
                      <w:highlight w:val="none"/>
                      <w:u w:val="none"/>
                      <w:lang w:eastAsia="zh-CN"/>
                    </w:rPr>
                    <w:t xml:space="preserve"> 兴隆街道</w:t>
                  </w:r>
                </w:p>
              </w:tc>
              <w:tc>
                <w:tcPr>
                  <w:tcW w:w="1046" w:type="dxa"/>
                  <w:tcBorders>
                    <w:tl2br w:val="nil"/>
                    <w:tr2bl w:val="nil"/>
                  </w:tcBorders>
                  <w:noWrap w:val="0"/>
                  <w:vAlign w:val="center"/>
                </w:tcPr>
                <w:p w14:paraId="483F86ED">
                  <w:pPr>
                    <w:pStyle w:val="149"/>
                    <w:widowControl w:val="0"/>
                    <w:bidi w:val="0"/>
                    <w:rPr>
                      <w:rFonts w:hint="default"/>
                      <w:color w:val="auto"/>
                      <w:highlight w:val="none"/>
                      <w:u w:val="none"/>
                      <w:lang w:val="en-US" w:eastAsia="zh-CN"/>
                    </w:rPr>
                  </w:pPr>
                  <w:r>
                    <w:rPr>
                      <w:rFonts w:hint="eastAsia"/>
                      <w:color w:val="auto"/>
                      <w:highlight w:val="none"/>
                      <w:u w:val="none"/>
                      <w:lang w:val="en-US" w:eastAsia="zh-CN"/>
                    </w:rPr>
                    <w:t>国家重点生态功能区</w:t>
                  </w:r>
                </w:p>
              </w:tc>
              <w:tc>
                <w:tcPr>
                  <w:tcW w:w="2554" w:type="dxa"/>
                  <w:gridSpan w:val="2"/>
                  <w:tcBorders>
                    <w:tl2br w:val="nil"/>
                    <w:tr2bl w:val="nil"/>
                  </w:tcBorders>
                  <w:noWrap w:val="0"/>
                  <w:vAlign w:val="center"/>
                </w:tcPr>
                <w:p w14:paraId="6AB3A862">
                  <w:pPr>
                    <w:pStyle w:val="149"/>
                    <w:widowControl w:val="0"/>
                    <w:bidi w:val="0"/>
                    <w:rPr>
                      <w:rFonts w:hint="default"/>
                      <w:color w:val="auto"/>
                      <w:highlight w:val="none"/>
                      <w:u w:val="none"/>
                      <w:lang w:val="en-US" w:eastAsia="zh-CN"/>
                    </w:rPr>
                  </w:pPr>
                  <w:r>
                    <w:rPr>
                      <w:rFonts w:hint="default"/>
                      <w:color w:val="auto"/>
                      <w:highlight w:val="none"/>
                      <w:u w:val="none"/>
                      <w:lang w:val="en-US" w:eastAsia="zh-CN"/>
                    </w:rPr>
                    <w:t>农业，旅游业等</w:t>
                  </w:r>
                </w:p>
              </w:tc>
            </w:tr>
            <w:tr w14:paraId="69745E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3" w:type="dxa"/>
                  <w:tcBorders>
                    <w:tl2br w:val="nil"/>
                    <w:tr2bl w:val="nil"/>
                  </w:tcBorders>
                  <w:noWrap w:val="0"/>
                  <w:vAlign w:val="center"/>
                </w:tcPr>
                <w:p w14:paraId="2AC0EEF9">
                  <w:pPr>
                    <w:pStyle w:val="144"/>
                    <w:bidi w:val="0"/>
                    <w:rPr>
                      <w:rFonts w:hint="default"/>
                      <w:color w:val="auto"/>
                      <w:highlight w:val="none"/>
                      <w:u w:val="none"/>
                      <w:lang w:val="en-US" w:eastAsia="zh-CN"/>
                    </w:rPr>
                  </w:pPr>
                  <w:r>
                    <w:rPr>
                      <w:rFonts w:hint="eastAsia"/>
                      <w:color w:val="auto"/>
                      <w:highlight w:val="none"/>
                      <w:u w:val="none"/>
                      <w:lang w:val="en-US" w:eastAsia="zh-CN"/>
                    </w:rPr>
                    <w:t>主要属性</w:t>
                  </w:r>
                </w:p>
              </w:tc>
              <w:tc>
                <w:tcPr>
                  <w:tcW w:w="7316" w:type="dxa"/>
                  <w:gridSpan w:val="8"/>
                  <w:tcBorders>
                    <w:tl2br w:val="nil"/>
                    <w:tr2bl w:val="nil"/>
                  </w:tcBorders>
                  <w:noWrap w:val="0"/>
                  <w:vAlign w:val="center"/>
                </w:tcPr>
                <w:p w14:paraId="71602CC3">
                  <w:pPr>
                    <w:pStyle w:val="144"/>
                    <w:bidi w:val="0"/>
                    <w:jc w:val="left"/>
                    <w:rPr>
                      <w:rFonts w:hint="default"/>
                      <w:color w:val="auto"/>
                      <w:highlight w:val="none"/>
                      <w:u w:val="none"/>
                      <w:lang w:val="en-US" w:eastAsia="zh-CN"/>
                    </w:rPr>
                  </w:pPr>
                  <w:r>
                    <w:rPr>
                      <w:rFonts w:hint="eastAsia"/>
                      <w:color w:val="auto"/>
                      <w:highlight w:val="none"/>
                      <w:u w:val="none"/>
                      <w:lang w:val="en-US" w:eastAsia="zh-CN"/>
                    </w:rPr>
                    <w:t xml:space="preserve"> </w:t>
                  </w:r>
                  <w:r>
                    <w:rPr>
                      <w:rFonts w:hint="default"/>
                      <w:color w:val="auto"/>
                      <w:highlight w:val="none"/>
                      <w:u w:val="none"/>
                      <w:lang w:val="en-US" w:eastAsia="zh-CN"/>
                    </w:rPr>
                    <w:t>：生态保护红线(生物多样性维护/水土保持/水土流失/水源涵养/石漠化)/一般生态空间(地质公园/生物多样性维护/石漠化敏感区/水土保持/水土流失/水源涵养)</w:t>
                  </w:r>
                  <w:r>
                    <w:rPr>
                      <w:rFonts w:hint="eastAsia"/>
                      <w:color w:val="auto"/>
                      <w:highlight w:val="none"/>
                      <w:u w:val="none"/>
                      <w:lang w:val="en-US" w:eastAsia="zh-CN"/>
                    </w:rPr>
                    <w:t>；</w:t>
                  </w:r>
                  <w:r>
                    <w:rPr>
                      <w:rFonts w:hint="default"/>
                      <w:color w:val="auto"/>
                      <w:highlight w:val="none"/>
                      <w:u w:val="none"/>
                      <w:lang w:val="en-US" w:eastAsia="zh-CN"/>
                    </w:rPr>
                    <w:t>水环境优先保护区/水环境一般管控区;大气环境优先保护区/大气环境一般管控区</w:t>
                  </w:r>
                  <w:r>
                    <w:rPr>
                      <w:rFonts w:hint="eastAsia"/>
                      <w:color w:val="auto"/>
                      <w:highlight w:val="none"/>
                      <w:u w:val="none"/>
                      <w:lang w:val="en-US" w:eastAsia="zh-CN"/>
                    </w:rPr>
                    <w:t>；</w:t>
                  </w:r>
                  <w:r>
                    <w:rPr>
                      <w:rFonts w:hint="default"/>
                      <w:color w:val="auto"/>
                      <w:highlight w:val="none"/>
                      <w:u w:val="none"/>
                      <w:lang w:val="en-US" w:eastAsia="zh-CN"/>
                    </w:rPr>
                    <w:t>农用地优先保护区/其他土壤重点管控区(市县级采矿权)/土壤污染风险一般管控区;州级属性：水环境优先保护区</w:t>
                  </w:r>
                </w:p>
              </w:tc>
            </w:tr>
            <w:tr w14:paraId="20BBFF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3" w:type="dxa"/>
                  <w:tcBorders>
                    <w:tl2br w:val="nil"/>
                    <w:tr2bl w:val="nil"/>
                  </w:tcBorders>
                  <w:noWrap w:val="0"/>
                  <w:vAlign w:val="center"/>
                </w:tcPr>
                <w:p w14:paraId="4FFA8D5B">
                  <w:pPr>
                    <w:pStyle w:val="149"/>
                    <w:widowControl w:val="0"/>
                    <w:bidi w:val="0"/>
                    <w:rPr>
                      <w:rFonts w:hint="default"/>
                      <w:color w:val="auto"/>
                      <w:highlight w:val="none"/>
                      <w:u w:val="none"/>
                      <w:lang w:val="en-US" w:eastAsia="zh-CN"/>
                    </w:rPr>
                  </w:pPr>
                  <w:r>
                    <w:rPr>
                      <w:rFonts w:hint="default"/>
                      <w:color w:val="auto"/>
                      <w:highlight w:val="none"/>
                      <w:u w:val="none"/>
                      <w:lang w:val="en-US" w:eastAsia="zh-CN"/>
                    </w:rPr>
                    <w:t>管控维度</w:t>
                  </w:r>
                </w:p>
              </w:tc>
              <w:tc>
                <w:tcPr>
                  <w:tcW w:w="3762" w:type="dxa"/>
                  <w:gridSpan w:val="4"/>
                  <w:tcBorders>
                    <w:tl2br w:val="nil"/>
                    <w:tr2bl w:val="nil"/>
                  </w:tcBorders>
                  <w:noWrap w:val="0"/>
                  <w:vAlign w:val="center"/>
                </w:tcPr>
                <w:p w14:paraId="2F78A68E">
                  <w:pPr>
                    <w:pStyle w:val="149"/>
                    <w:widowControl w:val="0"/>
                    <w:bidi w:val="0"/>
                    <w:rPr>
                      <w:rFonts w:hint="eastAsia"/>
                      <w:color w:val="auto"/>
                      <w:highlight w:val="none"/>
                      <w:u w:val="none"/>
                      <w:lang w:eastAsia="zh-CN"/>
                    </w:rPr>
                  </w:pPr>
                  <w:r>
                    <w:rPr>
                      <w:rFonts w:hint="eastAsia"/>
                      <w:color w:val="auto"/>
                      <w:highlight w:val="none"/>
                      <w:u w:val="none"/>
                      <w:lang w:eastAsia="zh-CN"/>
                    </w:rPr>
                    <w:t>管控要求</w:t>
                  </w:r>
                </w:p>
              </w:tc>
              <w:tc>
                <w:tcPr>
                  <w:tcW w:w="2833" w:type="dxa"/>
                  <w:gridSpan w:val="3"/>
                  <w:tcBorders>
                    <w:tl2br w:val="nil"/>
                    <w:tr2bl w:val="nil"/>
                  </w:tcBorders>
                  <w:noWrap w:val="0"/>
                  <w:vAlign w:val="center"/>
                </w:tcPr>
                <w:p w14:paraId="126E312D">
                  <w:pPr>
                    <w:pStyle w:val="149"/>
                    <w:widowControl w:val="0"/>
                    <w:bidi w:val="0"/>
                    <w:rPr>
                      <w:rFonts w:hint="default"/>
                      <w:color w:val="auto"/>
                      <w:highlight w:val="none"/>
                      <w:u w:val="none"/>
                      <w:lang w:val="en-US" w:eastAsia="zh-CN"/>
                    </w:rPr>
                  </w:pPr>
                  <w:r>
                    <w:rPr>
                      <w:rFonts w:hint="eastAsia"/>
                      <w:color w:val="auto"/>
                      <w:highlight w:val="none"/>
                      <w:u w:val="none"/>
                      <w:lang w:val="en-US" w:eastAsia="zh-CN"/>
                    </w:rPr>
                    <w:t>本项目</w:t>
                  </w:r>
                </w:p>
              </w:tc>
              <w:tc>
                <w:tcPr>
                  <w:tcW w:w="721" w:type="dxa"/>
                  <w:tcBorders>
                    <w:tl2br w:val="nil"/>
                    <w:tr2bl w:val="nil"/>
                  </w:tcBorders>
                  <w:noWrap w:val="0"/>
                  <w:vAlign w:val="center"/>
                </w:tcPr>
                <w:p w14:paraId="602A3995">
                  <w:pPr>
                    <w:pStyle w:val="149"/>
                    <w:widowControl w:val="0"/>
                    <w:bidi w:val="0"/>
                    <w:rPr>
                      <w:rFonts w:hint="default"/>
                      <w:color w:val="auto"/>
                      <w:highlight w:val="none"/>
                      <w:u w:val="none"/>
                      <w:lang w:val="en-US" w:eastAsia="zh-CN"/>
                    </w:rPr>
                  </w:pPr>
                  <w:r>
                    <w:rPr>
                      <w:rFonts w:hint="eastAsia"/>
                      <w:color w:val="auto"/>
                      <w:highlight w:val="none"/>
                      <w:u w:val="none"/>
                      <w:lang w:val="en-US" w:eastAsia="zh-CN"/>
                    </w:rPr>
                    <w:t>符合性</w:t>
                  </w:r>
                </w:p>
              </w:tc>
            </w:tr>
            <w:tr w14:paraId="0A16F5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3" w:type="dxa"/>
                  <w:tcBorders>
                    <w:tl2br w:val="nil"/>
                    <w:tr2bl w:val="nil"/>
                  </w:tcBorders>
                  <w:noWrap w:val="0"/>
                  <w:vAlign w:val="center"/>
                </w:tcPr>
                <w:p w14:paraId="61D8F174">
                  <w:pPr>
                    <w:pStyle w:val="149"/>
                    <w:widowControl w:val="0"/>
                    <w:bidi w:val="0"/>
                    <w:rPr>
                      <w:rFonts w:hint="default"/>
                      <w:color w:val="auto"/>
                      <w:highlight w:val="none"/>
                      <w:u w:val="none"/>
                      <w:lang w:val="en-US" w:eastAsia="zh-CN"/>
                    </w:rPr>
                  </w:pPr>
                  <w:r>
                    <w:rPr>
                      <w:rFonts w:hint="eastAsia"/>
                      <w:color w:val="auto"/>
                      <w:highlight w:val="none"/>
                      <w:u w:val="none"/>
                      <w:lang w:val="en-US" w:eastAsia="zh-CN"/>
                    </w:rPr>
                    <w:t>空间布局约束</w:t>
                  </w:r>
                </w:p>
              </w:tc>
              <w:tc>
                <w:tcPr>
                  <w:tcW w:w="3762" w:type="dxa"/>
                  <w:gridSpan w:val="4"/>
                  <w:tcBorders>
                    <w:tl2br w:val="nil"/>
                    <w:tr2bl w:val="nil"/>
                  </w:tcBorders>
                  <w:noWrap w:val="0"/>
                  <w:vAlign w:val="center"/>
                </w:tcPr>
                <w:p w14:paraId="605286DD">
                  <w:pPr>
                    <w:pStyle w:val="144"/>
                    <w:bidi w:val="0"/>
                    <w:jc w:val="left"/>
                    <w:rPr>
                      <w:rFonts w:hint="eastAsia"/>
                      <w:color w:val="auto"/>
                      <w:highlight w:val="none"/>
                      <w:u w:val="none"/>
                      <w:lang w:eastAsia="zh-CN"/>
                    </w:rPr>
                  </w:pPr>
                  <w:r>
                    <w:rPr>
                      <w:rFonts w:hint="eastAsia"/>
                      <w:color w:val="auto"/>
                      <w:highlight w:val="none"/>
                      <w:u w:val="none"/>
                      <w:lang w:eastAsia="zh-CN"/>
                    </w:rPr>
                    <w:t>（1.1）产业准入应符合《龙山县产业准入负面清单》，畜禽养殖产业布局应符合</w:t>
                  </w:r>
                </w:p>
                <w:p w14:paraId="49C89568">
                  <w:pPr>
                    <w:pStyle w:val="144"/>
                    <w:bidi w:val="0"/>
                    <w:jc w:val="left"/>
                    <w:rPr>
                      <w:rFonts w:hint="eastAsia"/>
                      <w:color w:val="auto"/>
                      <w:highlight w:val="none"/>
                      <w:u w:val="none"/>
                      <w:lang w:eastAsia="zh-CN"/>
                    </w:rPr>
                  </w:pPr>
                  <w:r>
                    <w:rPr>
                      <w:rFonts w:hint="eastAsia"/>
                      <w:color w:val="auto"/>
                      <w:highlight w:val="none"/>
                      <w:u w:val="none"/>
                      <w:lang w:eastAsia="zh-CN"/>
                    </w:rPr>
                    <w:t>《龙山县畜禽养殖禁养区调整方案》。</w:t>
                  </w:r>
                </w:p>
                <w:p w14:paraId="5133E864">
                  <w:pPr>
                    <w:pStyle w:val="144"/>
                    <w:bidi w:val="0"/>
                    <w:jc w:val="left"/>
                    <w:rPr>
                      <w:rFonts w:hint="eastAsia"/>
                      <w:color w:val="auto"/>
                      <w:highlight w:val="none"/>
                      <w:u w:val="none"/>
                      <w:lang w:eastAsia="zh-CN"/>
                    </w:rPr>
                  </w:pPr>
                  <w:r>
                    <w:rPr>
                      <w:rFonts w:hint="eastAsia"/>
                      <w:color w:val="auto"/>
                      <w:highlight w:val="none"/>
                      <w:u w:val="none"/>
                      <w:lang w:eastAsia="zh-CN"/>
                    </w:rPr>
                    <w:t>（1.2）协调好矿产开发与风景名胜区保护的关系，避免矿区占用风景名胜区范围。</w:t>
                  </w:r>
                </w:p>
              </w:tc>
              <w:tc>
                <w:tcPr>
                  <w:tcW w:w="2833" w:type="dxa"/>
                  <w:gridSpan w:val="3"/>
                  <w:tcBorders>
                    <w:tl2br w:val="nil"/>
                    <w:tr2bl w:val="nil"/>
                  </w:tcBorders>
                  <w:noWrap w:val="0"/>
                  <w:vAlign w:val="center"/>
                </w:tcPr>
                <w:p w14:paraId="38900DD7">
                  <w:pPr>
                    <w:pStyle w:val="149"/>
                    <w:widowControl w:val="0"/>
                    <w:bidi w:val="0"/>
                    <w:rPr>
                      <w:rFonts w:hint="default"/>
                      <w:color w:val="auto"/>
                      <w:highlight w:val="none"/>
                      <w:u w:val="none"/>
                      <w:lang w:val="en-US" w:eastAsia="zh-CN"/>
                    </w:rPr>
                  </w:pPr>
                  <w:r>
                    <w:rPr>
                      <w:rFonts w:hint="eastAsia"/>
                      <w:color w:val="auto"/>
                      <w:highlight w:val="none"/>
                      <w:u w:val="none"/>
                      <w:lang w:val="en-US" w:eastAsia="zh-CN"/>
                    </w:rPr>
                    <w:t>项目不属于畜禽养殖产业，项目不涉及矿区以及风景名胜区</w:t>
                  </w:r>
                </w:p>
              </w:tc>
              <w:tc>
                <w:tcPr>
                  <w:tcW w:w="721" w:type="dxa"/>
                  <w:tcBorders>
                    <w:tl2br w:val="nil"/>
                    <w:tr2bl w:val="nil"/>
                  </w:tcBorders>
                  <w:noWrap w:val="0"/>
                  <w:vAlign w:val="center"/>
                </w:tcPr>
                <w:p w14:paraId="20069E3E">
                  <w:pPr>
                    <w:pStyle w:val="149"/>
                    <w:widowControl w:val="0"/>
                    <w:bidi w:val="0"/>
                    <w:rPr>
                      <w:rFonts w:hint="default"/>
                      <w:color w:val="auto"/>
                      <w:highlight w:val="none"/>
                      <w:u w:val="none"/>
                      <w:lang w:val="en-US" w:eastAsia="zh-CN"/>
                    </w:rPr>
                  </w:pPr>
                  <w:r>
                    <w:rPr>
                      <w:rFonts w:hint="eastAsia"/>
                      <w:color w:val="auto"/>
                      <w:highlight w:val="none"/>
                      <w:u w:val="none"/>
                      <w:lang w:val="en-US" w:eastAsia="zh-CN"/>
                    </w:rPr>
                    <w:t>符合</w:t>
                  </w:r>
                </w:p>
              </w:tc>
            </w:tr>
            <w:tr w14:paraId="4CD334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3" w:type="dxa"/>
                  <w:tcBorders>
                    <w:tl2br w:val="nil"/>
                    <w:tr2bl w:val="nil"/>
                  </w:tcBorders>
                  <w:noWrap w:val="0"/>
                  <w:vAlign w:val="center"/>
                </w:tcPr>
                <w:p w14:paraId="2FCAE6C9">
                  <w:pPr>
                    <w:pStyle w:val="149"/>
                    <w:widowControl w:val="0"/>
                    <w:bidi w:val="0"/>
                    <w:rPr>
                      <w:rFonts w:hint="default"/>
                      <w:color w:val="auto"/>
                      <w:highlight w:val="none"/>
                      <w:u w:val="none"/>
                      <w:lang w:val="en-US" w:eastAsia="zh-CN"/>
                    </w:rPr>
                  </w:pPr>
                  <w:r>
                    <w:rPr>
                      <w:rFonts w:hint="default"/>
                      <w:color w:val="auto"/>
                      <w:highlight w:val="none"/>
                      <w:u w:val="none"/>
                      <w:lang w:val="en-US" w:eastAsia="zh-CN"/>
                    </w:rPr>
                    <w:t>污染物排放管控</w:t>
                  </w:r>
                </w:p>
              </w:tc>
              <w:tc>
                <w:tcPr>
                  <w:tcW w:w="3762" w:type="dxa"/>
                  <w:gridSpan w:val="4"/>
                  <w:tcBorders>
                    <w:tl2br w:val="nil"/>
                    <w:tr2bl w:val="nil"/>
                  </w:tcBorders>
                  <w:noWrap w:val="0"/>
                  <w:vAlign w:val="center"/>
                </w:tcPr>
                <w:p w14:paraId="778384ED">
                  <w:pPr>
                    <w:pStyle w:val="144"/>
                    <w:bidi w:val="0"/>
                    <w:jc w:val="left"/>
                    <w:rPr>
                      <w:rFonts w:hint="eastAsia"/>
                      <w:color w:val="auto"/>
                      <w:highlight w:val="none"/>
                      <w:u w:val="none"/>
                      <w:lang w:eastAsia="zh-CN"/>
                    </w:rPr>
                  </w:pPr>
                  <w:r>
                    <w:rPr>
                      <w:rFonts w:hint="eastAsia"/>
                      <w:color w:val="auto"/>
                      <w:highlight w:val="none"/>
                      <w:u w:val="none"/>
                      <w:lang w:eastAsia="zh-CN"/>
                    </w:rPr>
                    <w:t>（2.1）完善集镇生活污水收集处理设施，实现污水达标排放。</w:t>
                  </w:r>
                </w:p>
                <w:p w14:paraId="5C8CB430">
                  <w:pPr>
                    <w:pStyle w:val="144"/>
                    <w:bidi w:val="0"/>
                    <w:jc w:val="left"/>
                    <w:rPr>
                      <w:rFonts w:hint="eastAsia"/>
                      <w:color w:val="auto"/>
                      <w:highlight w:val="none"/>
                      <w:u w:val="none"/>
                      <w:lang w:eastAsia="zh-CN"/>
                    </w:rPr>
                  </w:pPr>
                  <w:r>
                    <w:rPr>
                      <w:rFonts w:hint="eastAsia"/>
                      <w:color w:val="auto"/>
                      <w:highlight w:val="none"/>
                      <w:u w:val="none"/>
                      <w:lang w:eastAsia="zh-CN"/>
                    </w:rPr>
                    <w:t>（2.2）完善生活垃圾收集转运设施，禁止露天焚烧垃圾。</w:t>
                  </w:r>
                </w:p>
                <w:p w14:paraId="2F72A140">
                  <w:pPr>
                    <w:pStyle w:val="144"/>
                    <w:bidi w:val="0"/>
                    <w:jc w:val="left"/>
                    <w:rPr>
                      <w:rFonts w:hint="eastAsia"/>
                      <w:color w:val="auto"/>
                      <w:highlight w:val="none"/>
                      <w:u w:val="none"/>
                      <w:lang w:eastAsia="zh-CN"/>
                    </w:rPr>
                  </w:pPr>
                  <w:r>
                    <w:rPr>
                      <w:rFonts w:hint="eastAsia"/>
                      <w:color w:val="auto"/>
                      <w:highlight w:val="none"/>
                      <w:u w:val="none"/>
                      <w:lang w:eastAsia="zh-CN"/>
                    </w:rPr>
                    <w:t>（2.3）整顿露天矿山开采加工行业，加强生态修复。</w:t>
                  </w:r>
                </w:p>
              </w:tc>
              <w:tc>
                <w:tcPr>
                  <w:tcW w:w="2833" w:type="dxa"/>
                  <w:gridSpan w:val="3"/>
                  <w:tcBorders>
                    <w:tl2br w:val="nil"/>
                    <w:tr2bl w:val="nil"/>
                  </w:tcBorders>
                  <w:noWrap w:val="0"/>
                  <w:vAlign w:val="center"/>
                </w:tcPr>
                <w:p w14:paraId="095CBDC2">
                  <w:pPr>
                    <w:pStyle w:val="149"/>
                    <w:widowControl w:val="0"/>
                    <w:bidi w:val="0"/>
                    <w:rPr>
                      <w:rFonts w:hint="default"/>
                      <w:color w:val="auto"/>
                      <w:highlight w:val="none"/>
                      <w:u w:val="none"/>
                      <w:lang w:val="en-US" w:eastAsia="zh-CN"/>
                    </w:rPr>
                  </w:pPr>
                  <w:r>
                    <w:rPr>
                      <w:rFonts w:hint="eastAsia"/>
                      <w:color w:val="auto"/>
                      <w:highlight w:val="none"/>
                      <w:u w:val="none"/>
                      <w:lang w:val="en-US" w:eastAsia="zh-CN"/>
                    </w:rPr>
                    <w:t>本项目为收集高铁新城生活污水，且废水可以做到达标排放</w:t>
                  </w:r>
                </w:p>
              </w:tc>
              <w:tc>
                <w:tcPr>
                  <w:tcW w:w="721" w:type="dxa"/>
                  <w:tcBorders>
                    <w:tl2br w:val="nil"/>
                    <w:tr2bl w:val="nil"/>
                  </w:tcBorders>
                  <w:noWrap w:val="0"/>
                  <w:vAlign w:val="center"/>
                </w:tcPr>
                <w:p w14:paraId="525D41EB">
                  <w:pPr>
                    <w:pStyle w:val="149"/>
                    <w:widowControl w:val="0"/>
                    <w:bidi w:val="0"/>
                    <w:rPr>
                      <w:rFonts w:hint="default"/>
                      <w:color w:val="auto"/>
                      <w:highlight w:val="none"/>
                      <w:u w:val="none"/>
                      <w:lang w:val="en-US" w:eastAsia="zh-CN"/>
                    </w:rPr>
                  </w:pPr>
                  <w:r>
                    <w:rPr>
                      <w:rFonts w:hint="eastAsia"/>
                      <w:color w:val="auto"/>
                      <w:highlight w:val="none"/>
                      <w:u w:val="none"/>
                      <w:lang w:val="en-US" w:eastAsia="zh-CN"/>
                    </w:rPr>
                    <w:t>符合</w:t>
                  </w:r>
                </w:p>
              </w:tc>
            </w:tr>
            <w:tr w14:paraId="4FCECB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3" w:type="dxa"/>
                  <w:tcBorders>
                    <w:tl2br w:val="nil"/>
                    <w:tr2bl w:val="nil"/>
                  </w:tcBorders>
                  <w:noWrap w:val="0"/>
                  <w:vAlign w:val="center"/>
                </w:tcPr>
                <w:p w14:paraId="52214C05">
                  <w:pPr>
                    <w:pStyle w:val="149"/>
                    <w:widowControl w:val="0"/>
                    <w:bidi w:val="0"/>
                    <w:rPr>
                      <w:rFonts w:hint="default"/>
                      <w:color w:val="auto"/>
                      <w:highlight w:val="none"/>
                      <w:u w:val="none"/>
                      <w:lang w:val="en-US" w:eastAsia="zh-CN"/>
                    </w:rPr>
                  </w:pPr>
                  <w:r>
                    <w:rPr>
                      <w:rFonts w:hint="default"/>
                      <w:color w:val="auto"/>
                      <w:highlight w:val="none"/>
                      <w:u w:val="none"/>
                      <w:lang w:val="en-US" w:eastAsia="zh-CN"/>
                    </w:rPr>
                    <w:t>环境风险防控</w:t>
                  </w:r>
                </w:p>
              </w:tc>
              <w:tc>
                <w:tcPr>
                  <w:tcW w:w="3762" w:type="dxa"/>
                  <w:gridSpan w:val="4"/>
                  <w:tcBorders>
                    <w:tl2br w:val="nil"/>
                    <w:tr2bl w:val="nil"/>
                  </w:tcBorders>
                  <w:noWrap w:val="0"/>
                  <w:vAlign w:val="center"/>
                </w:tcPr>
                <w:p w14:paraId="25B091C4">
                  <w:pPr>
                    <w:pStyle w:val="144"/>
                    <w:bidi w:val="0"/>
                    <w:jc w:val="left"/>
                    <w:rPr>
                      <w:rFonts w:hint="eastAsia"/>
                      <w:color w:val="auto"/>
                      <w:highlight w:val="none"/>
                      <w:u w:val="none"/>
                      <w:lang w:eastAsia="zh-CN"/>
                    </w:rPr>
                  </w:pPr>
                  <w:r>
                    <w:rPr>
                      <w:rFonts w:hint="eastAsia"/>
                      <w:color w:val="auto"/>
                      <w:highlight w:val="none"/>
                      <w:u w:val="none"/>
                      <w:lang w:eastAsia="zh-CN"/>
                    </w:rPr>
                    <w:t>（3.1）可能发生突发环境事件的工矿企业应按相关要求编制并实施突发环境事件应急预案，认真落实各项环境风险事故防范措施。</w:t>
                  </w:r>
                </w:p>
              </w:tc>
              <w:tc>
                <w:tcPr>
                  <w:tcW w:w="2833" w:type="dxa"/>
                  <w:gridSpan w:val="3"/>
                  <w:tcBorders>
                    <w:tl2br w:val="nil"/>
                    <w:tr2bl w:val="nil"/>
                  </w:tcBorders>
                  <w:noWrap w:val="0"/>
                  <w:vAlign w:val="center"/>
                </w:tcPr>
                <w:p w14:paraId="096C945F">
                  <w:pPr>
                    <w:pStyle w:val="149"/>
                    <w:widowControl w:val="0"/>
                    <w:bidi w:val="0"/>
                    <w:rPr>
                      <w:rFonts w:hint="default"/>
                      <w:color w:val="auto"/>
                      <w:highlight w:val="none"/>
                      <w:u w:val="none"/>
                      <w:lang w:val="en-US" w:eastAsia="zh-CN"/>
                    </w:rPr>
                  </w:pPr>
                  <w:r>
                    <w:rPr>
                      <w:rFonts w:hint="eastAsia"/>
                      <w:color w:val="auto"/>
                      <w:highlight w:val="none"/>
                      <w:u w:val="none"/>
                      <w:lang w:val="en-US" w:eastAsia="zh-CN"/>
                    </w:rPr>
                    <w:t>项目应按照相关规范要求编制应急预案</w:t>
                  </w:r>
                </w:p>
              </w:tc>
              <w:tc>
                <w:tcPr>
                  <w:tcW w:w="721" w:type="dxa"/>
                  <w:tcBorders>
                    <w:tl2br w:val="nil"/>
                    <w:tr2bl w:val="nil"/>
                  </w:tcBorders>
                  <w:noWrap w:val="0"/>
                  <w:vAlign w:val="center"/>
                </w:tcPr>
                <w:p w14:paraId="4B3F6491">
                  <w:pPr>
                    <w:pStyle w:val="149"/>
                    <w:widowControl w:val="0"/>
                    <w:bidi w:val="0"/>
                    <w:rPr>
                      <w:rFonts w:hint="default"/>
                      <w:color w:val="auto"/>
                      <w:highlight w:val="none"/>
                      <w:u w:val="none"/>
                      <w:lang w:val="en-US" w:eastAsia="zh-CN"/>
                    </w:rPr>
                  </w:pPr>
                  <w:r>
                    <w:rPr>
                      <w:rFonts w:hint="eastAsia"/>
                      <w:color w:val="auto"/>
                      <w:highlight w:val="none"/>
                      <w:u w:val="none"/>
                      <w:lang w:val="en-US" w:eastAsia="zh-CN"/>
                    </w:rPr>
                    <w:t>符合</w:t>
                  </w:r>
                </w:p>
              </w:tc>
            </w:tr>
            <w:tr w14:paraId="58FB80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3" w:type="dxa"/>
                  <w:tcBorders>
                    <w:tl2br w:val="nil"/>
                    <w:tr2bl w:val="nil"/>
                  </w:tcBorders>
                  <w:noWrap w:val="0"/>
                  <w:vAlign w:val="center"/>
                </w:tcPr>
                <w:p w14:paraId="2C3BAD3A">
                  <w:pPr>
                    <w:pStyle w:val="149"/>
                    <w:widowControl w:val="0"/>
                    <w:bidi w:val="0"/>
                    <w:rPr>
                      <w:rFonts w:hint="default"/>
                      <w:color w:val="auto"/>
                      <w:highlight w:val="none"/>
                      <w:u w:val="none"/>
                      <w:lang w:val="en-US" w:eastAsia="zh-CN"/>
                    </w:rPr>
                  </w:pPr>
                  <w:r>
                    <w:rPr>
                      <w:rFonts w:hint="default"/>
                      <w:color w:val="auto"/>
                      <w:highlight w:val="none"/>
                      <w:u w:val="none"/>
                      <w:lang w:val="en-US" w:eastAsia="zh-CN"/>
                    </w:rPr>
                    <w:t>资源开发效率要求</w:t>
                  </w:r>
                </w:p>
              </w:tc>
              <w:tc>
                <w:tcPr>
                  <w:tcW w:w="3762" w:type="dxa"/>
                  <w:gridSpan w:val="4"/>
                  <w:tcBorders>
                    <w:tl2br w:val="nil"/>
                    <w:tr2bl w:val="nil"/>
                  </w:tcBorders>
                  <w:noWrap w:val="0"/>
                  <w:vAlign w:val="center"/>
                </w:tcPr>
                <w:p w14:paraId="5DA340AF">
                  <w:pPr>
                    <w:pStyle w:val="144"/>
                    <w:bidi w:val="0"/>
                    <w:jc w:val="left"/>
                    <w:rPr>
                      <w:rFonts w:hint="eastAsia"/>
                      <w:color w:val="auto"/>
                      <w:highlight w:val="none"/>
                      <w:u w:val="none"/>
                      <w:lang w:eastAsia="zh-CN"/>
                    </w:rPr>
                  </w:pPr>
                  <w:r>
                    <w:rPr>
                      <w:rFonts w:hint="eastAsia"/>
                      <w:color w:val="auto"/>
                      <w:highlight w:val="none"/>
                      <w:u w:val="none"/>
                      <w:lang w:eastAsia="zh-CN"/>
                    </w:rPr>
                    <w:t>（4.1）按湖南省生态环境总体管控要求、湘西自治州生态环境管控基本要求中相关规定执行。</w:t>
                  </w:r>
                </w:p>
              </w:tc>
              <w:tc>
                <w:tcPr>
                  <w:tcW w:w="2833" w:type="dxa"/>
                  <w:gridSpan w:val="3"/>
                  <w:tcBorders>
                    <w:tl2br w:val="nil"/>
                    <w:tr2bl w:val="nil"/>
                  </w:tcBorders>
                  <w:noWrap w:val="0"/>
                  <w:vAlign w:val="center"/>
                </w:tcPr>
                <w:p w14:paraId="24B8BA52">
                  <w:pPr>
                    <w:pStyle w:val="149"/>
                    <w:widowControl w:val="0"/>
                    <w:bidi w:val="0"/>
                    <w:rPr>
                      <w:rFonts w:hint="default"/>
                      <w:color w:val="auto"/>
                      <w:highlight w:val="none"/>
                      <w:u w:val="none"/>
                      <w:lang w:val="en-US" w:eastAsia="zh-CN"/>
                    </w:rPr>
                  </w:pPr>
                  <w:r>
                    <w:rPr>
                      <w:rFonts w:hint="eastAsia"/>
                      <w:color w:val="auto"/>
                      <w:highlight w:val="none"/>
                      <w:u w:val="none"/>
                      <w:lang w:eastAsia="zh-CN"/>
                    </w:rPr>
                    <w:t>根据前文分析，项目符合。</w:t>
                  </w:r>
                </w:p>
              </w:tc>
              <w:tc>
                <w:tcPr>
                  <w:tcW w:w="721" w:type="dxa"/>
                  <w:tcBorders>
                    <w:tl2br w:val="nil"/>
                    <w:tr2bl w:val="nil"/>
                  </w:tcBorders>
                  <w:noWrap w:val="0"/>
                  <w:vAlign w:val="center"/>
                </w:tcPr>
                <w:p w14:paraId="79C347B3">
                  <w:pPr>
                    <w:pStyle w:val="149"/>
                    <w:widowControl w:val="0"/>
                    <w:bidi w:val="0"/>
                    <w:rPr>
                      <w:rFonts w:hint="default"/>
                      <w:color w:val="auto"/>
                      <w:highlight w:val="none"/>
                      <w:u w:val="none"/>
                      <w:lang w:val="en-US" w:eastAsia="zh-CN"/>
                    </w:rPr>
                  </w:pPr>
                  <w:r>
                    <w:rPr>
                      <w:rFonts w:hint="eastAsia"/>
                      <w:color w:val="auto"/>
                      <w:highlight w:val="none"/>
                      <w:u w:val="none"/>
                      <w:lang w:val="en-US" w:eastAsia="zh-CN"/>
                    </w:rPr>
                    <w:t>符合</w:t>
                  </w:r>
                </w:p>
              </w:tc>
            </w:tr>
          </w:tbl>
          <w:p w14:paraId="5397CD9A">
            <w:pPr>
              <w:spacing w:line="360" w:lineRule="auto"/>
              <w:ind w:firstLine="480" w:firstLineChars="200"/>
              <w:rPr>
                <w:rFonts w:hint="eastAsia"/>
                <w:color w:val="auto"/>
                <w:sz w:val="24"/>
                <w:highlight w:val="none"/>
                <w:u w:val="none"/>
                <w:lang w:eastAsia="zh-CN"/>
              </w:rPr>
            </w:pPr>
            <w:r>
              <w:rPr>
                <w:rFonts w:hint="eastAsia"/>
                <w:color w:val="auto"/>
                <w:sz w:val="24"/>
                <w:highlight w:val="none"/>
                <w:u w:val="none"/>
                <w:lang w:eastAsia="zh-CN"/>
              </w:rPr>
              <w:t>本项且选址位于湘西州</w:t>
            </w:r>
            <w:r>
              <w:rPr>
                <w:rFonts w:hint="eastAsia"/>
                <w:color w:val="auto"/>
                <w:sz w:val="24"/>
                <w:highlight w:val="none"/>
                <w:u w:val="none"/>
                <w:lang w:val="en-US" w:eastAsia="zh-CN"/>
              </w:rPr>
              <w:t>龙山县高铁新区</w:t>
            </w:r>
            <w:r>
              <w:rPr>
                <w:rFonts w:hint="eastAsia"/>
                <w:color w:val="auto"/>
                <w:sz w:val="24"/>
                <w:highlight w:val="none"/>
                <w:u w:val="none"/>
                <w:lang w:eastAsia="zh-CN"/>
              </w:rPr>
              <w:t>，</w:t>
            </w:r>
            <w:r>
              <w:rPr>
                <w:rFonts w:hint="eastAsia"/>
                <w:color w:val="auto"/>
                <w:sz w:val="24"/>
                <w:highlight w:val="none"/>
                <w:u w:val="none"/>
                <w:lang w:val="en-US" w:eastAsia="zh-CN"/>
              </w:rPr>
              <w:t>属于城镇建设范围内，</w:t>
            </w:r>
            <w:r>
              <w:rPr>
                <w:rFonts w:hint="eastAsia"/>
                <w:color w:val="auto"/>
                <w:sz w:val="24"/>
                <w:highlight w:val="none"/>
                <w:u w:val="none"/>
                <w:lang w:eastAsia="zh-CN"/>
              </w:rPr>
              <w:t>不属于</w:t>
            </w:r>
            <w:r>
              <w:rPr>
                <w:rFonts w:hint="eastAsia"/>
                <w:color w:val="auto"/>
                <w:sz w:val="24"/>
                <w:highlight w:val="none"/>
                <w:u w:val="none"/>
                <w:lang w:val="en-US" w:eastAsia="zh-CN"/>
              </w:rPr>
              <w:t>龙山县</w:t>
            </w:r>
            <w:r>
              <w:rPr>
                <w:rFonts w:hint="eastAsia"/>
                <w:color w:val="auto"/>
                <w:sz w:val="24"/>
                <w:highlight w:val="none"/>
                <w:u w:val="none"/>
                <w:lang w:eastAsia="zh-CN"/>
              </w:rPr>
              <w:t>生态保护红线范围内，符合生态保护红线要求，区域环境空气质量、声环境质量、地表水均满足环境质量标准要求；本项目为</w:t>
            </w:r>
            <w:r>
              <w:rPr>
                <w:rFonts w:hint="eastAsia"/>
                <w:color w:val="auto"/>
                <w:sz w:val="24"/>
                <w:highlight w:val="none"/>
                <w:u w:val="none"/>
                <w:lang w:val="en-US" w:eastAsia="zh-CN"/>
              </w:rPr>
              <w:t>城镇污水集中处置</w:t>
            </w:r>
            <w:r>
              <w:rPr>
                <w:rFonts w:hint="eastAsia"/>
                <w:color w:val="auto"/>
                <w:sz w:val="24"/>
                <w:highlight w:val="none"/>
                <w:u w:val="none"/>
                <w:lang w:eastAsia="zh-CN"/>
              </w:rPr>
              <w:t>项目，在采取了本环评提出的环保防治措施后，项且的实施不会突破区域环境质量底线；所用能源主要为天然气、电能，符合资源利用上线要求，基本落实生态保护红线、环境质量底线、资源利用上线硬约束，同时本项且不属</w:t>
            </w:r>
            <w:r>
              <w:rPr>
                <w:rFonts w:hint="eastAsia"/>
                <w:color w:val="auto"/>
                <w:sz w:val="24"/>
                <w:highlight w:val="none"/>
                <w:u w:val="none"/>
                <w:lang w:val="en-US" w:eastAsia="zh-CN"/>
              </w:rPr>
              <w:t>于</w:t>
            </w:r>
            <w:r>
              <w:rPr>
                <w:rFonts w:hint="eastAsia"/>
                <w:color w:val="auto"/>
                <w:sz w:val="24"/>
                <w:highlight w:val="none"/>
                <w:u w:val="none"/>
                <w:lang w:eastAsia="zh-CN"/>
              </w:rPr>
              <w:t>高耗能、高排放产业，根据湖南省环境管控单元图，本项且选址所在地属于优先保护单元，项目属于</w:t>
            </w:r>
            <w:r>
              <w:rPr>
                <w:rFonts w:hint="eastAsia"/>
                <w:color w:val="auto"/>
                <w:sz w:val="24"/>
                <w:highlight w:val="none"/>
                <w:u w:val="none"/>
                <w:lang w:val="en-US" w:eastAsia="zh-CN"/>
              </w:rPr>
              <w:t>城镇污水集中处置</w:t>
            </w:r>
            <w:r>
              <w:rPr>
                <w:rFonts w:hint="eastAsia"/>
                <w:color w:val="auto"/>
                <w:sz w:val="24"/>
                <w:highlight w:val="none"/>
                <w:u w:val="none"/>
                <w:lang w:eastAsia="zh-CN"/>
              </w:rPr>
              <w:t>项目，项目产生污染较少，建设单位在落实本环评提出的污染防治措施后污染物能够实现达标排放，项目符合湘西州三线一单分区管控要求。</w:t>
            </w:r>
          </w:p>
          <w:p w14:paraId="575B3F1D">
            <w:pPr>
              <w:spacing w:line="360" w:lineRule="auto"/>
              <w:ind w:firstLine="480" w:firstLineChars="200"/>
              <w:rPr>
                <w:rFonts w:hint="eastAsia"/>
                <w:color w:val="auto"/>
                <w:sz w:val="24"/>
                <w:highlight w:val="none"/>
                <w:u w:val="none"/>
                <w:lang w:eastAsia="zh-CN"/>
              </w:rPr>
            </w:pPr>
            <w:r>
              <w:rPr>
                <w:rFonts w:hint="eastAsia"/>
                <w:color w:val="auto"/>
                <w:sz w:val="24"/>
                <w:highlight w:val="none"/>
                <w:u w:val="none"/>
                <w:lang w:eastAsia="zh-CN"/>
              </w:rPr>
              <w:t>综上，本项目总体上能够符合“三线一单”的管理要求。</w:t>
            </w:r>
          </w:p>
          <w:p w14:paraId="213FF085">
            <w:pPr>
              <w:pStyle w:val="76"/>
              <w:autoSpaceDE/>
              <w:autoSpaceDN/>
              <w:adjustRightInd/>
              <w:spacing w:line="360" w:lineRule="auto"/>
              <w:ind w:firstLine="361" w:firstLineChars="150"/>
              <w:jc w:val="both"/>
              <w:textAlignment w:val="auto"/>
              <w:rPr>
                <w:rFonts w:hint="eastAsia" w:ascii="Times New Roman" w:hAnsi="Times New Roman" w:eastAsia="宋体" w:cs="Times New Roman"/>
                <w:b/>
                <w:color w:val="auto"/>
                <w:szCs w:val="24"/>
                <w:highlight w:val="none"/>
                <w:u w:val="none"/>
                <w:lang w:val="en-US" w:eastAsia="zh-CN"/>
              </w:rPr>
            </w:pPr>
            <w:r>
              <w:rPr>
                <w:rFonts w:hint="eastAsia" w:ascii="Times New Roman" w:hAnsi="Times New Roman" w:eastAsia="宋体" w:cs="Times New Roman"/>
                <w:b/>
                <w:color w:val="auto"/>
                <w:szCs w:val="24"/>
                <w:highlight w:val="none"/>
                <w:u w:val="none"/>
                <w:lang w:val="en-US" w:eastAsia="zh-CN"/>
              </w:rPr>
              <w:t>3、选址合理性分析</w:t>
            </w:r>
          </w:p>
          <w:p w14:paraId="4C043690">
            <w:pPr>
              <w:spacing w:line="360" w:lineRule="auto"/>
              <w:ind w:firstLine="482" w:firstLineChars="200"/>
              <w:rPr>
                <w:rFonts w:hint="default" w:ascii="Times New Roman" w:hAnsi="Times New Roman" w:eastAsia="宋体" w:cs="Times New Roman"/>
                <w:b/>
                <w:bCs/>
                <w:color w:val="auto"/>
                <w:sz w:val="24"/>
                <w:highlight w:val="none"/>
                <w:u w:val="none"/>
                <w:lang w:val="en-US" w:eastAsia="zh-CN"/>
              </w:rPr>
            </w:pPr>
            <w:r>
              <w:rPr>
                <w:rFonts w:hint="eastAsia" w:ascii="Times New Roman" w:hAnsi="Times New Roman" w:eastAsia="宋体" w:cs="Times New Roman"/>
                <w:b/>
                <w:bCs/>
                <w:color w:val="auto"/>
                <w:sz w:val="24"/>
                <w:highlight w:val="none"/>
                <w:u w:val="none"/>
                <w:lang w:val="en-US" w:eastAsia="zh-CN"/>
              </w:rPr>
              <w:t>（1）选址原则</w:t>
            </w:r>
          </w:p>
          <w:p w14:paraId="2421DDFD">
            <w:pPr>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厂址确定应满足如下原则：</w:t>
            </w:r>
          </w:p>
          <w:p w14:paraId="3A1446B6">
            <w:pPr>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①</w:t>
            </w:r>
            <w:r>
              <w:rPr>
                <w:rFonts w:hint="default" w:ascii="Times New Roman" w:hAnsi="Times New Roman" w:eastAsia="宋体" w:cs="Times New Roman"/>
                <w:color w:val="auto"/>
                <w:sz w:val="24"/>
                <w:highlight w:val="none"/>
                <w:u w:val="none"/>
                <w:lang w:val="en-US" w:eastAsia="zh-CN"/>
              </w:rPr>
              <w:t>符合城镇总体规划，充分考虑区内地形、功能分区、道路规划与防洪要求等因素。</w:t>
            </w:r>
          </w:p>
          <w:p w14:paraId="36AE35C2">
            <w:pPr>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②</w:t>
            </w:r>
            <w:r>
              <w:rPr>
                <w:rFonts w:hint="default" w:ascii="Times New Roman" w:hAnsi="Times New Roman" w:eastAsia="宋体" w:cs="Times New Roman"/>
                <w:color w:val="auto"/>
                <w:sz w:val="24"/>
                <w:highlight w:val="none"/>
                <w:u w:val="none"/>
                <w:lang w:val="en-US" w:eastAsia="zh-CN"/>
              </w:rPr>
              <w:t>厂址不应设在雨季易受水淹的低洼处，靠近水体的处理厂，要考虑不受洪水威胁，厂址应尽量设在地形</w:t>
            </w:r>
            <w:r>
              <w:rPr>
                <w:rFonts w:hint="eastAsia" w:ascii="Times New Roman" w:hAnsi="Times New Roman" w:eastAsia="宋体" w:cs="Times New Roman"/>
                <w:color w:val="auto"/>
                <w:sz w:val="24"/>
                <w:highlight w:val="none"/>
                <w:u w:val="none"/>
                <w:lang w:val="en-US" w:eastAsia="zh-CN"/>
              </w:rPr>
              <w:t>、地质</w:t>
            </w:r>
            <w:r>
              <w:rPr>
                <w:rFonts w:hint="default" w:ascii="Times New Roman" w:hAnsi="Times New Roman" w:eastAsia="宋体" w:cs="Times New Roman"/>
                <w:color w:val="auto"/>
                <w:sz w:val="24"/>
                <w:highlight w:val="none"/>
                <w:u w:val="none"/>
                <w:lang w:val="en-US" w:eastAsia="zh-CN"/>
              </w:rPr>
              <w:t>条件好的地方</w:t>
            </w:r>
            <w:r>
              <w:rPr>
                <w:rFonts w:hint="eastAsia" w:ascii="Times New Roman" w:hAnsi="Times New Roman" w:eastAsia="宋体" w:cs="Times New Roman"/>
                <w:color w:val="auto"/>
                <w:sz w:val="24"/>
                <w:highlight w:val="none"/>
                <w:u w:val="none"/>
                <w:lang w:val="en-US" w:eastAsia="zh-CN"/>
              </w:rPr>
              <w:t>。</w:t>
            </w:r>
          </w:p>
          <w:p w14:paraId="51C16CA9">
            <w:pPr>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③</w:t>
            </w:r>
            <w:r>
              <w:rPr>
                <w:rFonts w:hint="default" w:ascii="Times New Roman" w:hAnsi="Times New Roman" w:eastAsia="宋体" w:cs="Times New Roman"/>
                <w:color w:val="auto"/>
                <w:sz w:val="24"/>
                <w:highlight w:val="none"/>
                <w:u w:val="none"/>
                <w:lang w:val="en-US" w:eastAsia="zh-CN"/>
              </w:rPr>
              <w:t>厂址与城镇污水收集系统的总体布局相配套。尽量选择区域较低点，充分利用重力流收集城镇污水。</w:t>
            </w:r>
          </w:p>
          <w:p w14:paraId="140FF1E2">
            <w:pPr>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④</w:t>
            </w:r>
            <w:r>
              <w:rPr>
                <w:rFonts w:hint="default" w:ascii="Times New Roman" w:hAnsi="Times New Roman" w:eastAsia="宋体" w:cs="Times New Roman"/>
                <w:color w:val="auto"/>
                <w:sz w:val="24"/>
                <w:highlight w:val="none"/>
                <w:u w:val="none"/>
                <w:lang w:val="en-US" w:eastAsia="zh-CN"/>
              </w:rPr>
              <w:t>土地利用价值低，尽量少占或不占农田耕地。</w:t>
            </w:r>
          </w:p>
          <w:p w14:paraId="59856BE8">
            <w:pPr>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⑤</w:t>
            </w:r>
            <w:r>
              <w:rPr>
                <w:rFonts w:hint="default" w:ascii="Times New Roman" w:hAnsi="Times New Roman" w:eastAsia="宋体" w:cs="Times New Roman"/>
                <w:color w:val="auto"/>
                <w:sz w:val="24"/>
                <w:highlight w:val="none"/>
                <w:u w:val="none"/>
                <w:lang w:val="en-US" w:eastAsia="zh-CN"/>
              </w:rPr>
              <w:t>最好选择在城市主导方向的下风向</w:t>
            </w: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尽可能避开居民点和其它环境敏感的建筑</w:t>
            </w: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有一定的卫生防护距离。</w:t>
            </w:r>
          </w:p>
          <w:p w14:paraId="510B5DFD">
            <w:pPr>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⑥</w:t>
            </w:r>
            <w:r>
              <w:rPr>
                <w:rFonts w:hint="default" w:ascii="Times New Roman" w:hAnsi="Times New Roman" w:eastAsia="宋体" w:cs="Times New Roman"/>
                <w:color w:val="auto"/>
                <w:sz w:val="24"/>
                <w:highlight w:val="none"/>
                <w:u w:val="none"/>
                <w:lang w:val="en-US" w:eastAsia="zh-CN"/>
              </w:rPr>
              <w:t>厂址选择应考虑近远期结合，根据区域水质、水量特点，预留发展用地。</w:t>
            </w:r>
          </w:p>
          <w:p w14:paraId="5BB45F93">
            <w:pPr>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⑦</w:t>
            </w:r>
            <w:r>
              <w:rPr>
                <w:rFonts w:hint="default" w:ascii="Times New Roman" w:hAnsi="Times New Roman" w:eastAsia="宋体" w:cs="Times New Roman"/>
                <w:color w:val="auto"/>
                <w:sz w:val="24"/>
                <w:highlight w:val="none"/>
                <w:u w:val="none"/>
                <w:lang w:val="en-US" w:eastAsia="zh-CN"/>
              </w:rPr>
              <w:t>有方便的交通、运输、水电条件</w:t>
            </w:r>
            <w:r>
              <w:rPr>
                <w:rFonts w:hint="eastAsia" w:ascii="Times New Roman" w:hAnsi="Times New Roman" w:eastAsia="宋体" w:cs="Times New Roman"/>
                <w:color w:val="auto"/>
                <w:sz w:val="24"/>
                <w:highlight w:val="none"/>
                <w:u w:val="none"/>
                <w:lang w:val="en-US" w:eastAsia="zh-CN"/>
              </w:rPr>
              <w:t>。</w:t>
            </w:r>
          </w:p>
          <w:p w14:paraId="0D5BD0A4">
            <w:pPr>
              <w:spacing w:line="360" w:lineRule="auto"/>
              <w:ind w:firstLine="480" w:firstLineChars="200"/>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⑧</w:t>
            </w:r>
            <w:r>
              <w:rPr>
                <w:rFonts w:hint="default" w:ascii="Times New Roman" w:hAnsi="Times New Roman" w:eastAsia="宋体" w:cs="Times New Roman"/>
                <w:color w:val="auto"/>
                <w:sz w:val="24"/>
                <w:highlight w:val="none"/>
                <w:u w:val="none"/>
                <w:lang w:val="en-US" w:eastAsia="zh-CN"/>
              </w:rPr>
              <w:t>在城镇的下游，</w:t>
            </w:r>
            <w:r>
              <w:rPr>
                <w:rFonts w:hint="eastAsia" w:ascii="Times New Roman" w:hAnsi="Times New Roman" w:eastAsia="宋体" w:cs="Times New Roman"/>
                <w:color w:val="auto"/>
                <w:sz w:val="24"/>
                <w:highlight w:val="none"/>
                <w:u w:val="none"/>
                <w:lang w:val="en-US" w:eastAsia="zh-CN"/>
              </w:rPr>
              <w:t>尽量</w:t>
            </w:r>
            <w:r>
              <w:rPr>
                <w:rFonts w:hint="default" w:ascii="Times New Roman" w:hAnsi="Times New Roman" w:eastAsia="宋体" w:cs="Times New Roman"/>
                <w:color w:val="auto"/>
                <w:sz w:val="24"/>
                <w:highlight w:val="none"/>
                <w:u w:val="none"/>
                <w:lang w:val="en-US" w:eastAsia="zh-CN"/>
              </w:rPr>
              <w:t>与受纳水体靠近</w:t>
            </w: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便于</w:t>
            </w:r>
            <w:r>
              <w:rPr>
                <w:rFonts w:hint="eastAsia" w:ascii="Times New Roman" w:hAnsi="Times New Roman" w:eastAsia="宋体" w:cs="Times New Roman"/>
                <w:color w:val="auto"/>
                <w:sz w:val="24"/>
                <w:highlight w:val="none"/>
                <w:u w:val="none"/>
                <w:lang w:val="en-US" w:eastAsia="zh-CN"/>
              </w:rPr>
              <w:t>排</w:t>
            </w:r>
            <w:r>
              <w:rPr>
                <w:rFonts w:hint="default" w:ascii="Times New Roman" w:hAnsi="Times New Roman" w:eastAsia="宋体" w:cs="Times New Roman"/>
                <w:color w:val="auto"/>
                <w:sz w:val="24"/>
                <w:highlight w:val="none"/>
                <w:u w:val="none"/>
                <w:lang w:val="en-US" w:eastAsia="zh-CN"/>
              </w:rPr>
              <w:t>水。</w:t>
            </w:r>
          </w:p>
          <w:p w14:paraId="703A6679">
            <w:pPr>
              <w:spacing w:line="360" w:lineRule="auto"/>
              <w:ind w:firstLine="480" w:firstLineChars="200"/>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对照污水处理厂选址原则，本项目选址合理性分析见表</w:t>
            </w:r>
            <w:r>
              <w:rPr>
                <w:rFonts w:hint="eastAsia" w:ascii="Times New Roman" w:hAnsi="Times New Roman" w:eastAsia="宋体" w:cs="Times New Roman"/>
                <w:color w:val="auto"/>
                <w:sz w:val="24"/>
                <w:highlight w:val="none"/>
                <w:u w:val="none"/>
                <w:lang w:val="en-US" w:eastAsia="zh-CN"/>
              </w:rPr>
              <w:t>1-</w:t>
            </w:r>
            <w:r>
              <w:rPr>
                <w:rFonts w:hint="eastAsia" w:cs="Times New Roman"/>
                <w:color w:val="auto"/>
                <w:sz w:val="24"/>
                <w:highlight w:val="none"/>
                <w:u w:val="none"/>
                <w:lang w:val="en-US" w:eastAsia="zh-CN"/>
              </w:rPr>
              <w:t>4</w:t>
            </w:r>
            <w:r>
              <w:rPr>
                <w:rFonts w:hint="default" w:ascii="Times New Roman" w:hAnsi="Times New Roman" w:eastAsia="宋体" w:cs="Times New Roman"/>
                <w:color w:val="auto"/>
                <w:sz w:val="24"/>
                <w:highlight w:val="none"/>
                <w:u w:val="none"/>
                <w:lang w:val="en-US" w:eastAsia="zh-CN"/>
              </w:rPr>
              <w:t>。</w:t>
            </w:r>
          </w:p>
          <w:p w14:paraId="106FB21E">
            <w:pPr>
              <w:pStyle w:val="137"/>
              <w:keepNext/>
              <w:keepLines w:val="0"/>
              <w:pageBreakBefore w:val="0"/>
              <w:widowControl/>
              <w:kinsoku/>
              <w:wordWrap/>
              <w:overflowPunct/>
              <w:topLinePunct w:val="0"/>
              <w:autoSpaceDE/>
              <w:autoSpaceDN/>
              <w:bidi w:val="0"/>
              <w:adjustRightInd w:val="0"/>
              <w:snapToGrid w:val="0"/>
              <w:spacing w:line="360" w:lineRule="auto"/>
              <w:ind w:left="0" w:leftChars="0" w:right="0" w:rightChars="0"/>
              <w:jc w:val="center"/>
              <w:textAlignment w:val="auto"/>
              <w:rPr>
                <w:rFonts w:hint="default" w:ascii="Times New Roman" w:hAnsi="Times New Roman" w:eastAsia="宋体" w:cs="Times New Roman"/>
                <w:b/>
                <w:bCs/>
                <w:color w:val="auto"/>
                <w:sz w:val="21"/>
                <w:highlight w:val="none"/>
                <w:u w:val="none"/>
              </w:rPr>
            </w:pPr>
            <w:r>
              <w:rPr>
                <w:rFonts w:hint="default" w:ascii="Times New Roman" w:hAnsi="Times New Roman" w:eastAsia="宋体" w:cs="Times New Roman"/>
                <w:b/>
                <w:bCs/>
                <w:color w:val="auto"/>
                <w:sz w:val="21"/>
                <w:highlight w:val="none"/>
                <w:u w:val="none"/>
              </w:rPr>
              <w:t>表</w:t>
            </w:r>
            <w:r>
              <w:rPr>
                <w:rFonts w:hint="eastAsia" w:ascii="Times New Roman" w:hAnsi="Times New Roman" w:eastAsia="宋体" w:cs="Times New Roman"/>
                <w:b/>
                <w:bCs/>
                <w:color w:val="auto"/>
                <w:sz w:val="21"/>
                <w:highlight w:val="none"/>
                <w:u w:val="none"/>
                <w:lang w:val="en-US" w:eastAsia="zh-CN"/>
              </w:rPr>
              <w:t>1-</w:t>
            </w:r>
            <w:r>
              <w:rPr>
                <w:rFonts w:hint="eastAsia" w:hAnsi="Times New Roman" w:eastAsia="宋体" w:cs="Times New Roman"/>
                <w:b/>
                <w:bCs/>
                <w:color w:val="auto"/>
                <w:sz w:val="21"/>
                <w:highlight w:val="none"/>
                <w:u w:val="none"/>
                <w:lang w:val="en-US" w:eastAsia="zh-CN"/>
              </w:rPr>
              <w:t>4</w:t>
            </w:r>
            <w:r>
              <w:rPr>
                <w:rFonts w:hint="default" w:ascii="Times New Roman" w:hAnsi="Times New Roman" w:eastAsia="宋体" w:cs="Times New Roman"/>
                <w:b/>
                <w:bCs/>
                <w:color w:val="auto"/>
                <w:sz w:val="21"/>
                <w:highlight w:val="none"/>
                <w:u w:val="none"/>
              </w:rPr>
              <w:t xml:space="preserve"> 污水处理厂选址合理性分析</w:t>
            </w:r>
          </w:p>
          <w:tbl>
            <w:tblPr>
              <w:tblStyle w:val="32"/>
              <w:tblW w:w="680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2"/>
              <w:gridCol w:w="1560"/>
              <w:gridCol w:w="4155"/>
              <w:gridCol w:w="596"/>
            </w:tblGrid>
            <w:tr w14:paraId="301475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492" w:type="dxa"/>
                  <w:tcBorders>
                    <w:tl2br w:val="nil"/>
                    <w:tr2bl w:val="nil"/>
                  </w:tcBorders>
                  <w:vAlign w:val="center"/>
                </w:tcPr>
                <w:p w14:paraId="15B65F1E">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bCs/>
                      <w:color w:val="auto"/>
                      <w:sz w:val="21"/>
                      <w:szCs w:val="21"/>
                      <w:highlight w:val="none"/>
                      <w:u w:val="none"/>
                    </w:rPr>
                    <w:t>序号</w:t>
                  </w:r>
                </w:p>
              </w:tc>
              <w:tc>
                <w:tcPr>
                  <w:tcW w:w="1560" w:type="dxa"/>
                  <w:tcBorders>
                    <w:tl2br w:val="nil"/>
                    <w:tr2bl w:val="nil"/>
                  </w:tcBorders>
                  <w:vAlign w:val="center"/>
                </w:tcPr>
                <w:p w14:paraId="2B14FCDB">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bCs/>
                      <w:color w:val="auto"/>
                      <w:sz w:val="21"/>
                      <w:szCs w:val="21"/>
                      <w:highlight w:val="none"/>
                      <w:u w:val="none"/>
                    </w:rPr>
                    <w:t>选址原则</w:t>
                  </w:r>
                </w:p>
              </w:tc>
              <w:tc>
                <w:tcPr>
                  <w:tcW w:w="4155" w:type="dxa"/>
                  <w:tcBorders>
                    <w:tl2br w:val="nil"/>
                    <w:tr2bl w:val="nil"/>
                  </w:tcBorders>
                  <w:vAlign w:val="center"/>
                </w:tcPr>
                <w:p w14:paraId="2DBA0FFB">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bCs/>
                      <w:color w:val="auto"/>
                      <w:sz w:val="21"/>
                      <w:szCs w:val="21"/>
                      <w:highlight w:val="none"/>
                      <w:u w:val="none"/>
                    </w:rPr>
                    <w:t>污水处理厂选址</w:t>
                  </w:r>
                </w:p>
              </w:tc>
              <w:tc>
                <w:tcPr>
                  <w:tcW w:w="596" w:type="dxa"/>
                  <w:tcBorders>
                    <w:tl2br w:val="nil"/>
                    <w:tr2bl w:val="nil"/>
                  </w:tcBorders>
                  <w:vAlign w:val="center"/>
                </w:tcPr>
                <w:p w14:paraId="610D7A6B">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eastAsia" w:ascii="Times New Roman" w:hAnsi="Times New Roman" w:eastAsia="宋体" w:cs="Times New Roman"/>
                      <w:bCs/>
                      <w:color w:val="auto"/>
                      <w:sz w:val="21"/>
                      <w:szCs w:val="21"/>
                      <w:highlight w:val="none"/>
                      <w:u w:val="none"/>
                      <w:lang w:eastAsia="zh-CN"/>
                    </w:rPr>
                  </w:pPr>
                  <w:r>
                    <w:rPr>
                      <w:rFonts w:hint="eastAsia" w:ascii="Times New Roman" w:hAnsi="Times New Roman" w:eastAsia="宋体" w:cs="Times New Roman"/>
                      <w:bCs/>
                      <w:color w:val="auto"/>
                      <w:sz w:val="21"/>
                      <w:szCs w:val="21"/>
                      <w:highlight w:val="none"/>
                      <w:u w:val="none"/>
                      <w:lang w:eastAsia="zh-CN"/>
                    </w:rPr>
                    <w:t>符合性</w:t>
                  </w:r>
                </w:p>
              </w:tc>
            </w:tr>
            <w:tr w14:paraId="4296C6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2" w:type="dxa"/>
                  <w:tcBorders>
                    <w:tl2br w:val="nil"/>
                    <w:tr2bl w:val="nil"/>
                  </w:tcBorders>
                  <w:vAlign w:val="center"/>
                </w:tcPr>
                <w:p w14:paraId="57B48B7A">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single"/>
                    </w:rPr>
                  </w:pPr>
                  <w:r>
                    <w:rPr>
                      <w:rFonts w:hint="default" w:ascii="Times New Roman" w:hAnsi="Times New Roman" w:eastAsia="宋体" w:cs="Times New Roman"/>
                      <w:bCs/>
                      <w:color w:val="auto"/>
                      <w:sz w:val="21"/>
                      <w:szCs w:val="21"/>
                      <w:highlight w:val="none"/>
                      <w:u w:val="single"/>
                    </w:rPr>
                    <w:t>1</w:t>
                  </w:r>
                </w:p>
              </w:tc>
              <w:tc>
                <w:tcPr>
                  <w:tcW w:w="1560" w:type="dxa"/>
                  <w:tcBorders>
                    <w:tl2br w:val="nil"/>
                    <w:tr2bl w:val="nil"/>
                  </w:tcBorders>
                  <w:vAlign w:val="center"/>
                </w:tcPr>
                <w:p w14:paraId="3C9D5A61">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single"/>
                    </w:rPr>
                  </w:pPr>
                  <w:r>
                    <w:rPr>
                      <w:rFonts w:hint="eastAsia" w:ascii="Times New Roman" w:hAnsi="Times New Roman" w:eastAsia="宋体" w:cs="Times New Roman"/>
                      <w:bCs/>
                      <w:color w:val="auto"/>
                      <w:sz w:val="21"/>
                      <w:szCs w:val="21"/>
                      <w:highlight w:val="none"/>
                      <w:u w:val="single"/>
                      <w:lang w:eastAsia="zh-CN"/>
                    </w:rPr>
                    <w:t>须</w:t>
                  </w:r>
                  <w:r>
                    <w:rPr>
                      <w:rFonts w:hint="default" w:ascii="Times New Roman" w:hAnsi="Times New Roman" w:eastAsia="宋体" w:cs="Times New Roman"/>
                      <w:bCs/>
                      <w:color w:val="auto"/>
                      <w:sz w:val="21"/>
                      <w:szCs w:val="21"/>
                      <w:highlight w:val="none"/>
                      <w:u w:val="single"/>
                    </w:rPr>
                    <w:t>符合规划</w:t>
                  </w:r>
                </w:p>
              </w:tc>
              <w:tc>
                <w:tcPr>
                  <w:tcW w:w="4155" w:type="dxa"/>
                  <w:tcBorders>
                    <w:tl2br w:val="nil"/>
                    <w:tr2bl w:val="nil"/>
                  </w:tcBorders>
                  <w:vAlign w:val="center"/>
                </w:tcPr>
                <w:p w14:paraId="323B30A0">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single"/>
                    </w:rPr>
                  </w:pPr>
                  <w:r>
                    <w:rPr>
                      <w:rFonts w:hint="eastAsia" w:ascii="Times New Roman" w:hAnsi="Times New Roman" w:eastAsia="宋体" w:cs="Times New Roman"/>
                      <w:bCs/>
                      <w:color w:val="auto"/>
                      <w:sz w:val="21"/>
                      <w:szCs w:val="21"/>
                      <w:highlight w:val="none"/>
                      <w:u w:val="single"/>
                      <w:lang w:eastAsia="zh-CN"/>
                    </w:rPr>
                    <w:t>本项目</w:t>
                  </w:r>
                  <w:r>
                    <w:rPr>
                      <w:rFonts w:hint="eastAsia" w:ascii="Times New Roman" w:hAnsi="Times New Roman" w:eastAsia="宋体" w:cs="Times New Roman"/>
                      <w:bCs/>
                      <w:color w:val="auto"/>
                      <w:sz w:val="21"/>
                      <w:szCs w:val="21"/>
                      <w:highlight w:val="none"/>
                      <w:u w:val="single"/>
                      <w:lang w:val="en-US" w:eastAsia="zh-CN"/>
                    </w:rPr>
                    <w:t>位于龙山县高铁新区，根据龙山县自然资源局出具的用地预审意见，属于建设用地。</w:t>
                  </w:r>
                </w:p>
              </w:tc>
              <w:tc>
                <w:tcPr>
                  <w:tcW w:w="596" w:type="dxa"/>
                  <w:tcBorders>
                    <w:tl2br w:val="nil"/>
                    <w:tr2bl w:val="nil"/>
                  </w:tcBorders>
                  <w:vAlign w:val="center"/>
                </w:tcPr>
                <w:p w14:paraId="34ACEDFF">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single"/>
                    </w:rPr>
                  </w:pPr>
                  <w:r>
                    <w:rPr>
                      <w:rFonts w:hint="default" w:ascii="Times New Roman" w:hAnsi="Times New Roman" w:eastAsia="宋体" w:cs="Times New Roman"/>
                      <w:bCs/>
                      <w:color w:val="auto"/>
                      <w:sz w:val="21"/>
                      <w:szCs w:val="21"/>
                      <w:highlight w:val="none"/>
                      <w:u w:val="single"/>
                    </w:rPr>
                    <w:t>符合</w:t>
                  </w:r>
                </w:p>
              </w:tc>
            </w:tr>
            <w:tr w14:paraId="6A3305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2" w:type="dxa"/>
                  <w:tcBorders>
                    <w:tl2br w:val="nil"/>
                    <w:tr2bl w:val="nil"/>
                  </w:tcBorders>
                  <w:vAlign w:val="center"/>
                </w:tcPr>
                <w:p w14:paraId="68B744C3">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bCs/>
                      <w:color w:val="auto"/>
                      <w:sz w:val="21"/>
                      <w:szCs w:val="21"/>
                      <w:highlight w:val="none"/>
                      <w:u w:val="none"/>
                    </w:rPr>
                    <w:t>2</w:t>
                  </w:r>
                </w:p>
              </w:tc>
              <w:tc>
                <w:tcPr>
                  <w:tcW w:w="1560" w:type="dxa"/>
                  <w:tcBorders>
                    <w:tl2br w:val="nil"/>
                    <w:tr2bl w:val="nil"/>
                  </w:tcBorders>
                  <w:vAlign w:val="center"/>
                </w:tcPr>
                <w:p w14:paraId="1DB399A6">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eastAsia" w:ascii="Times New Roman" w:hAnsi="Times New Roman" w:eastAsia="宋体" w:cs="Times New Roman"/>
                      <w:bCs/>
                      <w:color w:val="auto"/>
                      <w:sz w:val="21"/>
                      <w:szCs w:val="21"/>
                      <w:highlight w:val="none"/>
                      <w:u w:val="none"/>
                      <w:lang w:eastAsia="zh-CN"/>
                    </w:rPr>
                  </w:pPr>
                  <w:r>
                    <w:rPr>
                      <w:rFonts w:hint="eastAsia" w:ascii="Times New Roman" w:hAnsi="Times New Roman" w:eastAsia="宋体" w:cs="Times New Roman"/>
                      <w:bCs/>
                      <w:color w:val="auto"/>
                      <w:sz w:val="21"/>
                      <w:szCs w:val="21"/>
                      <w:highlight w:val="none"/>
                      <w:u w:val="none"/>
                      <w:lang w:eastAsia="zh-CN"/>
                    </w:rPr>
                    <w:t>应不受洪水威胁，地形、地质条件好</w:t>
                  </w:r>
                </w:p>
              </w:tc>
              <w:tc>
                <w:tcPr>
                  <w:tcW w:w="4155" w:type="dxa"/>
                  <w:tcBorders>
                    <w:tl2br w:val="nil"/>
                    <w:tr2bl w:val="nil"/>
                  </w:tcBorders>
                  <w:vAlign w:val="center"/>
                </w:tcPr>
                <w:p w14:paraId="7983E9EF">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none"/>
                      <w:lang w:eastAsia="zh-CN"/>
                    </w:rPr>
                  </w:pPr>
                  <w:r>
                    <w:rPr>
                      <w:rFonts w:hint="eastAsia" w:ascii="Times New Roman" w:hAnsi="Times New Roman" w:eastAsia="宋体" w:cs="Times New Roman"/>
                      <w:bCs/>
                      <w:color w:val="auto"/>
                      <w:sz w:val="21"/>
                      <w:szCs w:val="21"/>
                      <w:highlight w:val="none"/>
                      <w:u w:val="none"/>
                      <w:lang w:eastAsia="zh-CN"/>
                    </w:rPr>
                    <w:t>本项目直线距离</w:t>
                  </w:r>
                  <w:r>
                    <w:rPr>
                      <w:rFonts w:hint="eastAsia" w:ascii="Times New Roman" w:hAnsi="Times New Roman" w:eastAsia="宋体" w:cs="Times New Roman"/>
                      <w:bCs/>
                      <w:color w:val="auto"/>
                      <w:sz w:val="21"/>
                      <w:szCs w:val="21"/>
                      <w:highlight w:val="none"/>
                      <w:u w:val="none"/>
                      <w:lang w:val="en-US" w:eastAsia="zh-CN"/>
                    </w:rPr>
                    <w:t>果利河2km，距离东侧的杨立沟100米，厂址标高高于杨立沟标高，高于洪水位，不受洪水影响。根据现场踏勘，</w:t>
                  </w:r>
                  <w:r>
                    <w:rPr>
                      <w:rFonts w:hint="default" w:ascii="Times New Roman" w:hAnsi="Times New Roman" w:eastAsia="宋体" w:cs="Times New Roman"/>
                      <w:bCs/>
                      <w:color w:val="auto"/>
                      <w:sz w:val="21"/>
                      <w:szCs w:val="21"/>
                      <w:highlight w:val="none"/>
                      <w:u w:val="none"/>
                    </w:rPr>
                    <w:t>厂址附近未见滑坡、崩塌、泥石流、移动沙丘等不良工程现象，厂区内底层无褶皱、断裂和大破碎等地质构造现象。地质构造稳定</w:t>
                  </w:r>
                </w:p>
              </w:tc>
              <w:tc>
                <w:tcPr>
                  <w:tcW w:w="596" w:type="dxa"/>
                  <w:tcBorders>
                    <w:tl2br w:val="nil"/>
                    <w:tr2bl w:val="nil"/>
                  </w:tcBorders>
                  <w:vAlign w:val="center"/>
                </w:tcPr>
                <w:p w14:paraId="2498247F">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bCs/>
                      <w:color w:val="auto"/>
                      <w:sz w:val="21"/>
                      <w:szCs w:val="21"/>
                      <w:highlight w:val="none"/>
                      <w:u w:val="none"/>
                    </w:rPr>
                    <w:t>符合</w:t>
                  </w:r>
                </w:p>
              </w:tc>
            </w:tr>
            <w:tr w14:paraId="567370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2" w:type="dxa"/>
                  <w:tcBorders>
                    <w:tl2br w:val="nil"/>
                    <w:tr2bl w:val="nil"/>
                  </w:tcBorders>
                  <w:vAlign w:val="center"/>
                </w:tcPr>
                <w:p w14:paraId="4321C8AC">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bCs/>
                      <w:color w:val="auto"/>
                      <w:sz w:val="21"/>
                      <w:szCs w:val="21"/>
                      <w:highlight w:val="none"/>
                      <w:u w:val="none"/>
                    </w:rPr>
                    <w:t>3</w:t>
                  </w:r>
                </w:p>
              </w:tc>
              <w:tc>
                <w:tcPr>
                  <w:tcW w:w="1560" w:type="dxa"/>
                  <w:tcBorders>
                    <w:tl2br w:val="nil"/>
                    <w:tr2bl w:val="nil"/>
                  </w:tcBorders>
                  <w:vAlign w:val="center"/>
                </w:tcPr>
                <w:p w14:paraId="6E34329B">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eastAsia" w:ascii="Times New Roman" w:hAnsi="Times New Roman" w:eastAsia="宋体" w:cs="Times New Roman"/>
                      <w:bCs/>
                      <w:color w:val="auto"/>
                      <w:sz w:val="21"/>
                      <w:szCs w:val="21"/>
                      <w:highlight w:val="none"/>
                      <w:u w:val="none"/>
                      <w:lang w:eastAsia="zh-CN"/>
                    </w:rPr>
                  </w:pPr>
                  <w:r>
                    <w:rPr>
                      <w:rFonts w:hint="eastAsia" w:ascii="Times New Roman" w:hAnsi="Times New Roman" w:eastAsia="宋体" w:cs="Times New Roman"/>
                      <w:bCs/>
                      <w:color w:val="auto"/>
                      <w:sz w:val="21"/>
                      <w:szCs w:val="21"/>
                      <w:highlight w:val="none"/>
                      <w:u w:val="none"/>
                      <w:lang w:eastAsia="zh-CN"/>
                    </w:rPr>
                    <w:t>便于收集废水</w:t>
                  </w:r>
                </w:p>
              </w:tc>
              <w:tc>
                <w:tcPr>
                  <w:tcW w:w="4155" w:type="dxa"/>
                  <w:tcBorders>
                    <w:tl2br w:val="nil"/>
                    <w:tr2bl w:val="nil"/>
                  </w:tcBorders>
                  <w:vAlign w:val="center"/>
                </w:tcPr>
                <w:p w14:paraId="303CB26F">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eastAsia" w:ascii="Times New Roman" w:hAnsi="Times New Roman" w:eastAsia="宋体" w:cs="Times New Roman"/>
                      <w:bCs/>
                      <w:color w:val="auto"/>
                      <w:sz w:val="21"/>
                      <w:szCs w:val="21"/>
                      <w:highlight w:val="none"/>
                      <w:u w:val="none"/>
                      <w:lang w:eastAsia="zh-CN"/>
                    </w:rPr>
                  </w:pPr>
                  <w:r>
                    <w:rPr>
                      <w:rFonts w:hint="eastAsia" w:ascii="Times New Roman" w:hAnsi="Times New Roman" w:eastAsia="宋体" w:cs="Times New Roman"/>
                      <w:bCs/>
                      <w:color w:val="auto"/>
                      <w:sz w:val="21"/>
                      <w:szCs w:val="21"/>
                      <w:highlight w:val="none"/>
                      <w:u w:val="none"/>
                      <w:lang w:eastAsia="zh-CN"/>
                    </w:rPr>
                    <w:t>本项目</w:t>
                  </w:r>
                  <w:r>
                    <w:rPr>
                      <w:rFonts w:hint="default" w:ascii="Times New Roman" w:hAnsi="Times New Roman" w:eastAsia="宋体" w:cs="Times New Roman"/>
                      <w:bCs/>
                      <w:color w:val="auto"/>
                      <w:sz w:val="21"/>
                      <w:szCs w:val="21"/>
                      <w:highlight w:val="none"/>
                      <w:u w:val="none"/>
                    </w:rPr>
                    <w:t>纳污范围为</w:t>
                  </w:r>
                  <w:r>
                    <w:rPr>
                      <w:rFonts w:hint="eastAsia" w:ascii="Times New Roman" w:hAnsi="Times New Roman" w:eastAsia="宋体" w:cs="Times New Roman"/>
                      <w:bCs/>
                      <w:color w:val="auto"/>
                      <w:sz w:val="21"/>
                      <w:szCs w:val="21"/>
                      <w:highlight w:val="none"/>
                      <w:u w:val="none"/>
                      <w:lang w:val="en-US" w:eastAsia="zh-CN"/>
                    </w:rPr>
                    <w:t>高铁新城片区</w:t>
                  </w:r>
                  <w:r>
                    <w:rPr>
                      <w:rFonts w:hint="default" w:ascii="Times New Roman" w:hAnsi="Times New Roman" w:eastAsia="宋体" w:cs="Times New Roman"/>
                      <w:bCs/>
                      <w:color w:val="auto"/>
                      <w:sz w:val="21"/>
                      <w:szCs w:val="21"/>
                      <w:highlight w:val="none"/>
                      <w:u w:val="none"/>
                    </w:rPr>
                    <w:t>规划范围内的</w:t>
                  </w:r>
                  <w:r>
                    <w:rPr>
                      <w:rFonts w:hint="eastAsia" w:ascii="Times New Roman" w:hAnsi="Times New Roman" w:eastAsia="宋体" w:cs="Times New Roman"/>
                      <w:bCs/>
                      <w:color w:val="auto"/>
                      <w:sz w:val="21"/>
                      <w:szCs w:val="21"/>
                      <w:highlight w:val="none"/>
                      <w:u w:val="none"/>
                      <w:lang w:val="en-US" w:eastAsia="zh-CN"/>
                    </w:rPr>
                    <w:t>生活污水</w:t>
                  </w:r>
                  <w:r>
                    <w:rPr>
                      <w:rFonts w:hint="default" w:ascii="Times New Roman" w:hAnsi="Times New Roman" w:eastAsia="宋体" w:cs="Times New Roman"/>
                      <w:bCs/>
                      <w:color w:val="auto"/>
                      <w:sz w:val="21"/>
                      <w:szCs w:val="21"/>
                      <w:highlight w:val="none"/>
                      <w:u w:val="none"/>
                    </w:rPr>
                    <w:t>，纳污区域主要坡向为</w:t>
                  </w:r>
                  <w:r>
                    <w:rPr>
                      <w:rFonts w:hint="eastAsia" w:ascii="Times New Roman" w:hAnsi="Times New Roman" w:eastAsia="宋体" w:cs="Times New Roman"/>
                      <w:bCs/>
                      <w:color w:val="auto"/>
                      <w:sz w:val="21"/>
                      <w:szCs w:val="21"/>
                      <w:highlight w:val="none"/>
                      <w:u w:val="none"/>
                      <w:lang w:eastAsia="zh-CN"/>
                    </w:rPr>
                    <w:t>北向南</w:t>
                  </w:r>
                  <w:r>
                    <w:rPr>
                      <w:rFonts w:hint="default" w:ascii="Times New Roman" w:hAnsi="Times New Roman" w:eastAsia="宋体" w:cs="Times New Roman"/>
                      <w:bCs/>
                      <w:color w:val="auto"/>
                      <w:sz w:val="21"/>
                      <w:szCs w:val="21"/>
                      <w:highlight w:val="none"/>
                      <w:u w:val="none"/>
                    </w:rPr>
                    <w:t>，厂址选择在</w:t>
                  </w:r>
                  <w:r>
                    <w:rPr>
                      <w:rFonts w:hint="eastAsia" w:ascii="Times New Roman" w:hAnsi="Times New Roman" w:eastAsia="宋体" w:cs="Times New Roman"/>
                      <w:bCs/>
                      <w:color w:val="auto"/>
                      <w:sz w:val="21"/>
                      <w:szCs w:val="21"/>
                      <w:highlight w:val="none"/>
                      <w:u w:val="none"/>
                      <w:lang w:eastAsia="zh-CN"/>
                    </w:rPr>
                    <w:t>高铁新城片区南侧，便于废水重力自流进入污水处理厂</w:t>
                  </w:r>
                </w:p>
              </w:tc>
              <w:tc>
                <w:tcPr>
                  <w:tcW w:w="596" w:type="dxa"/>
                  <w:tcBorders>
                    <w:tl2br w:val="nil"/>
                    <w:tr2bl w:val="nil"/>
                  </w:tcBorders>
                  <w:vAlign w:val="center"/>
                </w:tcPr>
                <w:p w14:paraId="7079BEF2">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bCs/>
                      <w:color w:val="auto"/>
                      <w:sz w:val="21"/>
                      <w:szCs w:val="21"/>
                      <w:highlight w:val="none"/>
                      <w:u w:val="none"/>
                    </w:rPr>
                    <w:t>符合</w:t>
                  </w:r>
                </w:p>
              </w:tc>
            </w:tr>
            <w:tr w14:paraId="73E3AD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2" w:type="dxa"/>
                  <w:tcBorders>
                    <w:tl2br w:val="nil"/>
                    <w:tr2bl w:val="nil"/>
                  </w:tcBorders>
                  <w:vAlign w:val="center"/>
                </w:tcPr>
                <w:p w14:paraId="02650657">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bCs/>
                      <w:color w:val="auto"/>
                      <w:sz w:val="21"/>
                      <w:szCs w:val="21"/>
                      <w:highlight w:val="none"/>
                      <w:u w:val="none"/>
                    </w:rPr>
                    <w:t>4</w:t>
                  </w:r>
                </w:p>
              </w:tc>
              <w:tc>
                <w:tcPr>
                  <w:tcW w:w="1560" w:type="dxa"/>
                  <w:tcBorders>
                    <w:tl2br w:val="nil"/>
                    <w:tr2bl w:val="nil"/>
                  </w:tcBorders>
                  <w:vAlign w:val="center"/>
                </w:tcPr>
                <w:p w14:paraId="5E7DA872">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none"/>
                      <w:lang w:eastAsia="zh-CN"/>
                    </w:rPr>
                  </w:pPr>
                  <w:r>
                    <w:rPr>
                      <w:rFonts w:hint="default" w:ascii="Times New Roman" w:hAnsi="Times New Roman" w:eastAsia="宋体" w:cs="Times New Roman"/>
                      <w:bCs/>
                      <w:color w:val="auto"/>
                      <w:sz w:val="21"/>
                      <w:szCs w:val="21"/>
                      <w:highlight w:val="none"/>
                      <w:u w:val="none"/>
                      <w:lang w:val="en-US" w:eastAsia="zh-CN"/>
                    </w:rPr>
                    <w:t>尽量少占或不占农田耕地</w:t>
                  </w:r>
                </w:p>
              </w:tc>
              <w:tc>
                <w:tcPr>
                  <w:tcW w:w="4155" w:type="dxa"/>
                  <w:tcBorders>
                    <w:tl2br w:val="nil"/>
                    <w:tr2bl w:val="nil"/>
                  </w:tcBorders>
                  <w:vAlign w:val="center"/>
                </w:tcPr>
                <w:p w14:paraId="441F4C48">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jc w:val="center"/>
                    <w:textAlignment w:val="auto"/>
                    <w:rPr>
                      <w:rFonts w:hint="default" w:ascii="Times New Roman" w:hAnsi="Times New Roman" w:eastAsia="宋体" w:cs="Times New Roman"/>
                      <w:bCs/>
                      <w:color w:val="auto"/>
                      <w:sz w:val="21"/>
                      <w:szCs w:val="21"/>
                      <w:highlight w:val="none"/>
                      <w:u w:val="none"/>
                    </w:rPr>
                  </w:pPr>
                  <w:r>
                    <w:rPr>
                      <w:rFonts w:hint="eastAsia" w:ascii="Times New Roman" w:hAnsi="Times New Roman" w:eastAsia="宋体" w:cs="Times New Roman"/>
                      <w:bCs/>
                      <w:color w:val="auto"/>
                      <w:sz w:val="21"/>
                      <w:szCs w:val="21"/>
                      <w:highlight w:val="none"/>
                      <w:u w:val="none"/>
                      <w:lang w:eastAsia="zh-CN"/>
                    </w:rPr>
                    <w:t>项</w:t>
                  </w:r>
                  <w:r>
                    <w:rPr>
                      <w:rFonts w:hint="eastAsia" w:ascii="Times New Roman" w:hAnsi="Times New Roman" w:eastAsia="宋体" w:cs="Times New Roman"/>
                      <w:b w:val="0"/>
                      <w:bCs/>
                      <w:color w:val="auto"/>
                      <w:sz w:val="21"/>
                      <w:szCs w:val="21"/>
                      <w:highlight w:val="none"/>
                      <w:u w:val="none"/>
                      <w:lang w:eastAsia="zh-CN"/>
                    </w:rPr>
                    <w:t>目占地为慌地，不占用基本农田等禁止开发用地</w:t>
                  </w:r>
                </w:p>
              </w:tc>
              <w:tc>
                <w:tcPr>
                  <w:tcW w:w="596" w:type="dxa"/>
                  <w:tcBorders>
                    <w:tl2br w:val="nil"/>
                    <w:tr2bl w:val="nil"/>
                  </w:tcBorders>
                  <w:vAlign w:val="center"/>
                </w:tcPr>
                <w:p w14:paraId="5F16E3D5">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bCs/>
                      <w:color w:val="auto"/>
                      <w:sz w:val="21"/>
                      <w:szCs w:val="21"/>
                      <w:highlight w:val="none"/>
                      <w:u w:val="none"/>
                    </w:rPr>
                    <w:t>符合</w:t>
                  </w:r>
                </w:p>
              </w:tc>
            </w:tr>
            <w:tr w14:paraId="792E2C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2" w:type="dxa"/>
                  <w:tcBorders>
                    <w:tl2br w:val="nil"/>
                    <w:tr2bl w:val="nil"/>
                  </w:tcBorders>
                  <w:vAlign w:val="center"/>
                </w:tcPr>
                <w:p w14:paraId="5BCC9635">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single"/>
                    </w:rPr>
                  </w:pPr>
                  <w:r>
                    <w:rPr>
                      <w:rFonts w:hint="default" w:ascii="Times New Roman" w:hAnsi="Times New Roman" w:eastAsia="宋体" w:cs="Times New Roman"/>
                      <w:bCs/>
                      <w:color w:val="auto"/>
                      <w:sz w:val="21"/>
                      <w:szCs w:val="21"/>
                      <w:highlight w:val="none"/>
                      <w:u w:val="single"/>
                    </w:rPr>
                    <w:t>5</w:t>
                  </w:r>
                </w:p>
              </w:tc>
              <w:tc>
                <w:tcPr>
                  <w:tcW w:w="1560" w:type="dxa"/>
                  <w:tcBorders>
                    <w:tl2br w:val="nil"/>
                    <w:tr2bl w:val="nil"/>
                  </w:tcBorders>
                  <w:vAlign w:val="center"/>
                </w:tcPr>
                <w:p w14:paraId="7B6DEEC9">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eastAsia" w:ascii="Times New Roman" w:hAnsi="Times New Roman" w:eastAsia="宋体" w:cs="Times New Roman"/>
                      <w:bCs/>
                      <w:color w:val="auto"/>
                      <w:sz w:val="21"/>
                      <w:szCs w:val="21"/>
                      <w:highlight w:val="none"/>
                      <w:u w:val="single"/>
                      <w:lang w:eastAsia="zh-CN"/>
                    </w:rPr>
                  </w:pPr>
                  <w:r>
                    <w:rPr>
                      <w:rFonts w:hint="default" w:ascii="Times New Roman" w:hAnsi="Times New Roman" w:eastAsia="宋体" w:cs="Times New Roman"/>
                      <w:bCs/>
                      <w:color w:val="auto"/>
                      <w:sz w:val="21"/>
                      <w:szCs w:val="21"/>
                      <w:highlight w:val="none"/>
                      <w:u w:val="single"/>
                    </w:rPr>
                    <w:t>最好选择在城市主导方向的下风向，尽可能避开居民点和其它环境敏感的建筑，有一定的卫生防护距离。</w:t>
                  </w:r>
                </w:p>
              </w:tc>
              <w:tc>
                <w:tcPr>
                  <w:tcW w:w="4155" w:type="dxa"/>
                  <w:tcBorders>
                    <w:tl2br w:val="nil"/>
                    <w:tr2bl w:val="nil"/>
                  </w:tcBorders>
                  <w:vAlign w:val="center"/>
                </w:tcPr>
                <w:p w14:paraId="003004D2">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single"/>
                      <w:lang w:val="en-US" w:eastAsia="zh-CN"/>
                    </w:rPr>
                  </w:pPr>
                  <w:r>
                    <w:rPr>
                      <w:rFonts w:hint="eastAsia" w:ascii="Times New Roman" w:hAnsi="Times New Roman" w:eastAsia="宋体" w:cs="Times New Roman"/>
                      <w:bCs/>
                      <w:color w:val="auto"/>
                      <w:sz w:val="21"/>
                      <w:szCs w:val="21"/>
                      <w:highlight w:val="none"/>
                      <w:u w:val="single"/>
                      <w:lang w:val="en-US" w:eastAsia="zh-CN"/>
                    </w:rPr>
                    <w:t xml:space="preserve"> 常年主导风向为西南、东南风，本项目位于龙山县县城东北侧，位于常年主导风向的侧风向；</w:t>
                  </w:r>
                  <w:r>
                    <w:rPr>
                      <w:rFonts w:hint="default" w:ascii="Times New Roman" w:hAnsi="Times New Roman" w:eastAsia="宋体" w:cs="Times New Roman"/>
                      <w:bCs/>
                      <w:color w:val="auto"/>
                      <w:sz w:val="21"/>
                      <w:szCs w:val="21"/>
                      <w:highlight w:val="none"/>
                      <w:u w:val="single"/>
                    </w:rPr>
                    <w:t>项目</w:t>
                  </w:r>
                  <w:r>
                    <w:rPr>
                      <w:rFonts w:hint="eastAsia" w:ascii="Times New Roman" w:hAnsi="Times New Roman" w:eastAsia="宋体" w:cs="Times New Roman"/>
                      <w:bCs/>
                      <w:color w:val="auto"/>
                      <w:sz w:val="21"/>
                      <w:szCs w:val="21"/>
                      <w:highlight w:val="none"/>
                      <w:u w:val="single"/>
                      <w:lang w:eastAsia="zh-CN"/>
                    </w:rPr>
                    <w:t>厂址所在地最近敏感点位于</w:t>
                  </w:r>
                  <w:r>
                    <w:rPr>
                      <w:rFonts w:hint="eastAsia" w:ascii="Times New Roman" w:hAnsi="Times New Roman" w:eastAsia="宋体" w:cs="Times New Roman"/>
                      <w:bCs/>
                      <w:color w:val="auto"/>
                      <w:sz w:val="21"/>
                      <w:szCs w:val="21"/>
                      <w:highlight w:val="none"/>
                      <w:u w:val="single"/>
                      <w:lang w:val="en-US" w:eastAsia="zh-CN"/>
                    </w:rPr>
                    <w:t>西侧200米岩子坡，东侧200米的胡家院子处，均有山体阻隔，本项目污水处理设施布置在厂区的中部，远离居民</w:t>
                  </w:r>
                </w:p>
              </w:tc>
              <w:tc>
                <w:tcPr>
                  <w:tcW w:w="596" w:type="dxa"/>
                  <w:tcBorders>
                    <w:tl2br w:val="nil"/>
                    <w:tr2bl w:val="nil"/>
                  </w:tcBorders>
                  <w:vAlign w:val="center"/>
                </w:tcPr>
                <w:p w14:paraId="6B5DD25E">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single"/>
                    </w:rPr>
                  </w:pPr>
                  <w:r>
                    <w:rPr>
                      <w:rFonts w:hint="default" w:ascii="Times New Roman" w:hAnsi="Times New Roman" w:eastAsia="宋体" w:cs="Times New Roman"/>
                      <w:bCs/>
                      <w:color w:val="auto"/>
                      <w:sz w:val="21"/>
                      <w:szCs w:val="21"/>
                      <w:highlight w:val="none"/>
                      <w:u w:val="single"/>
                    </w:rPr>
                    <w:t>符合</w:t>
                  </w:r>
                </w:p>
              </w:tc>
            </w:tr>
            <w:tr w14:paraId="04CB1D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2" w:type="dxa"/>
                  <w:tcBorders>
                    <w:tl2br w:val="nil"/>
                    <w:tr2bl w:val="nil"/>
                  </w:tcBorders>
                  <w:vAlign w:val="center"/>
                </w:tcPr>
                <w:p w14:paraId="34AEA05E">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eastAsia" w:ascii="Times New Roman" w:hAnsi="Times New Roman" w:eastAsia="宋体" w:cs="Times New Roman"/>
                      <w:bCs/>
                      <w:color w:val="auto"/>
                      <w:sz w:val="21"/>
                      <w:szCs w:val="21"/>
                      <w:highlight w:val="none"/>
                      <w:u w:val="none"/>
                      <w:lang w:eastAsia="zh-CN"/>
                    </w:rPr>
                  </w:pPr>
                  <w:r>
                    <w:rPr>
                      <w:rFonts w:hint="eastAsia" w:ascii="Times New Roman" w:hAnsi="Times New Roman" w:eastAsia="宋体" w:cs="Times New Roman"/>
                      <w:bCs/>
                      <w:color w:val="auto"/>
                      <w:sz w:val="21"/>
                      <w:szCs w:val="21"/>
                      <w:highlight w:val="none"/>
                      <w:u w:val="none"/>
                      <w:lang w:val="en-US" w:eastAsia="zh-CN"/>
                    </w:rPr>
                    <w:t>6</w:t>
                  </w:r>
                </w:p>
              </w:tc>
              <w:tc>
                <w:tcPr>
                  <w:tcW w:w="1560" w:type="dxa"/>
                  <w:tcBorders>
                    <w:tl2br w:val="nil"/>
                    <w:tr2bl w:val="nil"/>
                  </w:tcBorders>
                  <w:vAlign w:val="center"/>
                </w:tcPr>
                <w:p w14:paraId="58EE8487">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bCs/>
                      <w:color w:val="auto"/>
                      <w:sz w:val="21"/>
                      <w:szCs w:val="21"/>
                      <w:highlight w:val="none"/>
                      <w:u w:val="none"/>
                    </w:rPr>
                    <w:t>有方便的交通、运输、水电条件</w:t>
                  </w:r>
                </w:p>
              </w:tc>
              <w:tc>
                <w:tcPr>
                  <w:tcW w:w="4155" w:type="dxa"/>
                  <w:tcBorders>
                    <w:tl2br w:val="nil"/>
                    <w:tr2bl w:val="nil"/>
                  </w:tcBorders>
                  <w:vAlign w:val="center"/>
                </w:tcPr>
                <w:p w14:paraId="28B1983B">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none"/>
                      <w:lang w:val="en-US" w:eastAsia="zh-CN"/>
                    </w:rPr>
                  </w:pPr>
                  <w:r>
                    <w:rPr>
                      <w:rFonts w:hint="eastAsia" w:ascii="Times New Roman" w:hAnsi="Times New Roman" w:eastAsia="宋体" w:cs="Times New Roman"/>
                      <w:bCs/>
                      <w:color w:val="auto"/>
                      <w:sz w:val="21"/>
                      <w:szCs w:val="21"/>
                      <w:highlight w:val="none"/>
                      <w:u w:val="none"/>
                      <w:lang w:eastAsia="zh-CN"/>
                    </w:rPr>
                    <w:t>项目位于规划区，可接入市政水电</w:t>
                  </w:r>
                </w:p>
              </w:tc>
              <w:tc>
                <w:tcPr>
                  <w:tcW w:w="596" w:type="dxa"/>
                  <w:tcBorders>
                    <w:tl2br w:val="nil"/>
                    <w:tr2bl w:val="nil"/>
                  </w:tcBorders>
                  <w:vAlign w:val="center"/>
                </w:tcPr>
                <w:p w14:paraId="4BEE43C2">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none"/>
                    </w:rPr>
                  </w:pPr>
                  <w:r>
                    <w:rPr>
                      <w:rFonts w:hint="default" w:ascii="Times New Roman" w:hAnsi="Times New Roman" w:eastAsia="宋体" w:cs="Times New Roman"/>
                      <w:bCs/>
                      <w:color w:val="auto"/>
                      <w:sz w:val="21"/>
                      <w:szCs w:val="21"/>
                      <w:highlight w:val="none"/>
                      <w:u w:val="none"/>
                    </w:rPr>
                    <w:t>符合</w:t>
                  </w:r>
                </w:p>
              </w:tc>
            </w:tr>
            <w:tr w14:paraId="382189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2" w:type="dxa"/>
                  <w:tcBorders>
                    <w:tl2br w:val="nil"/>
                    <w:tr2bl w:val="nil"/>
                  </w:tcBorders>
                  <w:vAlign w:val="center"/>
                </w:tcPr>
                <w:p w14:paraId="32DA24C6">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eastAsia" w:ascii="Times New Roman" w:hAnsi="Times New Roman" w:eastAsia="宋体" w:cs="Times New Roman"/>
                      <w:bCs/>
                      <w:color w:val="auto"/>
                      <w:sz w:val="21"/>
                      <w:szCs w:val="21"/>
                      <w:highlight w:val="none"/>
                      <w:u w:val="single"/>
                      <w:lang w:eastAsia="zh-CN"/>
                    </w:rPr>
                  </w:pPr>
                  <w:r>
                    <w:rPr>
                      <w:rFonts w:hint="eastAsia" w:ascii="Times New Roman" w:hAnsi="Times New Roman" w:eastAsia="宋体" w:cs="Times New Roman"/>
                      <w:bCs/>
                      <w:color w:val="auto"/>
                      <w:sz w:val="21"/>
                      <w:szCs w:val="21"/>
                      <w:highlight w:val="none"/>
                      <w:u w:val="single"/>
                      <w:lang w:val="en-US" w:eastAsia="zh-CN"/>
                    </w:rPr>
                    <w:t>7</w:t>
                  </w:r>
                </w:p>
              </w:tc>
              <w:tc>
                <w:tcPr>
                  <w:tcW w:w="1560" w:type="dxa"/>
                  <w:tcBorders>
                    <w:tl2br w:val="nil"/>
                    <w:tr2bl w:val="nil"/>
                  </w:tcBorders>
                  <w:vAlign w:val="center"/>
                </w:tcPr>
                <w:p w14:paraId="52E98623">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eastAsia" w:ascii="Times New Roman" w:hAnsi="Times New Roman" w:eastAsia="宋体" w:cs="Times New Roman"/>
                      <w:bCs/>
                      <w:color w:val="auto"/>
                      <w:sz w:val="21"/>
                      <w:szCs w:val="21"/>
                      <w:highlight w:val="none"/>
                      <w:u w:val="single"/>
                      <w:lang w:eastAsia="zh-CN"/>
                    </w:rPr>
                  </w:pPr>
                  <w:r>
                    <w:rPr>
                      <w:rFonts w:hint="default" w:ascii="Times New Roman" w:hAnsi="Times New Roman" w:eastAsia="宋体" w:cs="Times New Roman"/>
                      <w:bCs/>
                      <w:color w:val="auto"/>
                      <w:sz w:val="21"/>
                      <w:szCs w:val="21"/>
                      <w:highlight w:val="none"/>
                      <w:u w:val="single"/>
                    </w:rPr>
                    <w:t>便于排</w:t>
                  </w:r>
                  <w:r>
                    <w:rPr>
                      <w:rFonts w:hint="eastAsia" w:ascii="Times New Roman" w:hAnsi="Times New Roman" w:eastAsia="宋体" w:cs="Times New Roman"/>
                      <w:bCs/>
                      <w:color w:val="auto"/>
                      <w:sz w:val="21"/>
                      <w:szCs w:val="21"/>
                      <w:highlight w:val="none"/>
                      <w:u w:val="single"/>
                      <w:lang w:eastAsia="zh-CN"/>
                    </w:rPr>
                    <w:t>水</w:t>
                  </w:r>
                </w:p>
              </w:tc>
              <w:tc>
                <w:tcPr>
                  <w:tcW w:w="4155" w:type="dxa"/>
                  <w:tcBorders>
                    <w:tl2br w:val="nil"/>
                    <w:tr2bl w:val="nil"/>
                  </w:tcBorders>
                  <w:vAlign w:val="center"/>
                </w:tcPr>
                <w:p w14:paraId="301423A1">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single"/>
                    </w:rPr>
                  </w:pPr>
                  <w:r>
                    <w:rPr>
                      <w:rFonts w:hint="default" w:ascii="Times New Roman" w:hAnsi="Times New Roman" w:eastAsia="宋体" w:cs="Times New Roman"/>
                      <w:bCs/>
                      <w:color w:val="auto"/>
                      <w:sz w:val="21"/>
                      <w:szCs w:val="21"/>
                      <w:highlight w:val="none"/>
                      <w:u w:val="single"/>
                    </w:rPr>
                    <w:t>本项目距离</w:t>
                  </w:r>
                  <w:r>
                    <w:rPr>
                      <w:rFonts w:hint="eastAsia" w:ascii="Times New Roman" w:hAnsi="Times New Roman" w:eastAsia="宋体" w:cs="Times New Roman"/>
                      <w:bCs/>
                      <w:color w:val="auto"/>
                      <w:sz w:val="21"/>
                      <w:szCs w:val="21"/>
                      <w:highlight w:val="none"/>
                      <w:u w:val="single"/>
                      <w:lang w:val="en-US" w:eastAsia="zh-CN"/>
                    </w:rPr>
                    <w:t>果利河</w:t>
                  </w:r>
                  <w:r>
                    <w:rPr>
                      <w:rFonts w:hint="default" w:ascii="Times New Roman" w:hAnsi="Times New Roman" w:eastAsia="宋体" w:cs="Times New Roman"/>
                      <w:bCs/>
                      <w:color w:val="auto"/>
                      <w:sz w:val="21"/>
                      <w:szCs w:val="21"/>
                      <w:highlight w:val="none"/>
                      <w:u w:val="single"/>
                    </w:rPr>
                    <w:t>直线距离</w:t>
                  </w:r>
                  <w:r>
                    <w:rPr>
                      <w:rFonts w:hint="eastAsia" w:ascii="Times New Roman" w:hAnsi="Times New Roman" w:eastAsia="宋体" w:cs="Times New Roman"/>
                      <w:bCs/>
                      <w:color w:val="auto"/>
                      <w:sz w:val="21"/>
                      <w:szCs w:val="21"/>
                      <w:highlight w:val="none"/>
                      <w:u w:val="single"/>
                      <w:lang w:val="en-US" w:eastAsia="zh-CN"/>
                    </w:rPr>
                    <w:t>2k</w:t>
                  </w:r>
                  <w:r>
                    <w:rPr>
                      <w:rFonts w:hint="default" w:ascii="Times New Roman" w:hAnsi="Times New Roman" w:eastAsia="宋体" w:cs="Times New Roman"/>
                      <w:bCs/>
                      <w:color w:val="auto"/>
                      <w:sz w:val="21"/>
                      <w:szCs w:val="21"/>
                      <w:highlight w:val="none"/>
                      <w:u w:val="single"/>
                    </w:rPr>
                    <w:t>m，尾水拟通过专管排入</w:t>
                  </w:r>
                  <w:r>
                    <w:rPr>
                      <w:rFonts w:hint="eastAsia" w:ascii="Times New Roman" w:hAnsi="Times New Roman" w:eastAsia="宋体" w:cs="Times New Roman"/>
                      <w:bCs/>
                      <w:color w:val="auto"/>
                      <w:sz w:val="21"/>
                      <w:szCs w:val="21"/>
                      <w:highlight w:val="none"/>
                      <w:u w:val="single"/>
                      <w:lang w:val="en-US" w:eastAsia="zh-CN"/>
                    </w:rPr>
                    <w:t>果利河</w:t>
                  </w:r>
                  <w:r>
                    <w:rPr>
                      <w:rFonts w:hint="default" w:ascii="Times New Roman" w:hAnsi="Times New Roman" w:eastAsia="宋体" w:cs="Times New Roman"/>
                      <w:bCs/>
                      <w:color w:val="auto"/>
                      <w:sz w:val="21"/>
                      <w:szCs w:val="21"/>
                      <w:highlight w:val="none"/>
                      <w:u w:val="single"/>
                    </w:rPr>
                    <w:t>，</w:t>
                  </w:r>
                  <w:r>
                    <w:rPr>
                      <w:rFonts w:hint="eastAsia" w:ascii="Times New Roman" w:hAnsi="Times New Roman" w:eastAsia="宋体" w:cs="Times New Roman"/>
                      <w:bCs/>
                      <w:color w:val="auto"/>
                      <w:sz w:val="21"/>
                      <w:szCs w:val="21"/>
                      <w:highlight w:val="none"/>
                      <w:u w:val="single"/>
                      <w:lang w:eastAsia="zh-CN"/>
                    </w:rPr>
                    <w:t>根据入河排污可论证结果可知，果利河具备水环境容量，可以接纳本项目的废水，项目入河排污口设置可行，</w:t>
                  </w:r>
                  <w:r>
                    <w:rPr>
                      <w:rFonts w:hint="default" w:ascii="Times New Roman" w:hAnsi="Times New Roman" w:eastAsia="宋体" w:cs="Times New Roman"/>
                      <w:bCs/>
                      <w:color w:val="auto"/>
                      <w:sz w:val="21"/>
                      <w:szCs w:val="21"/>
                      <w:highlight w:val="none"/>
                      <w:u w:val="single"/>
                    </w:rPr>
                    <w:t>所需建设的尾水管长度</w:t>
                  </w:r>
                  <w:r>
                    <w:rPr>
                      <w:rFonts w:hint="eastAsia" w:ascii="Times New Roman" w:hAnsi="Times New Roman" w:eastAsia="宋体" w:cs="Times New Roman"/>
                      <w:bCs/>
                      <w:color w:val="auto"/>
                      <w:sz w:val="21"/>
                      <w:szCs w:val="21"/>
                      <w:highlight w:val="none"/>
                      <w:u w:val="single"/>
                      <w:lang w:eastAsia="zh-CN"/>
                    </w:rPr>
                    <w:t>约</w:t>
                  </w:r>
                  <w:r>
                    <w:rPr>
                      <w:rFonts w:hint="eastAsia" w:ascii="Times New Roman" w:hAnsi="Times New Roman" w:eastAsia="宋体" w:cs="Times New Roman"/>
                      <w:bCs/>
                      <w:color w:val="auto"/>
                      <w:sz w:val="21"/>
                      <w:szCs w:val="21"/>
                      <w:highlight w:val="none"/>
                      <w:u w:val="single"/>
                      <w:lang w:val="en-US" w:eastAsia="zh-CN"/>
                    </w:rPr>
                    <w:t>2.14km</w:t>
                  </w:r>
                  <w:r>
                    <w:rPr>
                      <w:rFonts w:hint="default" w:ascii="Times New Roman" w:hAnsi="Times New Roman" w:eastAsia="宋体" w:cs="Times New Roman"/>
                      <w:bCs/>
                      <w:color w:val="auto"/>
                      <w:sz w:val="21"/>
                      <w:szCs w:val="21"/>
                      <w:highlight w:val="none"/>
                      <w:u w:val="single"/>
                    </w:rPr>
                    <w:t>，工程建设难度及造价均可接受</w:t>
                  </w:r>
                </w:p>
              </w:tc>
              <w:tc>
                <w:tcPr>
                  <w:tcW w:w="596" w:type="dxa"/>
                  <w:tcBorders>
                    <w:tl2br w:val="nil"/>
                    <w:tr2bl w:val="nil"/>
                  </w:tcBorders>
                  <w:vAlign w:val="center"/>
                </w:tcPr>
                <w:p w14:paraId="6A1969FD">
                  <w:pPr>
                    <w:pStyle w:val="78"/>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left="0" w:leftChars="0" w:right="0" w:rightChars="0" w:firstLine="0" w:firstLineChars="0"/>
                    <w:textAlignment w:val="auto"/>
                    <w:rPr>
                      <w:rFonts w:hint="default" w:ascii="Times New Roman" w:hAnsi="Times New Roman" w:eastAsia="宋体" w:cs="Times New Roman"/>
                      <w:bCs/>
                      <w:color w:val="auto"/>
                      <w:sz w:val="21"/>
                      <w:szCs w:val="21"/>
                      <w:highlight w:val="none"/>
                      <w:u w:val="single"/>
                    </w:rPr>
                  </w:pPr>
                  <w:r>
                    <w:rPr>
                      <w:rFonts w:hint="default" w:ascii="Times New Roman" w:hAnsi="Times New Roman" w:eastAsia="宋体" w:cs="Times New Roman"/>
                      <w:bCs/>
                      <w:color w:val="auto"/>
                      <w:sz w:val="21"/>
                      <w:szCs w:val="21"/>
                      <w:highlight w:val="none"/>
                      <w:u w:val="single"/>
                    </w:rPr>
                    <w:t>符合</w:t>
                  </w:r>
                </w:p>
              </w:tc>
            </w:tr>
          </w:tbl>
          <w:p w14:paraId="65CFCA1A">
            <w:pPr>
              <w:spacing w:line="360" w:lineRule="auto"/>
              <w:ind w:firstLine="570"/>
              <w:rPr>
                <w:rFonts w:hint="default" w:ascii="Times New Roman" w:hAnsi="Times New Roman" w:eastAsia="宋体" w:cs="Times New Roman"/>
                <w:color w:val="auto"/>
                <w:spacing w:val="4"/>
                <w:sz w:val="24"/>
                <w:highlight w:val="none"/>
                <w:u w:val="none"/>
                <w:lang w:val="en-US" w:eastAsia="zh-CN"/>
              </w:rPr>
            </w:pPr>
            <w:r>
              <w:rPr>
                <w:rFonts w:hint="eastAsia" w:ascii="Times New Roman" w:hAnsi="Times New Roman" w:eastAsia="宋体" w:cs="Times New Roman"/>
                <w:color w:val="auto"/>
                <w:spacing w:val="4"/>
                <w:sz w:val="24"/>
                <w:highlight w:val="none"/>
                <w:u w:val="none"/>
                <w:lang w:val="en-US" w:eastAsia="zh-CN"/>
              </w:rPr>
              <w:t>由上表可知，本项目与</w:t>
            </w:r>
            <w:r>
              <w:rPr>
                <w:rFonts w:hint="default" w:ascii="Times New Roman" w:hAnsi="Times New Roman" w:eastAsia="宋体" w:cs="Times New Roman"/>
                <w:color w:val="auto"/>
                <w:spacing w:val="4"/>
                <w:sz w:val="24"/>
                <w:highlight w:val="none"/>
                <w:u w:val="none"/>
                <w:lang w:val="en-US" w:eastAsia="zh-CN"/>
              </w:rPr>
              <w:t>污水处理厂选址</w:t>
            </w:r>
            <w:r>
              <w:rPr>
                <w:rFonts w:hint="eastAsia" w:ascii="Times New Roman" w:hAnsi="Times New Roman" w:eastAsia="宋体" w:cs="Times New Roman"/>
                <w:color w:val="auto"/>
                <w:spacing w:val="4"/>
                <w:sz w:val="24"/>
                <w:highlight w:val="none"/>
                <w:u w:val="none"/>
                <w:lang w:val="en-US" w:eastAsia="zh-CN"/>
              </w:rPr>
              <w:t>原则相符合</w:t>
            </w:r>
            <w:r>
              <w:rPr>
                <w:rFonts w:hint="default" w:ascii="Times New Roman" w:hAnsi="Times New Roman" w:eastAsia="宋体" w:cs="Times New Roman"/>
                <w:color w:val="auto"/>
                <w:spacing w:val="4"/>
                <w:sz w:val="24"/>
                <w:highlight w:val="none"/>
                <w:u w:val="none"/>
                <w:lang w:val="en-US" w:eastAsia="zh-CN"/>
              </w:rPr>
              <w:t>。</w:t>
            </w:r>
          </w:p>
          <w:p w14:paraId="003F1229">
            <w:pPr>
              <w:spacing w:line="360" w:lineRule="auto"/>
              <w:ind w:firstLine="570"/>
              <w:rPr>
                <w:rFonts w:hint="default" w:ascii="Times New Roman" w:hAnsi="Times New Roman" w:eastAsia="宋体" w:cs="Times New Roman"/>
                <w:b/>
                <w:bCs/>
                <w:color w:val="auto"/>
                <w:spacing w:val="4"/>
                <w:sz w:val="24"/>
                <w:highlight w:val="none"/>
                <w:u w:val="none"/>
                <w:lang w:val="en-US" w:eastAsia="zh-CN"/>
              </w:rPr>
            </w:pPr>
            <w:r>
              <w:rPr>
                <w:rFonts w:hint="eastAsia" w:ascii="Times New Roman" w:hAnsi="Times New Roman" w:eastAsia="宋体" w:cs="Times New Roman"/>
                <w:b/>
                <w:bCs/>
                <w:color w:val="auto"/>
                <w:spacing w:val="4"/>
                <w:sz w:val="24"/>
                <w:highlight w:val="none"/>
                <w:u w:val="none"/>
                <w:lang w:val="en-US" w:eastAsia="zh-CN"/>
              </w:rPr>
              <w:t>（2）</w:t>
            </w:r>
            <w:r>
              <w:rPr>
                <w:rFonts w:hint="default" w:ascii="Times New Roman" w:hAnsi="Times New Roman" w:eastAsia="宋体" w:cs="Times New Roman"/>
                <w:b/>
                <w:bCs/>
                <w:color w:val="auto"/>
                <w:spacing w:val="4"/>
                <w:sz w:val="24"/>
                <w:highlight w:val="none"/>
                <w:u w:val="none"/>
                <w:lang w:val="en-US" w:eastAsia="zh-CN"/>
              </w:rPr>
              <w:t>从环境影响角度对选址的可行性分析</w:t>
            </w:r>
          </w:p>
          <w:p w14:paraId="63017675">
            <w:pPr>
              <w:spacing w:line="360" w:lineRule="auto"/>
              <w:ind w:firstLine="570"/>
              <w:rPr>
                <w:rFonts w:hint="eastAsia" w:ascii="Times New Roman" w:hAnsi="Times New Roman" w:eastAsia="宋体" w:cs="Times New Roman"/>
                <w:color w:val="auto"/>
                <w:spacing w:val="4"/>
                <w:sz w:val="24"/>
                <w:highlight w:val="none"/>
                <w:u w:val="none"/>
                <w:lang w:val="en-US" w:eastAsia="zh-CN"/>
              </w:rPr>
            </w:pPr>
            <w:r>
              <w:rPr>
                <w:rFonts w:hint="default" w:ascii="Times New Roman" w:hAnsi="Times New Roman" w:eastAsia="宋体" w:cs="Times New Roman"/>
                <w:color w:val="auto"/>
                <w:spacing w:val="4"/>
                <w:sz w:val="24"/>
                <w:highlight w:val="none"/>
                <w:u w:val="none"/>
                <w:lang w:val="en-US" w:eastAsia="zh-CN"/>
              </w:rPr>
              <w:t>本项目选址</w:t>
            </w:r>
            <w:r>
              <w:rPr>
                <w:rFonts w:hint="eastAsia" w:ascii="Times New Roman" w:hAnsi="Times New Roman" w:eastAsia="宋体" w:cs="Times New Roman"/>
                <w:color w:val="auto"/>
                <w:spacing w:val="4"/>
                <w:sz w:val="24"/>
                <w:highlight w:val="none"/>
                <w:u w:val="none"/>
                <w:lang w:val="en-US" w:eastAsia="zh-CN"/>
              </w:rPr>
              <w:t>区域场地平坦，大气扩散条件好，恶臭通过</w:t>
            </w:r>
            <w:r>
              <w:rPr>
                <w:rFonts w:hint="eastAsia" w:cs="Times New Roman"/>
                <w:color w:val="auto"/>
                <w:spacing w:val="4"/>
                <w:sz w:val="24"/>
                <w:highlight w:val="none"/>
                <w:u w:val="none"/>
                <w:lang w:val="en-US" w:eastAsia="zh-CN"/>
              </w:rPr>
              <w:t>密封收集经生物除臭设施处理后达标排放</w:t>
            </w:r>
            <w:r>
              <w:rPr>
                <w:rFonts w:hint="eastAsia" w:ascii="Times New Roman" w:hAnsi="Times New Roman" w:eastAsia="宋体" w:cs="Times New Roman"/>
                <w:color w:val="auto"/>
                <w:spacing w:val="4"/>
                <w:sz w:val="24"/>
                <w:highlight w:val="none"/>
                <w:u w:val="none"/>
                <w:lang w:val="en-US" w:eastAsia="zh-CN"/>
              </w:rPr>
              <w:t>，加强管理等措施对区域环境空气影响不大。项目厂址所在地位于</w:t>
            </w:r>
            <w:r>
              <w:rPr>
                <w:rFonts w:hint="eastAsia" w:cs="Times New Roman"/>
                <w:color w:val="auto"/>
                <w:spacing w:val="4"/>
                <w:sz w:val="24"/>
                <w:highlight w:val="none"/>
                <w:u w:val="none"/>
                <w:lang w:val="en-US" w:eastAsia="zh-CN"/>
              </w:rPr>
              <w:t>县城的东北侧</w:t>
            </w:r>
            <w:r>
              <w:rPr>
                <w:rFonts w:hint="eastAsia" w:ascii="Times New Roman" w:hAnsi="Times New Roman" w:eastAsia="宋体" w:cs="Times New Roman"/>
                <w:color w:val="auto"/>
                <w:spacing w:val="4"/>
                <w:sz w:val="24"/>
                <w:highlight w:val="none"/>
                <w:u w:val="none"/>
                <w:lang w:val="en-US" w:eastAsia="zh-CN"/>
              </w:rPr>
              <w:t>，位于常年主导风</w:t>
            </w:r>
            <w:r>
              <w:rPr>
                <w:rFonts w:hint="eastAsia" w:cs="Times New Roman"/>
                <w:color w:val="auto"/>
                <w:spacing w:val="4"/>
                <w:sz w:val="24"/>
                <w:highlight w:val="none"/>
                <w:u w:val="none"/>
                <w:lang w:val="en-US" w:eastAsia="zh-CN"/>
              </w:rPr>
              <w:t>西南、东南</w:t>
            </w:r>
            <w:r>
              <w:rPr>
                <w:rFonts w:hint="eastAsia" w:ascii="Times New Roman" w:hAnsi="Times New Roman" w:eastAsia="宋体" w:cs="Times New Roman"/>
                <w:color w:val="auto"/>
                <w:spacing w:val="4"/>
                <w:sz w:val="24"/>
                <w:highlight w:val="none"/>
                <w:u w:val="none"/>
                <w:lang w:val="en-US" w:eastAsia="zh-CN"/>
              </w:rPr>
              <w:t>侧风向，</w:t>
            </w:r>
            <w:r>
              <w:rPr>
                <w:rFonts w:hint="eastAsia" w:cs="Times New Roman"/>
                <w:color w:val="auto"/>
                <w:spacing w:val="4"/>
                <w:sz w:val="24"/>
                <w:highlight w:val="none"/>
                <w:u w:val="none"/>
                <w:lang w:val="en-US" w:eastAsia="zh-CN"/>
              </w:rPr>
              <w:t>周边环境敏感点</w:t>
            </w:r>
            <w:r>
              <w:rPr>
                <w:rFonts w:hint="eastAsia" w:ascii="Times New Roman" w:hAnsi="Times New Roman" w:eastAsia="宋体" w:cs="Times New Roman"/>
                <w:color w:val="auto"/>
                <w:spacing w:val="4"/>
                <w:sz w:val="24"/>
                <w:highlight w:val="none"/>
                <w:u w:val="none"/>
                <w:lang w:val="en-US" w:eastAsia="zh-CN"/>
              </w:rPr>
              <w:t>受本项目恶臭及噪声影响</w:t>
            </w:r>
            <w:r>
              <w:rPr>
                <w:rFonts w:hint="eastAsia" w:cs="Times New Roman"/>
                <w:color w:val="auto"/>
                <w:spacing w:val="4"/>
                <w:sz w:val="24"/>
                <w:highlight w:val="none"/>
                <w:u w:val="none"/>
                <w:lang w:val="en-US" w:eastAsia="zh-CN"/>
              </w:rPr>
              <w:t>较</w:t>
            </w:r>
            <w:r>
              <w:rPr>
                <w:rFonts w:hint="eastAsia" w:ascii="Times New Roman" w:hAnsi="Times New Roman" w:eastAsia="宋体" w:cs="Times New Roman"/>
                <w:color w:val="auto"/>
                <w:spacing w:val="4"/>
                <w:sz w:val="24"/>
                <w:highlight w:val="none"/>
                <w:u w:val="none"/>
                <w:lang w:val="en-US" w:eastAsia="zh-CN"/>
              </w:rPr>
              <w:t>小。</w:t>
            </w:r>
          </w:p>
          <w:p w14:paraId="6EAD28AD">
            <w:pPr>
              <w:spacing w:line="360" w:lineRule="auto"/>
              <w:ind w:firstLine="570"/>
              <w:rPr>
                <w:rFonts w:hint="default" w:ascii="Times New Roman" w:hAnsi="Times New Roman" w:eastAsia="宋体" w:cs="Times New Roman"/>
                <w:color w:val="auto"/>
                <w:spacing w:val="4"/>
                <w:sz w:val="24"/>
                <w:highlight w:val="none"/>
                <w:u w:val="none"/>
                <w:lang w:val="en-US" w:eastAsia="zh-CN"/>
              </w:rPr>
            </w:pPr>
            <w:r>
              <w:rPr>
                <w:rFonts w:hint="default" w:ascii="Times New Roman" w:hAnsi="Times New Roman" w:eastAsia="宋体" w:cs="Times New Roman"/>
                <w:color w:val="auto"/>
                <w:spacing w:val="4"/>
                <w:sz w:val="24"/>
                <w:highlight w:val="none"/>
                <w:u w:val="none"/>
                <w:lang w:val="en-US" w:eastAsia="zh-CN"/>
              </w:rPr>
              <w:t>本项目尾水排入</w:t>
            </w:r>
            <w:r>
              <w:rPr>
                <w:rFonts w:hint="eastAsia" w:cs="Times New Roman"/>
                <w:color w:val="auto"/>
                <w:spacing w:val="4"/>
                <w:sz w:val="24"/>
                <w:highlight w:val="none"/>
                <w:u w:val="none"/>
                <w:lang w:val="en-US" w:eastAsia="zh-CN"/>
              </w:rPr>
              <w:t>果利河</w:t>
            </w:r>
            <w:r>
              <w:rPr>
                <w:rFonts w:hint="default" w:ascii="Times New Roman" w:hAnsi="Times New Roman" w:eastAsia="宋体" w:cs="Times New Roman"/>
                <w:color w:val="auto"/>
                <w:spacing w:val="4"/>
                <w:sz w:val="24"/>
                <w:highlight w:val="none"/>
                <w:u w:val="none"/>
                <w:lang w:val="en-US" w:eastAsia="zh-CN"/>
              </w:rPr>
              <w:t>，</w:t>
            </w:r>
            <w:r>
              <w:rPr>
                <w:rFonts w:hint="eastAsia"/>
                <w:color w:val="auto"/>
                <w:sz w:val="24"/>
                <w:szCs w:val="24"/>
                <w:highlight w:val="none"/>
                <w:u w:val="none"/>
              </w:rPr>
              <w:t>主要水体功能为</w:t>
            </w:r>
            <w:r>
              <w:rPr>
                <w:rFonts w:hint="eastAsia"/>
                <w:color w:val="auto"/>
                <w:sz w:val="24"/>
                <w:szCs w:val="24"/>
                <w:highlight w:val="none"/>
                <w:u w:val="none"/>
                <w:lang w:val="en-US" w:eastAsia="zh-CN"/>
              </w:rPr>
              <w:t>农业</w:t>
            </w:r>
            <w:r>
              <w:rPr>
                <w:rFonts w:hint="eastAsia"/>
                <w:color w:val="auto"/>
                <w:sz w:val="24"/>
                <w:szCs w:val="24"/>
                <w:highlight w:val="none"/>
                <w:u w:val="none"/>
              </w:rPr>
              <w:t>用水区</w:t>
            </w:r>
            <w:r>
              <w:rPr>
                <w:rFonts w:hint="eastAsia"/>
                <w:color w:val="auto"/>
                <w:sz w:val="24"/>
                <w:szCs w:val="24"/>
                <w:highlight w:val="none"/>
                <w:u w:val="none"/>
                <w:lang w:eastAsia="zh-CN"/>
              </w:rPr>
              <w:t>，</w:t>
            </w:r>
            <w:r>
              <w:rPr>
                <w:rFonts w:hint="eastAsia"/>
                <w:color w:val="auto"/>
                <w:sz w:val="24"/>
                <w:szCs w:val="24"/>
                <w:highlight w:val="none"/>
                <w:u w:val="none"/>
                <w:lang w:val="en-US" w:eastAsia="zh-CN"/>
              </w:rPr>
              <w:t>排污口下游10km范围内无</w:t>
            </w:r>
            <w:r>
              <w:rPr>
                <w:rFonts w:hint="eastAsia"/>
                <w:color w:val="auto"/>
                <w:sz w:val="24"/>
                <w:szCs w:val="24"/>
                <w:highlight w:val="none"/>
                <w:u w:val="none"/>
              </w:rPr>
              <w:t>饮用水源保护区</w:t>
            </w:r>
            <w:r>
              <w:rPr>
                <w:rFonts w:hint="eastAsia"/>
                <w:color w:val="auto"/>
                <w:sz w:val="24"/>
                <w:szCs w:val="24"/>
                <w:highlight w:val="none"/>
                <w:u w:val="none"/>
                <w:lang w:val="en-US" w:eastAsia="zh-CN"/>
              </w:rPr>
              <w:t>和饮用水取水口，不涉及鱼类的“三通一道”</w:t>
            </w:r>
            <w:r>
              <w:rPr>
                <w:rFonts w:hint="eastAsia"/>
                <w:color w:val="auto"/>
                <w:sz w:val="24"/>
                <w:szCs w:val="24"/>
                <w:highlight w:val="none"/>
                <w:u w:val="none"/>
              </w:rPr>
              <w:t>，</w:t>
            </w:r>
            <w:r>
              <w:rPr>
                <w:rFonts w:hint="eastAsia" w:ascii="Times New Roman" w:hAnsi="Times New Roman" w:eastAsia="宋体" w:cs="Times New Roman"/>
                <w:color w:val="auto"/>
                <w:spacing w:val="4"/>
                <w:sz w:val="24"/>
                <w:highlight w:val="none"/>
                <w:u w:val="none"/>
                <w:lang w:val="en-US" w:eastAsia="zh-CN"/>
              </w:rPr>
              <w:t>根据水环境预测分析，本项目尾水排入</w:t>
            </w:r>
            <w:r>
              <w:rPr>
                <w:rFonts w:hint="eastAsia" w:cs="Times New Roman"/>
                <w:color w:val="auto"/>
                <w:spacing w:val="4"/>
                <w:sz w:val="24"/>
                <w:highlight w:val="none"/>
                <w:u w:val="none"/>
                <w:lang w:val="en-US" w:eastAsia="zh-CN"/>
              </w:rPr>
              <w:t>果利河</w:t>
            </w:r>
            <w:r>
              <w:rPr>
                <w:rFonts w:hint="eastAsia" w:ascii="Times New Roman" w:hAnsi="Times New Roman" w:eastAsia="宋体" w:cs="Times New Roman"/>
                <w:color w:val="auto"/>
                <w:spacing w:val="4"/>
                <w:sz w:val="24"/>
                <w:highlight w:val="none"/>
                <w:u w:val="none"/>
                <w:lang w:val="en-US" w:eastAsia="zh-CN"/>
              </w:rPr>
              <w:t>后在排口下游的CODcr、氨氮预测浓度能满足</w:t>
            </w:r>
            <w:r>
              <w:rPr>
                <w:rFonts w:hint="eastAsia" w:hAnsi="宋体" w:eastAsia="Times New Roman"/>
                <w:color w:val="auto"/>
                <w:sz w:val="24"/>
                <w:szCs w:val="24"/>
                <w:highlight w:val="none"/>
                <w:u w:val="none"/>
              </w:rPr>
              <w:t>《地表水环境质量标准》（GB3838-2002）</w:t>
            </w:r>
            <w:r>
              <w:rPr>
                <w:rFonts w:hint="eastAsia" w:hAnsi="宋体" w:eastAsia="Times New Roman"/>
                <w:color w:val="auto"/>
                <w:sz w:val="24"/>
                <w:szCs w:val="24"/>
                <w:highlight w:val="none"/>
                <w:u w:val="none"/>
              </w:rPr>
              <w:fldChar w:fldCharType="begin"/>
            </w:r>
            <w:r>
              <w:rPr>
                <w:rFonts w:hint="eastAsia" w:hAnsi="宋体" w:eastAsia="Times New Roman"/>
                <w:color w:val="auto"/>
                <w:sz w:val="24"/>
                <w:szCs w:val="24"/>
                <w:highlight w:val="none"/>
                <w:u w:val="none"/>
              </w:rPr>
              <w:instrText xml:space="preserve"> = 3 \* ROMAN \* MERGEFORMAT </w:instrText>
            </w:r>
            <w:r>
              <w:rPr>
                <w:rFonts w:hint="eastAsia" w:hAnsi="宋体" w:eastAsia="Times New Roman"/>
                <w:color w:val="auto"/>
                <w:sz w:val="24"/>
                <w:szCs w:val="24"/>
                <w:highlight w:val="none"/>
                <w:u w:val="none"/>
              </w:rPr>
              <w:fldChar w:fldCharType="separate"/>
            </w:r>
            <w:r>
              <w:rPr>
                <w:color w:val="auto"/>
                <w:sz w:val="24"/>
                <w:szCs w:val="24"/>
                <w:highlight w:val="none"/>
                <w:u w:val="none"/>
              </w:rPr>
              <w:t>III</w:t>
            </w:r>
            <w:r>
              <w:rPr>
                <w:rFonts w:hint="eastAsia" w:hAnsi="宋体" w:eastAsia="Times New Roman"/>
                <w:color w:val="auto"/>
                <w:sz w:val="24"/>
                <w:szCs w:val="24"/>
                <w:highlight w:val="none"/>
                <w:u w:val="none"/>
              </w:rPr>
              <w:fldChar w:fldCharType="end"/>
            </w:r>
            <w:r>
              <w:rPr>
                <w:rFonts w:hint="eastAsia" w:hAnsi="宋体" w:eastAsia="Times New Roman"/>
                <w:color w:val="auto"/>
                <w:sz w:val="24"/>
                <w:szCs w:val="24"/>
                <w:highlight w:val="none"/>
                <w:u w:val="none"/>
              </w:rPr>
              <w:t>类</w:t>
            </w:r>
            <w:r>
              <w:rPr>
                <w:rFonts w:hint="eastAsia"/>
                <w:color w:val="auto"/>
                <w:sz w:val="24"/>
                <w:highlight w:val="none"/>
                <w:u w:val="none"/>
              </w:rPr>
              <w:t>水质标准预留10%安全余量后的标准</w:t>
            </w:r>
            <w:r>
              <w:rPr>
                <w:rFonts w:hint="eastAsia"/>
                <w:color w:val="auto"/>
                <w:sz w:val="24"/>
                <w:highlight w:val="none"/>
                <w:u w:val="none"/>
                <w:lang w:eastAsia="zh-CN"/>
              </w:rPr>
              <w:t>限值</w:t>
            </w:r>
            <w:r>
              <w:rPr>
                <w:rFonts w:hint="eastAsia"/>
                <w:color w:val="auto"/>
                <w:sz w:val="24"/>
                <w:highlight w:val="none"/>
                <w:u w:val="none"/>
              </w:rPr>
              <w:t>要求</w:t>
            </w:r>
            <w:r>
              <w:rPr>
                <w:rFonts w:hint="eastAsia"/>
                <w:color w:val="auto"/>
                <w:sz w:val="24"/>
                <w:highlight w:val="none"/>
                <w:u w:val="none"/>
                <w:lang w:eastAsia="zh-CN"/>
              </w:rPr>
              <w:t>，因此，项目尾水排放对</w:t>
            </w:r>
            <w:r>
              <w:rPr>
                <w:rFonts w:hint="eastAsia" w:cs="Times New Roman"/>
                <w:color w:val="auto"/>
                <w:spacing w:val="4"/>
                <w:sz w:val="24"/>
                <w:highlight w:val="none"/>
                <w:u w:val="none"/>
                <w:lang w:val="en-US" w:eastAsia="zh-CN"/>
              </w:rPr>
              <w:t>果利河</w:t>
            </w:r>
            <w:r>
              <w:rPr>
                <w:rFonts w:hint="eastAsia"/>
                <w:color w:val="auto"/>
                <w:sz w:val="24"/>
                <w:highlight w:val="none"/>
                <w:u w:val="none"/>
                <w:lang w:eastAsia="zh-CN"/>
              </w:rPr>
              <w:t>水质影响不大</w:t>
            </w:r>
            <w:r>
              <w:rPr>
                <w:rFonts w:hint="default" w:ascii="Times New Roman" w:hAnsi="Times New Roman" w:eastAsia="宋体" w:cs="Times New Roman"/>
                <w:color w:val="auto"/>
                <w:spacing w:val="4"/>
                <w:sz w:val="24"/>
                <w:highlight w:val="none"/>
                <w:u w:val="none"/>
                <w:lang w:val="en-US" w:eastAsia="zh-CN"/>
              </w:rPr>
              <w:t>。</w:t>
            </w:r>
          </w:p>
          <w:p w14:paraId="04D4415C">
            <w:pPr>
              <w:pStyle w:val="30"/>
              <w:keepNext w:val="0"/>
              <w:keepLines w:val="0"/>
              <w:pageBreakBefore w:val="0"/>
              <w:kinsoku/>
              <w:wordWrap/>
              <w:overflowPunct/>
              <w:topLinePunct w:val="0"/>
              <w:autoSpaceDE/>
              <w:autoSpaceDN/>
              <w:bidi w:val="0"/>
              <w:adjustRightInd/>
              <w:snapToGrid/>
              <w:spacing w:before="0" w:after="0" w:line="360" w:lineRule="auto"/>
              <w:ind w:firstLine="496" w:firstLineChars="200"/>
              <w:textAlignment w:val="auto"/>
              <w:rPr>
                <w:rFonts w:hint="eastAsia" w:ascii="Times New Roman" w:hAnsi="Times New Roman" w:eastAsia="宋体" w:cs="Times New Roman"/>
                <w:color w:val="auto"/>
                <w:kern w:val="2"/>
                <w:sz w:val="24"/>
                <w:szCs w:val="24"/>
                <w:highlight w:val="none"/>
                <w:u w:val="none"/>
                <w:lang w:val="en-US" w:eastAsia="zh-CN" w:bidi="ar-SA"/>
              </w:rPr>
            </w:pPr>
            <w:r>
              <w:rPr>
                <w:rFonts w:hint="default" w:ascii="Times New Roman" w:hAnsi="Times New Roman" w:eastAsia="宋体" w:cs="Times New Roman"/>
                <w:color w:val="auto"/>
                <w:spacing w:val="4"/>
                <w:sz w:val="24"/>
                <w:highlight w:val="none"/>
                <w:u w:val="none"/>
                <w:lang w:val="en-US" w:eastAsia="zh-CN"/>
              </w:rPr>
              <w:t>综上所述，本项目选址符合污水处理厂选址原则，在严格落实各项污染防治措施的前提下，营运期对周围环境影响不大。从</w:t>
            </w:r>
            <w:r>
              <w:rPr>
                <w:rFonts w:hint="default" w:ascii="Times New Roman" w:hAnsi="Times New Roman" w:eastAsia="宋体" w:cs="Times New Roman"/>
                <w:color w:val="auto"/>
                <w:kern w:val="2"/>
                <w:sz w:val="24"/>
                <w:szCs w:val="24"/>
                <w:highlight w:val="none"/>
                <w:u w:val="none"/>
                <w:lang w:val="en-US" w:eastAsia="zh-CN" w:bidi="ar-SA"/>
              </w:rPr>
              <w:t>环境影响角度分析，本项目选址可行。</w:t>
            </w:r>
          </w:p>
          <w:p w14:paraId="65C1DA74">
            <w:pPr>
              <w:pStyle w:val="76"/>
              <w:autoSpaceDE/>
              <w:autoSpaceDN/>
              <w:adjustRightInd/>
              <w:spacing w:line="360" w:lineRule="auto"/>
              <w:ind w:firstLine="361" w:firstLineChars="150"/>
              <w:jc w:val="both"/>
              <w:textAlignment w:val="auto"/>
              <w:rPr>
                <w:rFonts w:hint="eastAsia" w:ascii="Times New Roman" w:hAnsi="Times New Roman" w:eastAsia="宋体" w:cs="Times New Roman"/>
                <w:b/>
                <w:color w:val="auto"/>
                <w:szCs w:val="24"/>
                <w:highlight w:val="none"/>
                <w:u w:val="single"/>
                <w:lang w:val="en-US" w:eastAsia="zh-CN"/>
              </w:rPr>
            </w:pPr>
            <w:r>
              <w:rPr>
                <w:rFonts w:hint="eastAsia" w:ascii="Times New Roman" w:hAnsi="Times New Roman" w:eastAsia="宋体" w:cs="Times New Roman"/>
                <w:b/>
                <w:color w:val="auto"/>
                <w:szCs w:val="24"/>
                <w:highlight w:val="none"/>
                <w:u w:val="single"/>
                <w:lang w:val="en-US" w:eastAsia="zh-CN"/>
              </w:rPr>
              <w:t>4、</w:t>
            </w:r>
            <w:r>
              <w:rPr>
                <w:rFonts w:hint="eastAsia" w:ascii="Times New Roman" w:hAnsi="Times New Roman" w:cs="Times New Roman"/>
                <w:b/>
                <w:color w:val="auto"/>
                <w:szCs w:val="24"/>
                <w:highlight w:val="none"/>
                <w:u w:val="single"/>
                <w:lang w:val="en-US" w:eastAsia="zh-CN"/>
              </w:rPr>
              <w:t>与《龙山县国土空间总体规划（2021-2035）》符合性分析</w:t>
            </w:r>
          </w:p>
          <w:p w14:paraId="01053E7B">
            <w:pPr>
              <w:spacing w:line="360" w:lineRule="auto"/>
              <w:ind w:firstLine="570"/>
              <w:rPr>
                <w:rFonts w:hint="eastAsia" w:hAnsi="宋体" w:eastAsia="Times New Roman"/>
                <w:color w:val="auto"/>
                <w:sz w:val="24"/>
                <w:szCs w:val="24"/>
                <w:highlight w:val="none"/>
                <w:u w:val="single"/>
                <w:lang w:val="en-US" w:eastAsia="zh-CN"/>
              </w:rPr>
            </w:pPr>
            <w:r>
              <w:rPr>
                <w:rFonts w:hint="eastAsia" w:hAnsi="宋体" w:eastAsia="Times New Roman"/>
                <w:color w:val="auto"/>
                <w:sz w:val="24"/>
                <w:szCs w:val="24"/>
                <w:highlight w:val="none"/>
                <w:u w:val="single"/>
                <w:lang w:val="en-US" w:eastAsia="zh-CN"/>
              </w:rPr>
              <w:t>根据规划中：四、市政基础设施布局可知排水工程规划：现状民安污水处理厂、状螺蛳滩污水处理厂、现状工业集中区污三座污水处理厂根据污水增长情况进行扩容，新建高铁区域污水处理厂及污水管网收集等污水处理设施。城市生活污水集中收集率达到 70%以上，县城污水处理率达到 97%以上，城市污泥无害化处置率达到 93%以上。</w:t>
            </w:r>
          </w:p>
          <w:p w14:paraId="3440142E">
            <w:pPr>
              <w:spacing w:line="360" w:lineRule="auto"/>
              <w:ind w:firstLine="570"/>
              <w:rPr>
                <w:rFonts w:hint="eastAsia" w:hAnsi="宋体" w:eastAsia="Times New Roman"/>
                <w:color w:val="auto"/>
                <w:sz w:val="24"/>
                <w:szCs w:val="24"/>
                <w:highlight w:val="none"/>
                <w:u w:val="single"/>
                <w:lang w:val="en-US" w:eastAsia="zh-CN"/>
              </w:rPr>
            </w:pPr>
            <w:r>
              <w:rPr>
                <w:rFonts w:hint="eastAsia" w:hAnsi="宋体" w:eastAsia="Times New Roman"/>
                <w:color w:val="auto"/>
                <w:sz w:val="24"/>
                <w:szCs w:val="24"/>
                <w:highlight w:val="none"/>
                <w:u w:val="single"/>
                <w:lang w:val="en-US" w:eastAsia="zh-CN"/>
              </w:rPr>
              <w:t>根据《龙山县国土空间总体规划（2021-2035）》，龙山县高铁新城片区将会是重点发展区域，在高铁片区内设置污水处理厂一座。本项目属于规划内的污水处理厂建设，符合《龙山县国土空间总体规划（2021-2035）》的要求。</w:t>
            </w:r>
          </w:p>
          <w:p w14:paraId="487AD933">
            <w:pPr>
              <w:pStyle w:val="76"/>
              <w:autoSpaceDE/>
              <w:autoSpaceDN/>
              <w:adjustRightInd/>
              <w:spacing w:line="360" w:lineRule="auto"/>
              <w:ind w:firstLine="361" w:firstLineChars="150"/>
              <w:jc w:val="both"/>
              <w:textAlignment w:val="auto"/>
              <w:rPr>
                <w:rFonts w:hint="eastAsia" w:ascii="Times New Roman" w:hAnsi="Times New Roman" w:eastAsia="宋体" w:cs="Times New Roman"/>
                <w:b/>
                <w:color w:val="auto"/>
                <w:szCs w:val="24"/>
                <w:highlight w:val="none"/>
                <w:u w:val="single"/>
                <w:lang w:val="en-US" w:eastAsia="zh-CN"/>
              </w:rPr>
            </w:pPr>
            <w:r>
              <w:rPr>
                <w:rFonts w:hint="eastAsia" w:ascii="Times New Roman" w:hAnsi="Times New Roman" w:cs="Times New Roman"/>
                <w:b/>
                <w:color w:val="auto"/>
                <w:szCs w:val="24"/>
                <w:highlight w:val="none"/>
                <w:u w:val="single"/>
                <w:lang w:val="en-US" w:eastAsia="zh-CN"/>
              </w:rPr>
              <w:t>5、与</w:t>
            </w:r>
            <w:r>
              <w:rPr>
                <w:rFonts w:hint="eastAsia" w:ascii="Times New Roman" w:hAnsi="Times New Roman" w:eastAsia="宋体" w:cs="Times New Roman"/>
                <w:b/>
                <w:color w:val="auto"/>
                <w:szCs w:val="24"/>
                <w:highlight w:val="none"/>
                <w:u w:val="single"/>
                <w:lang w:val="en-US" w:eastAsia="zh-CN"/>
              </w:rPr>
              <w:t>《龙山县主城区排水工程专项规划》</w:t>
            </w:r>
            <w:r>
              <w:rPr>
                <w:rFonts w:hint="eastAsia" w:ascii="Times New Roman" w:hAnsi="Times New Roman" w:cs="Times New Roman"/>
                <w:b/>
                <w:color w:val="auto"/>
                <w:szCs w:val="24"/>
                <w:highlight w:val="none"/>
                <w:u w:val="single"/>
                <w:lang w:val="en-US" w:eastAsia="zh-CN"/>
              </w:rPr>
              <w:t>符合性分析</w:t>
            </w:r>
          </w:p>
          <w:p w14:paraId="10B856CC">
            <w:pPr>
              <w:spacing w:line="360" w:lineRule="auto"/>
              <w:ind w:firstLine="570"/>
              <w:rPr>
                <w:rFonts w:hint="eastAsia" w:hAnsi="宋体" w:eastAsia="Times New Roman"/>
                <w:color w:val="auto"/>
                <w:sz w:val="24"/>
                <w:szCs w:val="24"/>
                <w:highlight w:val="none"/>
                <w:u w:val="single"/>
                <w:lang w:val="en-US" w:eastAsia="zh-CN"/>
              </w:rPr>
            </w:pPr>
            <w:r>
              <w:rPr>
                <w:rFonts w:hint="eastAsia" w:hAnsi="宋体" w:eastAsia="Times New Roman"/>
                <w:color w:val="auto"/>
                <w:sz w:val="24"/>
                <w:szCs w:val="24"/>
                <w:highlight w:val="none"/>
                <w:u w:val="single"/>
                <w:lang w:val="en-US" w:eastAsia="zh-CN"/>
              </w:rPr>
              <w:t>龙山县现有主城区排水工程专项规划，根据规划可知，根龙山县规划范围内的地形地势、水系分布情况及现有管路情况，龙山县规划区域分成三个纳污系统：民安污水处理厂纳污系统、螺蛳滩污水处理厂纳污系统和工业园污水处理厂纳污系统；其中，民安污水处理厂纳污范围包括民安老城区、城东片区和高铁片区东部，螺蛳滩污水处理厂纳污范围包括华塘片区和高铁片区西部，工业园污水处理厂纳污范围为工业园区。排水体制新建采用完全的分流制排水体制，城区改造为雨污分流制。</w:t>
            </w:r>
          </w:p>
          <w:p w14:paraId="5611D7B1">
            <w:pPr>
              <w:pStyle w:val="76"/>
              <w:autoSpaceDE/>
              <w:autoSpaceDN/>
              <w:adjustRightInd/>
              <w:spacing w:line="360" w:lineRule="auto"/>
              <w:ind w:firstLine="360" w:firstLineChars="150"/>
              <w:jc w:val="both"/>
              <w:textAlignment w:val="auto"/>
              <w:rPr>
                <w:rFonts w:hint="eastAsia" w:ascii="Times New Roman" w:hAnsi="Times New Roman" w:eastAsia="宋体" w:cs="Times New Roman"/>
                <w:b w:val="0"/>
                <w:bCs/>
                <w:color w:val="auto"/>
                <w:szCs w:val="24"/>
                <w:highlight w:val="none"/>
                <w:u w:val="single"/>
                <w:lang w:val="en-US" w:eastAsia="zh-CN"/>
              </w:rPr>
            </w:pPr>
            <w:r>
              <w:rPr>
                <w:rFonts w:hint="eastAsia" w:ascii="Times New Roman" w:hAnsi="Times New Roman" w:cs="Times New Roman"/>
                <w:b w:val="0"/>
                <w:bCs/>
                <w:color w:val="auto"/>
                <w:szCs w:val="24"/>
                <w:highlight w:val="none"/>
                <w:u w:val="single"/>
                <w:lang w:val="en-US" w:eastAsia="zh-CN"/>
              </w:rPr>
              <w:t>本项目位于高铁新区，不属于</w:t>
            </w:r>
            <w:r>
              <w:rPr>
                <w:rFonts w:hint="eastAsia" w:ascii="Times New Roman" w:hAnsi="Times New Roman" w:eastAsia="宋体" w:cs="Times New Roman"/>
                <w:b w:val="0"/>
                <w:bCs/>
                <w:color w:val="auto"/>
                <w:szCs w:val="24"/>
                <w:highlight w:val="none"/>
                <w:u w:val="single"/>
                <w:lang w:val="en-US" w:eastAsia="zh-CN"/>
              </w:rPr>
              <w:t>主城区</w:t>
            </w:r>
            <w:r>
              <w:rPr>
                <w:rFonts w:hint="eastAsia" w:ascii="Times New Roman" w:hAnsi="Times New Roman" w:cs="Times New Roman"/>
                <w:b w:val="0"/>
                <w:bCs/>
                <w:color w:val="auto"/>
                <w:szCs w:val="24"/>
                <w:highlight w:val="none"/>
                <w:u w:val="single"/>
                <w:lang w:val="en-US" w:eastAsia="zh-CN"/>
              </w:rPr>
              <w:t>范围内，不在规划范围内的污水处理厂，本项目为新建污水处理厂，采用完全的分流排水体制，与《龙山县主城区排水工程专项规划》不冲突。</w:t>
            </w:r>
          </w:p>
          <w:p w14:paraId="6F390E27">
            <w:pPr>
              <w:pStyle w:val="76"/>
              <w:autoSpaceDE/>
              <w:autoSpaceDN/>
              <w:adjustRightInd/>
              <w:spacing w:line="360" w:lineRule="auto"/>
              <w:ind w:firstLine="361" w:firstLineChars="150"/>
              <w:jc w:val="both"/>
              <w:textAlignment w:val="auto"/>
              <w:rPr>
                <w:rFonts w:hint="eastAsia" w:ascii="Times New Roman" w:hAnsi="Times New Roman" w:cs="Times New Roman"/>
                <w:b/>
                <w:color w:val="auto"/>
                <w:szCs w:val="24"/>
                <w:highlight w:val="none"/>
                <w:u w:val="single"/>
                <w:lang w:val="en-US" w:eastAsia="zh-CN"/>
              </w:rPr>
            </w:pPr>
            <w:r>
              <w:rPr>
                <w:rFonts w:hint="eastAsia" w:ascii="Times New Roman" w:hAnsi="Times New Roman" w:cs="Times New Roman"/>
                <w:b/>
                <w:color w:val="auto"/>
                <w:szCs w:val="24"/>
                <w:highlight w:val="none"/>
                <w:u w:val="single"/>
                <w:lang w:val="en-US" w:eastAsia="zh-CN"/>
              </w:rPr>
              <w:t>6、湘西自治州“十四五”生态环境保护规划的符合性分析</w:t>
            </w:r>
          </w:p>
          <w:p w14:paraId="5262A841">
            <w:pPr>
              <w:pStyle w:val="76"/>
              <w:autoSpaceDE/>
              <w:autoSpaceDN/>
              <w:adjustRightInd/>
              <w:spacing w:line="360" w:lineRule="auto"/>
              <w:ind w:firstLine="360" w:firstLineChars="150"/>
              <w:jc w:val="both"/>
              <w:textAlignment w:val="auto"/>
              <w:rPr>
                <w:rFonts w:hint="eastAsia" w:ascii="Times New Roman" w:hAnsi="Times New Roman" w:cs="Times New Roman"/>
                <w:b w:val="0"/>
                <w:bCs/>
                <w:color w:val="auto"/>
                <w:szCs w:val="24"/>
                <w:highlight w:val="none"/>
                <w:u w:val="single"/>
                <w:lang w:val="en-US" w:eastAsia="zh-CN"/>
              </w:rPr>
            </w:pPr>
            <w:r>
              <w:rPr>
                <w:rFonts w:hint="eastAsia" w:ascii="Times New Roman" w:hAnsi="Times New Roman" w:cs="Times New Roman"/>
                <w:b w:val="0"/>
                <w:bCs/>
                <w:color w:val="auto"/>
                <w:szCs w:val="24"/>
                <w:highlight w:val="none"/>
                <w:u w:val="single"/>
                <w:lang w:val="en-US" w:eastAsia="zh-CN"/>
              </w:rPr>
              <w:t>根据“十四五”总体目标：到2025年，生产生活方式绿色转型成效显著，能源资源配置更加合理、利用效率大幅提高，主要污染物排放总量持续减少，生态环境质量持续改善，突出生态环境问题加快解决，重大生态环境风险基本化解，生态安全屏障更加牢固，城乡人居环境明显改善，生态环境治理体系和治理能力现代化水平明显增强，实现“天蓝、地绿、水净”的生态环境面貌，美丽湘西建设取得明显成效。</w:t>
            </w:r>
          </w:p>
          <w:p w14:paraId="09076D11">
            <w:pPr>
              <w:pStyle w:val="76"/>
              <w:autoSpaceDE/>
              <w:autoSpaceDN/>
              <w:adjustRightInd/>
              <w:spacing w:line="360" w:lineRule="auto"/>
              <w:ind w:firstLine="360" w:firstLineChars="150"/>
              <w:jc w:val="both"/>
              <w:textAlignment w:val="auto"/>
              <w:rPr>
                <w:rFonts w:hint="eastAsia" w:ascii="Times New Roman" w:hAnsi="Times New Roman" w:cs="Times New Roman"/>
                <w:b w:val="0"/>
                <w:bCs/>
                <w:color w:val="auto"/>
                <w:szCs w:val="24"/>
                <w:highlight w:val="none"/>
                <w:u w:val="single"/>
                <w:lang w:val="en-US" w:eastAsia="zh-CN"/>
              </w:rPr>
            </w:pPr>
            <w:r>
              <w:rPr>
                <w:rFonts w:hint="eastAsia" w:ascii="Times New Roman" w:hAnsi="Times New Roman" w:cs="Times New Roman"/>
                <w:b w:val="0"/>
                <w:bCs/>
                <w:color w:val="auto"/>
                <w:szCs w:val="24"/>
                <w:highlight w:val="none"/>
                <w:u w:val="single"/>
                <w:lang w:val="en-US" w:eastAsia="zh-CN"/>
              </w:rPr>
              <w:t>本项目的建设使高铁新区主要水污染物排放总量减少，有效的改善高铁新区地表水环境质量和人居环境。项目建设符合湘西自治州“十四五”生态环境保护规划要求。</w:t>
            </w:r>
          </w:p>
          <w:p w14:paraId="39FFF6C7">
            <w:pPr>
              <w:pStyle w:val="76"/>
              <w:autoSpaceDE/>
              <w:autoSpaceDN/>
              <w:adjustRightInd/>
              <w:spacing w:line="360" w:lineRule="auto"/>
              <w:ind w:firstLine="361" w:firstLineChars="150"/>
              <w:jc w:val="both"/>
              <w:textAlignment w:val="auto"/>
              <w:rPr>
                <w:rFonts w:hint="eastAsia" w:ascii="Times New Roman" w:hAnsi="Times New Roman" w:eastAsia="宋体" w:cs="Times New Roman"/>
                <w:b/>
                <w:color w:val="auto"/>
                <w:szCs w:val="24"/>
                <w:highlight w:val="none"/>
                <w:u w:val="none"/>
                <w:lang w:val="en-US" w:eastAsia="zh-CN"/>
              </w:rPr>
            </w:pPr>
            <w:r>
              <w:rPr>
                <w:rFonts w:hint="eastAsia" w:ascii="Times New Roman" w:hAnsi="Times New Roman" w:cs="Times New Roman"/>
                <w:b/>
                <w:color w:val="auto"/>
                <w:szCs w:val="24"/>
                <w:highlight w:val="none"/>
                <w:u w:val="none"/>
                <w:lang w:val="en-US" w:eastAsia="zh-CN"/>
              </w:rPr>
              <w:t>7、</w:t>
            </w:r>
            <w:r>
              <w:rPr>
                <w:rFonts w:hint="eastAsia" w:ascii="Times New Roman" w:hAnsi="Times New Roman" w:eastAsia="宋体" w:cs="Times New Roman"/>
                <w:b/>
                <w:color w:val="auto"/>
                <w:szCs w:val="24"/>
                <w:highlight w:val="none"/>
                <w:u w:val="none"/>
                <w:lang w:val="en-US" w:eastAsia="zh-CN"/>
              </w:rPr>
              <w:t>平面布局合理性分析</w:t>
            </w:r>
          </w:p>
          <w:p w14:paraId="0A0E02A4">
            <w:pPr>
              <w:pStyle w:val="51"/>
              <w:spacing w:before="156"/>
              <w:ind w:left="0" w:leftChars="0" w:firstLine="496" w:firstLineChars="200"/>
              <w:rPr>
                <w:rFonts w:hint="eastAsia"/>
                <w:color w:val="auto"/>
                <w:highlight w:val="none"/>
                <w:u w:val="none"/>
              </w:rPr>
            </w:pPr>
            <w:r>
              <w:rPr>
                <w:rFonts w:hint="eastAsia" w:ascii="Times New Roman" w:hAnsi="Times New Roman" w:eastAsia="宋体" w:cs="Times New Roman"/>
                <w:color w:val="auto"/>
                <w:spacing w:val="4"/>
                <w:kern w:val="2"/>
                <w:sz w:val="24"/>
                <w:szCs w:val="24"/>
                <w:highlight w:val="none"/>
                <w:u w:val="none"/>
                <w:lang w:val="en-US" w:eastAsia="zh-CN" w:bidi="ar-SA"/>
              </w:rPr>
              <w:t>污水处理厂占地面积约</w:t>
            </w:r>
            <w:r>
              <w:rPr>
                <w:rFonts w:hint="eastAsia" w:ascii="Times New Roman" w:hAnsi="Times New Roman" w:cs="Times New Roman"/>
                <w:color w:val="auto"/>
                <w:spacing w:val="4"/>
                <w:kern w:val="2"/>
                <w:sz w:val="24"/>
                <w:szCs w:val="24"/>
                <w:highlight w:val="none"/>
                <w:u w:val="none"/>
                <w:lang w:val="en-US" w:eastAsia="zh-CN" w:bidi="ar-SA"/>
              </w:rPr>
              <w:t>27057.35</w:t>
            </w:r>
            <w:r>
              <w:rPr>
                <w:rFonts w:hint="eastAsia" w:ascii="Times New Roman" w:hAnsi="Times New Roman" w:eastAsia="宋体" w:cs="Times New Roman"/>
                <w:color w:val="auto"/>
                <w:spacing w:val="4"/>
                <w:kern w:val="2"/>
                <w:sz w:val="24"/>
                <w:szCs w:val="24"/>
                <w:highlight w:val="none"/>
                <w:u w:val="none"/>
                <w:lang w:val="en-US" w:eastAsia="zh-CN" w:bidi="ar-SA"/>
              </w:rPr>
              <w:t>m</w:t>
            </w:r>
            <w:r>
              <w:rPr>
                <w:rFonts w:hint="eastAsia" w:ascii="Times New Roman" w:hAnsi="Times New Roman" w:eastAsia="宋体" w:cs="Times New Roman"/>
                <w:color w:val="auto"/>
                <w:spacing w:val="4"/>
                <w:kern w:val="2"/>
                <w:sz w:val="24"/>
                <w:szCs w:val="24"/>
                <w:highlight w:val="none"/>
                <w:u w:val="none"/>
                <w:vertAlign w:val="superscript"/>
                <w:lang w:val="en-US" w:eastAsia="zh-CN" w:bidi="ar-SA"/>
              </w:rPr>
              <w:t>2</w:t>
            </w:r>
            <w:r>
              <w:rPr>
                <w:rFonts w:hint="eastAsia" w:ascii="Times New Roman" w:hAnsi="Times New Roman" w:eastAsia="宋体" w:cs="Times New Roman"/>
                <w:color w:val="auto"/>
                <w:spacing w:val="4"/>
                <w:kern w:val="2"/>
                <w:sz w:val="24"/>
                <w:szCs w:val="24"/>
                <w:highlight w:val="none"/>
                <w:u w:val="none"/>
                <w:lang w:val="en-US" w:eastAsia="zh-CN" w:bidi="ar-SA"/>
              </w:rPr>
              <w:t>，厂区内主要分管理区、</w:t>
            </w:r>
            <w:r>
              <w:rPr>
                <w:rFonts w:hint="eastAsia" w:ascii="Times New Roman" w:hAnsi="Times New Roman" w:cs="Times New Roman"/>
                <w:color w:val="auto"/>
                <w:spacing w:val="4"/>
                <w:kern w:val="2"/>
                <w:sz w:val="24"/>
                <w:szCs w:val="24"/>
                <w:highlight w:val="none"/>
                <w:u w:val="none"/>
                <w:lang w:val="en-US" w:eastAsia="zh-CN" w:bidi="ar-SA"/>
              </w:rPr>
              <w:t>生产区、辅助生产</w:t>
            </w:r>
            <w:r>
              <w:rPr>
                <w:rFonts w:hint="eastAsia" w:ascii="Times New Roman" w:hAnsi="Times New Roman" w:eastAsia="宋体" w:cs="Times New Roman"/>
                <w:color w:val="auto"/>
                <w:spacing w:val="4"/>
                <w:kern w:val="2"/>
                <w:sz w:val="24"/>
                <w:szCs w:val="24"/>
                <w:highlight w:val="none"/>
                <w:u w:val="none"/>
                <w:lang w:val="en-US" w:eastAsia="zh-CN" w:bidi="ar-SA"/>
              </w:rPr>
              <w:t>区</w:t>
            </w:r>
            <w:r>
              <w:rPr>
                <w:rFonts w:hint="eastAsia" w:ascii="Times New Roman" w:hAnsi="Times New Roman" w:cs="Times New Roman"/>
                <w:color w:val="auto"/>
                <w:spacing w:val="4"/>
                <w:kern w:val="2"/>
                <w:sz w:val="24"/>
                <w:szCs w:val="24"/>
                <w:highlight w:val="none"/>
                <w:u w:val="none"/>
                <w:lang w:val="en-US" w:eastAsia="zh-CN" w:bidi="ar-SA"/>
              </w:rPr>
              <w:t>、除臭区</w:t>
            </w:r>
            <w:r>
              <w:rPr>
                <w:rFonts w:hint="eastAsia" w:ascii="Times New Roman" w:hAnsi="Times New Roman" w:eastAsia="宋体" w:cs="Times New Roman"/>
                <w:color w:val="auto"/>
                <w:spacing w:val="4"/>
                <w:kern w:val="2"/>
                <w:sz w:val="24"/>
                <w:szCs w:val="24"/>
                <w:highlight w:val="none"/>
                <w:u w:val="none"/>
                <w:lang w:val="en-US" w:eastAsia="zh-CN" w:bidi="ar-SA"/>
              </w:rPr>
              <w:t>。管理</w:t>
            </w:r>
            <w:r>
              <w:rPr>
                <w:rFonts w:hint="eastAsia" w:ascii="Times New Roman" w:hAnsi="Times New Roman" w:cs="Times New Roman"/>
                <w:color w:val="auto"/>
                <w:spacing w:val="4"/>
                <w:kern w:val="2"/>
                <w:sz w:val="24"/>
                <w:szCs w:val="24"/>
                <w:highlight w:val="none"/>
                <w:u w:val="none"/>
                <w:lang w:val="en-US" w:eastAsia="zh-CN" w:bidi="ar-SA"/>
              </w:rPr>
              <w:t>区</w:t>
            </w:r>
            <w:r>
              <w:rPr>
                <w:rFonts w:hint="eastAsia" w:ascii="Times New Roman" w:hAnsi="Times New Roman" w:eastAsia="宋体" w:cs="Times New Roman"/>
                <w:color w:val="auto"/>
                <w:spacing w:val="4"/>
                <w:kern w:val="2"/>
                <w:sz w:val="24"/>
                <w:szCs w:val="24"/>
                <w:highlight w:val="none"/>
                <w:u w:val="none"/>
                <w:lang w:val="en-US" w:eastAsia="zh-CN" w:bidi="ar-SA"/>
              </w:rPr>
              <w:t>包含</w:t>
            </w:r>
            <w:r>
              <w:rPr>
                <w:rFonts w:hint="eastAsia" w:ascii="Times New Roman" w:hAnsi="Times New Roman" w:cs="Times New Roman"/>
                <w:color w:val="auto"/>
                <w:spacing w:val="4"/>
                <w:kern w:val="2"/>
                <w:sz w:val="24"/>
                <w:szCs w:val="24"/>
                <w:highlight w:val="none"/>
                <w:u w:val="none"/>
                <w:lang w:val="en-US" w:eastAsia="zh-CN" w:bidi="ar-SA"/>
              </w:rPr>
              <w:t>综合楼，位于厂区西南侧</w:t>
            </w:r>
            <w:r>
              <w:rPr>
                <w:rFonts w:hint="eastAsia" w:ascii="Times New Roman" w:hAnsi="Times New Roman" w:eastAsia="宋体" w:cs="Times New Roman"/>
                <w:color w:val="auto"/>
                <w:spacing w:val="4"/>
                <w:kern w:val="2"/>
                <w:sz w:val="24"/>
                <w:szCs w:val="24"/>
                <w:highlight w:val="none"/>
                <w:u w:val="none"/>
                <w:lang w:val="en-US" w:eastAsia="zh-CN" w:bidi="ar-SA"/>
              </w:rPr>
              <w:t>。生产区包括</w:t>
            </w:r>
            <w:r>
              <w:rPr>
                <w:rFonts w:hint="default" w:ascii="Times New Roman" w:hAnsi="Times New Roman" w:eastAsia="宋体" w:cs="Times New Roman"/>
                <w:color w:val="auto"/>
                <w:kern w:val="2"/>
                <w:sz w:val="24"/>
                <w:szCs w:val="24"/>
                <w:highlight w:val="none"/>
                <w:lang w:val="en-US" w:eastAsia="zh-CN" w:bidi="ar-SA"/>
              </w:rPr>
              <w:t>预处理区</w:t>
            </w:r>
            <w:r>
              <w:rPr>
                <w:rFonts w:hint="eastAsia" w:ascii="Times New Roman" w:hAnsi="Times New Roman" w:eastAsia="宋体" w:cs="Times New Roman"/>
                <w:color w:val="auto"/>
                <w:spacing w:val="4"/>
                <w:kern w:val="2"/>
                <w:sz w:val="24"/>
                <w:szCs w:val="24"/>
                <w:highlight w:val="none"/>
                <w:u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二级生化污水处理区</w:t>
            </w:r>
            <w:r>
              <w:rPr>
                <w:rFonts w:hint="eastAsia" w:ascii="Times New Roman" w:hAnsi="Times New Roman" w:eastAsia="宋体" w:cs="Times New Roman"/>
                <w:color w:val="auto"/>
                <w:spacing w:val="4"/>
                <w:kern w:val="2"/>
                <w:sz w:val="24"/>
                <w:szCs w:val="24"/>
                <w:highlight w:val="none"/>
                <w:u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污水深度处理区</w:t>
            </w:r>
            <w:r>
              <w:rPr>
                <w:rFonts w:hint="eastAsia"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污泥处理区</w:t>
            </w:r>
            <w:r>
              <w:rPr>
                <w:rFonts w:hint="eastAsia" w:ascii="Times New Roman" w:hAnsi="Times New Roman" w:cs="Times New Roman"/>
                <w:color w:val="auto"/>
                <w:kern w:val="2"/>
                <w:sz w:val="24"/>
                <w:szCs w:val="24"/>
                <w:highlight w:val="none"/>
                <w:lang w:val="en-US" w:eastAsia="zh-CN" w:bidi="ar-SA"/>
              </w:rPr>
              <w:t>，位于厂区中部</w:t>
            </w:r>
            <w:r>
              <w:rPr>
                <w:rFonts w:hint="eastAsia" w:ascii="Times New Roman" w:hAnsi="Times New Roman" w:eastAsia="宋体" w:cs="Times New Roman"/>
                <w:color w:val="auto"/>
                <w:spacing w:val="4"/>
                <w:kern w:val="2"/>
                <w:sz w:val="24"/>
                <w:szCs w:val="24"/>
                <w:highlight w:val="none"/>
                <w:u w:val="none"/>
                <w:lang w:val="en-US" w:eastAsia="zh-CN" w:bidi="ar-SA"/>
              </w:rPr>
              <w:t>。</w:t>
            </w:r>
            <w:r>
              <w:rPr>
                <w:rFonts w:hint="eastAsia" w:ascii="Times New Roman" w:hAnsi="Times New Roman" w:cs="Times New Roman"/>
                <w:color w:val="auto"/>
                <w:spacing w:val="4"/>
                <w:kern w:val="2"/>
                <w:sz w:val="24"/>
                <w:szCs w:val="24"/>
                <w:highlight w:val="none"/>
                <w:u w:val="none"/>
                <w:lang w:val="en-US" w:eastAsia="zh-CN" w:bidi="ar-SA"/>
              </w:rPr>
              <w:t>辅助生产区包含</w:t>
            </w:r>
            <w:r>
              <w:rPr>
                <w:rFonts w:hint="default" w:ascii="Times New Roman" w:hAnsi="Times New Roman" w:eastAsia="宋体" w:cs="Times New Roman"/>
                <w:color w:val="auto"/>
                <w:kern w:val="2"/>
                <w:sz w:val="24"/>
                <w:szCs w:val="24"/>
                <w:highlight w:val="none"/>
                <w:lang w:val="en-US" w:eastAsia="zh-CN" w:bidi="ar-SA"/>
              </w:rPr>
              <w:t>鼓风机房</w:t>
            </w:r>
            <w:r>
              <w:rPr>
                <w:rFonts w:hint="eastAsia" w:ascii="Times New Roman" w:hAnsi="Times New Roman" w:cs="Times New Roman"/>
                <w:color w:val="auto"/>
                <w:kern w:val="2"/>
                <w:sz w:val="24"/>
                <w:szCs w:val="24"/>
                <w:highlight w:val="none"/>
                <w:lang w:val="en-US" w:eastAsia="zh-CN" w:bidi="ar-SA"/>
              </w:rPr>
              <w:t>、危废间</w:t>
            </w:r>
            <w:r>
              <w:rPr>
                <w:rFonts w:hint="default" w:ascii="Times New Roman" w:hAnsi="Times New Roman" w:eastAsia="宋体" w:cs="Times New Roman"/>
                <w:color w:val="auto"/>
                <w:kern w:val="2"/>
                <w:sz w:val="24"/>
                <w:szCs w:val="24"/>
                <w:highlight w:val="none"/>
                <w:lang w:val="en-US" w:eastAsia="zh-CN" w:bidi="ar-SA"/>
              </w:rPr>
              <w:t>及配电间</w:t>
            </w:r>
            <w:r>
              <w:rPr>
                <w:rFonts w:hint="eastAsia" w:ascii="Times New Roman" w:hAnsi="Times New Roman" w:cs="Times New Roman"/>
                <w:color w:val="auto"/>
                <w:kern w:val="2"/>
                <w:sz w:val="24"/>
                <w:szCs w:val="24"/>
                <w:highlight w:val="none"/>
                <w:lang w:val="en-US" w:eastAsia="zh-CN" w:bidi="ar-SA"/>
              </w:rPr>
              <w:t>，位于厂区西北侧</w:t>
            </w:r>
            <w:r>
              <w:rPr>
                <w:rFonts w:hint="eastAsia" w:ascii="Times New Roman" w:hAnsi="Times New Roman" w:eastAsia="宋体" w:cs="Times New Roman"/>
                <w:color w:val="auto"/>
                <w:spacing w:val="4"/>
                <w:kern w:val="2"/>
                <w:sz w:val="24"/>
                <w:szCs w:val="24"/>
                <w:highlight w:val="none"/>
                <w:u w:val="none"/>
                <w:lang w:val="en-US" w:eastAsia="zh-CN" w:bidi="ar-SA"/>
              </w:rPr>
              <w:t>。</w:t>
            </w:r>
            <w:r>
              <w:rPr>
                <w:rFonts w:hint="eastAsia" w:ascii="Times New Roman" w:hAnsi="Times New Roman" w:cs="Times New Roman"/>
                <w:color w:val="auto"/>
                <w:spacing w:val="4"/>
                <w:kern w:val="2"/>
                <w:sz w:val="24"/>
                <w:szCs w:val="24"/>
                <w:highlight w:val="none"/>
                <w:u w:val="none"/>
                <w:lang w:val="en-US" w:eastAsia="zh-CN" w:bidi="ar-SA"/>
              </w:rPr>
              <w:t>除臭区位于厂区东侧，</w:t>
            </w:r>
            <w:r>
              <w:rPr>
                <w:rFonts w:hint="eastAsia" w:ascii="Times New Roman" w:hAnsi="Times New Roman" w:eastAsia="宋体" w:cs="Times New Roman"/>
                <w:color w:val="auto"/>
                <w:spacing w:val="4"/>
                <w:kern w:val="2"/>
                <w:sz w:val="24"/>
                <w:szCs w:val="24"/>
                <w:highlight w:val="none"/>
                <w:u w:val="none"/>
                <w:lang w:val="en-US" w:eastAsia="zh-CN" w:bidi="ar-SA"/>
              </w:rPr>
              <w:t>厂区入口在厂区</w:t>
            </w:r>
            <w:r>
              <w:rPr>
                <w:rFonts w:hint="eastAsia" w:ascii="Times New Roman" w:hAnsi="Times New Roman" w:cs="Times New Roman"/>
                <w:color w:val="auto"/>
                <w:spacing w:val="4"/>
                <w:kern w:val="2"/>
                <w:sz w:val="24"/>
                <w:szCs w:val="24"/>
                <w:highlight w:val="none"/>
                <w:u w:val="none"/>
                <w:lang w:val="en-US" w:eastAsia="zh-CN" w:bidi="ar-SA"/>
              </w:rPr>
              <w:t>西北</w:t>
            </w:r>
            <w:r>
              <w:rPr>
                <w:rFonts w:hint="eastAsia" w:ascii="Times New Roman" w:hAnsi="Times New Roman" w:eastAsia="宋体" w:cs="Times New Roman"/>
                <w:color w:val="auto"/>
                <w:spacing w:val="4"/>
                <w:kern w:val="2"/>
                <w:sz w:val="24"/>
                <w:szCs w:val="24"/>
                <w:highlight w:val="none"/>
                <w:u w:val="none"/>
                <w:lang w:val="en-US" w:eastAsia="zh-CN" w:bidi="ar-SA"/>
              </w:rPr>
              <w:t>侧，</w:t>
            </w:r>
            <w:r>
              <w:rPr>
                <w:rFonts w:hint="eastAsia" w:ascii="Times New Roman" w:hAnsi="Times New Roman" w:cs="Times New Roman"/>
                <w:color w:val="auto"/>
                <w:spacing w:val="4"/>
                <w:kern w:val="2"/>
                <w:sz w:val="24"/>
                <w:szCs w:val="24"/>
                <w:highlight w:val="none"/>
                <w:u w:val="none"/>
                <w:lang w:val="en-US" w:eastAsia="zh-CN" w:bidi="ar-SA"/>
              </w:rPr>
              <w:t>进场道路</w:t>
            </w:r>
            <w:r>
              <w:rPr>
                <w:rFonts w:hint="eastAsia" w:ascii="Times New Roman" w:hAnsi="Times New Roman" w:eastAsia="宋体" w:cs="Times New Roman"/>
                <w:color w:val="auto"/>
                <w:spacing w:val="4"/>
                <w:kern w:val="2"/>
                <w:sz w:val="24"/>
                <w:szCs w:val="24"/>
                <w:highlight w:val="none"/>
                <w:u w:val="none"/>
                <w:lang w:val="en-US" w:eastAsia="zh-CN" w:bidi="ar-SA"/>
              </w:rPr>
              <w:t>与厂区</w:t>
            </w:r>
            <w:r>
              <w:rPr>
                <w:rFonts w:hint="eastAsia" w:ascii="Times New Roman" w:hAnsi="Times New Roman" w:cs="Times New Roman"/>
                <w:color w:val="auto"/>
                <w:spacing w:val="4"/>
                <w:kern w:val="2"/>
                <w:sz w:val="24"/>
                <w:szCs w:val="24"/>
                <w:highlight w:val="none"/>
                <w:u w:val="none"/>
                <w:lang w:val="en-US" w:eastAsia="zh-CN" w:bidi="ar-SA"/>
              </w:rPr>
              <w:t>北侧</w:t>
            </w:r>
            <w:r>
              <w:rPr>
                <w:rFonts w:hint="eastAsia" w:ascii="Times New Roman" w:hAnsi="Times New Roman" w:eastAsia="宋体" w:cs="Times New Roman"/>
                <w:color w:val="auto"/>
                <w:spacing w:val="4"/>
                <w:kern w:val="2"/>
                <w:sz w:val="24"/>
                <w:szCs w:val="24"/>
                <w:highlight w:val="none"/>
                <w:u w:val="none"/>
                <w:lang w:val="en-US" w:eastAsia="zh-CN" w:bidi="ar-SA"/>
              </w:rPr>
              <w:t>道路相接，便于对外联系。污水进口管道设置于厂区</w:t>
            </w:r>
            <w:r>
              <w:rPr>
                <w:rFonts w:hint="eastAsia" w:ascii="Times New Roman" w:hAnsi="Times New Roman" w:cs="Times New Roman"/>
                <w:color w:val="auto"/>
                <w:spacing w:val="4"/>
                <w:kern w:val="2"/>
                <w:sz w:val="24"/>
                <w:szCs w:val="24"/>
                <w:highlight w:val="none"/>
                <w:u w:val="none"/>
                <w:lang w:val="en-US" w:eastAsia="zh-CN" w:bidi="ar-SA"/>
              </w:rPr>
              <w:t>东</w:t>
            </w:r>
            <w:r>
              <w:rPr>
                <w:rFonts w:hint="eastAsia" w:ascii="Times New Roman" w:hAnsi="Times New Roman" w:eastAsia="宋体" w:cs="Times New Roman"/>
                <w:color w:val="auto"/>
                <w:spacing w:val="4"/>
                <w:kern w:val="2"/>
                <w:sz w:val="24"/>
                <w:szCs w:val="24"/>
                <w:highlight w:val="none"/>
                <w:u w:val="none"/>
                <w:lang w:val="en-US" w:eastAsia="zh-CN" w:bidi="ar-SA"/>
              </w:rPr>
              <w:t>北侧，进厂后进入生产区预处理系统，经生化处理系统工艺深度处理、紫外消毒后从厂区</w:t>
            </w:r>
            <w:r>
              <w:rPr>
                <w:rFonts w:hint="eastAsia" w:ascii="Times New Roman" w:hAnsi="Times New Roman" w:cs="Times New Roman"/>
                <w:color w:val="auto"/>
                <w:spacing w:val="4"/>
                <w:kern w:val="2"/>
                <w:sz w:val="24"/>
                <w:szCs w:val="24"/>
                <w:highlight w:val="none"/>
                <w:u w:val="none"/>
                <w:lang w:val="en-US" w:eastAsia="zh-CN" w:bidi="ar-SA"/>
              </w:rPr>
              <w:t>东侧</w:t>
            </w:r>
            <w:r>
              <w:rPr>
                <w:rFonts w:hint="eastAsia" w:ascii="Times New Roman" w:hAnsi="Times New Roman" w:eastAsia="宋体" w:cs="Times New Roman"/>
                <w:color w:val="auto"/>
                <w:spacing w:val="4"/>
                <w:kern w:val="2"/>
                <w:sz w:val="24"/>
                <w:szCs w:val="24"/>
                <w:highlight w:val="none"/>
                <w:u w:val="none"/>
                <w:lang w:val="en-US" w:eastAsia="zh-CN" w:bidi="ar-SA"/>
              </w:rPr>
              <w:t>侧经排放管排入</w:t>
            </w:r>
            <w:r>
              <w:rPr>
                <w:rFonts w:hint="eastAsia" w:ascii="Times New Roman" w:hAnsi="Times New Roman" w:cs="Times New Roman"/>
                <w:color w:val="auto"/>
                <w:spacing w:val="4"/>
                <w:kern w:val="2"/>
                <w:sz w:val="24"/>
                <w:szCs w:val="24"/>
                <w:highlight w:val="none"/>
                <w:u w:val="none"/>
                <w:lang w:val="en-US" w:eastAsia="zh-CN" w:bidi="ar-SA"/>
              </w:rPr>
              <w:t>果利河</w:t>
            </w:r>
            <w:r>
              <w:rPr>
                <w:rFonts w:hint="eastAsia" w:ascii="Times New Roman" w:hAnsi="Times New Roman" w:eastAsia="宋体" w:cs="Times New Roman"/>
                <w:color w:val="auto"/>
                <w:spacing w:val="4"/>
                <w:kern w:val="2"/>
                <w:sz w:val="24"/>
                <w:szCs w:val="24"/>
                <w:highlight w:val="none"/>
                <w:u w:val="none"/>
                <w:lang w:val="en-US" w:eastAsia="zh-CN" w:bidi="ar-SA"/>
              </w:rPr>
              <w:t>。具体可见附图。</w:t>
            </w:r>
          </w:p>
        </w:tc>
      </w:tr>
    </w:tbl>
    <w:p w14:paraId="7E0AB747">
      <w:pPr>
        <w:spacing w:line="360" w:lineRule="auto"/>
        <w:outlineLvl w:val="0"/>
        <w:rPr>
          <w:rFonts w:eastAsia="黑体"/>
          <w:color w:val="auto"/>
          <w:sz w:val="30"/>
        </w:rPr>
        <w:sectPr>
          <w:footerReference r:id="rId5" w:type="default"/>
          <w:pgSz w:w="11906" w:h="16838"/>
          <w:pgMar w:top="1440" w:right="1417" w:bottom="1440" w:left="1417" w:header="992" w:footer="850" w:gutter="0"/>
          <w:pgBorders>
            <w:top w:val="none" w:sz="0" w:space="0"/>
            <w:left w:val="none" w:sz="0" w:space="0"/>
            <w:bottom w:val="none" w:sz="0" w:space="0"/>
            <w:right w:val="none" w:sz="0" w:space="0"/>
          </w:pgBorders>
          <w:pgNumType w:fmt="decimal" w:start="1"/>
          <w:cols w:space="720" w:num="1"/>
          <w:docGrid w:type="lines" w:linePitch="312" w:charSpace="0"/>
        </w:sectPr>
      </w:pPr>
    </w:p>
    <w:p w14:paraId="0CC8CEFD">
      <w:pPr>
        <w:pStyle w:val="27"/>
        <w:spacing w:before="0" w:beforeAutospacing="0" w:after="0" w:afterAutospacing="0"/>
        <w:jc w:val="center"/>
        <w:outlineLvl w:val="0"/>
        <w:rPr>
          <w:rFonts w:hint="eastAsia" w:ascii="Times New Roman" w:hAnsi="Times New Roman" w:eastAsia="黑体"/>
          <w:snapToGrid w:val="0"/>
          <w:color w:val="auto"/>
          <w:sz w:val="30"/>
          <w:szCs w:val="30"/>
        </w:rPr>
      </w:pPr>
      <w:bookmarkStart w:id="2" w:name="_Toc10330"/>
      <w:r>
        <w:rPr>
          <w:rFonts w:hint="eastAsia" w:ascii="Times New Roman" w:hAnsi="Times New Roman" w:eastAsia="黑体"/>
          <w:snapToGrid w:val="0"/>
          <w:color w:val="auto"/>
          <w:sz w:val="30"/>
          <w:szCs w:val="30"/>
        </w:rPr>
        <w:t>二、建设项目工程分析</w:t>
      </w:r>
      <w:bookmarkEnd w:id="2"/>
    </w:p>
    <w:tbl>
      <w:tblPr>
        <w:tblStyle w:val="32"/>
        <w:tblW w:w="92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5"/>
        <w:gridCol w:w="8833"/>
      </w:tblGrid>
      <w:tr w14:paraId="3B14AE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5" w:type="dxa"/>
            <w:vAlign w:val="center"/>
          </w:tcPr>
          <w:p w14:paraId="66DA008F">
            <w:pPr>
              <w:pStyle w:val="27"/>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rPr>
              <w:t>建设内容</w:t>
            </w:r>
          </w:p>
        </w:tc>
        <w:tc>
          <w:tcPr>
            <w:tcW w:w="8833" w:type="dxa"/>
            <w:vAlign w:val="top"/>
          </w:tcPr>
          <w:p w14:paraId="75F15B44">
            <w:pPr>
              <w:pStyle w:val="27"/>
              <w:spacing w:before="0" w:beforeAutospacing="0" w:after="0" w:afterAutospacing="0" w:line="360" w:lineRule="auto"/>
              <w:ind w:firstLine="482" w:firstLineChars="200"/>
              <w:rPr>
                <w:rFonts w:ascii="Times New Roman" w:hAnsi="Times New Roman"/>
                <w:b/>
                <w:bCs/>
                <w:color w:val="auto"/>
                <w:szCs w:val="24"/>
              </w:rPr>
            </w:pPr>
            <w:r>
              <w:rPr>
                <w:rFonts w:ascii="Times New Roman" w:hAnsi="Times New Roman"/>
                <w:b/>
                <w:bCs/>
                <w:color w:val="auto"/>
                <w:szCs w:val="24"/>
              </w:rPr>
              <w:t>1、项目由来</w:t>
            </w:r>
          </w:p>
          <w:p w14:paraId="4FE53CAE">
            <w:pPr>
              <w:pStyle w:val="27"/>
              <w:keepNext w:val="0"/>
              <w:keepLines w:val="0"/>
              <w:pageBreakBefore w:val="0"/>
              <w:widowControl/>
              <w:kinsoku/>
              <w:wordWrap w:val="0"/>
              <w:overflowPunct/>
              <w:topLinePunct w:val="0"/>
              <w:autoSpaceDE/>
              <w:autoSpaceDN/>
              <w:bidi w:val="0"/>
              <w:adjustRightInd/>
              <w:snapToGrid/>
              <w:spacing w:before="0" w:beforeAutospacing="0" w:after="0" w:afterAutospacing="0" w:line="360" w:lineRule="auto"/>
              <w:ind w:firstLine="480" w:firstLineChars="200"/>
              <w:textAlignment w:val="auto"/>
              <w:rPr>
                <w:rFonts w:hint="eastAsia" w:ascii="Times New Roman" w:hAnsi="Times New Roman"/>
                <w:color w:val="auto"/>
                <w:sz w:val="24"/>
                <w:szCs w:val="23"/>
                <w:lang w:val="en-US" w:eastAsia="zh-CN"/>
              </w:rPr>
            </w:pPr>
            <w:r>
              <w:rPr>
                <w:rFonts w:hint="eastAsia" w:ascii="Times New Roman" w:hAnsi="Times New Roman"/>
                <w:color w:val="auto"/>
                <w:sz w:val="24"/>
                <w:szCs w:val="23"/>
                <w:lang w:val="en-US" w:eastAsia="zh-CN"/>
              </w:rPr>
              <w:t>高铁新城片区现状建成区面积约1.5平方公里，常住人口约2万人。主要为老城区功能的拓展区域，该片区未设置有集中式污水处理设施和纳污管网，生活污水未经集中处理便直接排入周围地表水体，对区域地表水环境造成一定影响。</w:t>
            </w:r>
          </w:p>
          <w:p w14:paraId="259CBC62">
            <w:pPr>
              <w:pStyle w:val="27"/>
              <w:keepNext w:val="0"/>
              <w:keepLines w:val="0"/>
              <w:pageBreakBefore w:val="0"/>
              <w:widowControl/>
              <w:kinsoku/>
              <w:wordWrap w:val="0"/>
              <w:overflowPunct/>
              <w:topLinePunct w:val="0"/>
              <w:autoSpaceDE/>
              <w:autoSpaceDN/>
              <w:bidi w:val="0"/>
              <w:adjustRightInd/>
              <w:snapToGrid/>
              <w:spacing w:before="0" w:beforeAutospacing="0" w:after="0" w:afterAutospacing="0" w:line="360" w:lineRule="auto"/>
              <w:ind w:firstLine="480" w:firstLineChars="200"/>
              <w:textAlignment w:val="auto"/>
              <w:rPr>
                <w:rFonts w:hint="default" w:ascii="Times New Roman" w:hAnsi="Times New Roman"/>
                <w:color w:val="auto"/>
                <w:sz w:val="24"/>
                <w:szCs w:val="23"/>
                <w:u w:val="single"/>
                <w:lang w:val="en-US" w:eastAsia="zh-CN"/>
              </w:rPr>
            </w:pPr>
            <w:r>
              <w:rPr>
                <w:rFonts w:hint="eastAsia" w:ascii="Times New Roman" w:hAnsi="Times New Roman"/>
                <w:color w:val="auto"/>
                <w:sz w:val="24"/>
                <w:szCs w:val="23"/>
                <w:lang w:val="en-US" w:eastAsia="zh-CN"/>
              </w:rPr>
              <w:t>为进一步保护高铁新区及周边地表水环境，龙山县住房和城乡建设局拟在龙山县高铁新区建设一生活污水处理厂及配套管网用于收集高铁新城片区的生活污水。龙山县城区污水处理设施提质增效工程-高铁新区污水处理设施建设项目配套污水主管网12770米，</w:t>
            </w:r>
            <w:r>
              <w:rPr>
                <w:rFonts w:hint="eastAsia" w:ascii="Times New Roman" w:hAnsi="Times New Roman"/>
                <w:color w:val="auto"/>
                <w:sz w:val="24"/>
                <w:szCs w:val="23"/>
                <w:u w:val="single"/>
                <w:lang w:val="en-US" w:eastAsia="zh-CN"/>
              </w:rPr>
              <w:t>处理规模为近期（2028年）1.5万m</w:t>
            </w:r>
            <w:r>
              <w:rPr>
                <w:rFonts w:hint="eastAsia" w:ascii="Times New Roman" w:hAnsi="Times New Roman"/>
                <w:color w:val="auto"/>
                <w:sz w:val="24"/>
                <w:szCs w:val="23"/>
                <w:u w:val="single"/>
                <w:vertAlign w:val="superscript"/>
                <w:lang w:val="en-US" w:eastAsia="zh-CN"/>
              </w:rPr>
              <w:t>3</w:t>
            </w:r>
            <w:r>
              <w:rPr>
                <w:rFonts w:hint="eastAsia" w:ascii="Times New Roman" w:hAnsi="Times New Roman"/>
                <w:color w:val="auto"/>
                <w:sz w:val="24"/>
                <w:szCs w:val="23"/>
                <w:u w:val="single"/>
                <w:lang w:val="en-US" w:eastAsia="zh-CN"/>
              </w:rPr>
              <w:t>/d，远期（2035年）2.5万m</w:t>
            </w:r>
            <w:r>
              <w:rPr>
                <w:rFonts w:hint="eastAsia" w:ascii="Times New Roman" w:hAnsi="Times New Roman"/>
                <w:color w:val="auto"/>
                <w:sz w:val="24"/>
                <w:szCs w:val="23"/>
                <w:u w:val="single"/>
                <w:vertAlign w:val="superscript"/>
                <w:lang w:val="en-US" w:eastAsia="zh-CN"/>
              </w:rPr>
              <w:t>3</w:t>
            </w:r>
            <w:r>
              <w:rPr>
                <w:rFonts w:hint="eastAsia" w:ascii="Times New Roman" w:hAnsi="Times New Roman"/>
                <w:color w:val="auto"/>
                <w:sz w:val="24"/>
                <w:szCs w:val="23"/>
                <w:u w:val="single"/>
                <w:lang w:val="en-US" w:eastAsia="zh-CN"/>
              </w:rPr>
              <w:t>/d。近期处理工艺为A</w:t>
            </w:r>
            <w:r>
              <w:rPr>
                <w:rFonts w:hint="eastAsia" w:ascii="Times New Roman" w:hAnsi="Times New Roman"/>
                <w:color w:val="auto"/>
                <w:sz w:val="24"/>
                <w:szCs w:val="23"/>
                <w:u w:val="single"/>
                <w:vertAlign w:val="superscript"/>
                <w:lang w:val="en-US" w:eastAsia="zh-CN"/>
              </w:rPr>
              <w:t>2</w:t>
            </w:r>
            <w:r>
              <w:rPr>
                <w:rFonts w:hint="eastAsia" w:ascii="Times New Roman" w:hAnsi="Times New Roman"/>
                <w:color w:val="auto"/>
                <w:sz w:val="24"/>
                <w:szCs w:val="23"/>
                <w:u w:val="single"/>
                <w:lang w:val="en-US" w:eastAsia="zh-CN"/>
              </w:rPr>
              <w:t>O工艺（粗格栅—细格栅、旋流沉砂池—</w:t>
            </w:r>
            <w:r>
              <w:rPr>
                <w:rFonts w:hint="eastAsia" w:cs="Times New Roman"/>
                <w:color w:val="auto"/>
                <w:kern w:val="2"/>
                <w:sz w:val="24"/>
                <w:szCs w:val="24"/>
                <w:lang w:val="en-US" w:eastAsia="zh-CN" w:bidi="ar-SA"/>
              </w:rPr>
              <w:t>水解酸化—</w:t>
            </w:r>
            <w:r>
              <w:rPr>
                <w:rFonts w:hint="eastAsia" w:ascii="Times New Roman" w:hAnsi="Times New Roman"/>
                <w:color w:val="auto"/>
                <w:sz w:val="24"/>
                <w:szCs w:val="23"/>
                <w:u w:val="single"/>
                <w:lang w:val="en-US" w:eastAsia="zh-CN"/>
              </w:rPr>
              <w:t>AAO好氧厌氧池—二沉池—高效沉淀池—滤布滤池—紫外消毒），</w:t>
            </w:r>
            <w:r>
              <w:rPr>
                <w:rFonts w:hint="eastAsia" w:ascii="Times New Roman" w:hAnsi="Times New Roman"/>
                <w:color w:val="auto"/>
                <w:sz w:val="24"/>
                <w:szCs w:val="23"/>
                <w:lang w:val="en-US" w:eastAsia="zh-CN"/>
              </w:rPr>
              <w:t>项目估算总投资为9078.28万元。</w:t>
            </w:r>
            <w:r>
              <w:rPr>
                <w:rFonts w:hint="eastAsia" w:ascii="Times New Roman" w:hAnsi="Times New Roman"/>
                <w:color w:val="auto"/>
                <w:sz w:val="24"/>
                <w:szCs w:val="23"/>
                <w:u w:val="single"/>
                <w:lang w:val="en-US" w:eastAsia="zh-CN"/>
              </w:rPr>
              <w:t>本次环评只包含近期1.5万m</w:t>
            </w:r>
            <w:r>
              <w:rPr>
                <w:rFonts w:hint="eastAsia" w:ascii="Times New Roman" w:hAnsi="Times New Roman"/>
                <w:color w:val="auto"/>
                <w:sz w:val="24"/>
                <w:szCs w:val="23"/>
                <w:u w:val="single"/>
                <w:vertAlign w:val="superscript"/>
                <w:lang w:val="en-US" w:eastAsia="zh-CN"/>
              </w:rPr>
              <w:t>3</w:t>
            </w:r>
            <w:r>
              <w:rPr>
                <w:rFonts w:hint="eastAsia" w:ascii="Times New Roman" w:hAnsi="Times New Roman"/>
                <w:color w:val="auto"/>
                <w:sz w:val="24"/>
                <w:szCs w:val="23"/>
                <w:u w:val="single"/>
                <w:lang w:val="en-US" w:eastAsia="zh-CN"/>
              </w:rPr>
              <w:t>/d，</w:t>
            </w:r>
            <w:r>
              <w:rPr>
                <w:rFonts w:hint="eastAsia"/>
                <w:color w:val="auto"/>
                <w:u w:val="single"/>
              </w:rPr>
              <w:t>土建工程按远期建设</w:t>
            </w:r>
            <w:r>
              <w:rPr>
                <w:rFonts w:hint="eastAsia" w:ascii="Times New Roman" w:hAnsi="Times New Roman"/>
                <w:color w:val="auto"/>
                <w:sz w:val="24"/>
                <w:szCs w:val="23"/>
                <w:u w:val="single"/>
                <w:lang w:val="en-US" w:eastAsia="zh-CN"/>
              </w:rPr>
              <w:t>。</w:t>
            </w:r>
          </w:p>
          <w:p w14:paraId="6C7C5B46">
            <w:pPr>
              <w:pStyle w:val="27"/>
              <w:keepNext w:val="0"/>
              <w:keepLines w:val="0"/>
              <w:pageBreakBefore w:val="0"/>
              <w:widowControl/>
              <w:kinsoku/>
              <w:wordWrap w:val="0"/>
              <w:overflowPunct/>
              <w:topLinePunct w:val="0"/>
              <w:autoSpaceDE/>
              <w:autoSpaceDN/>
              <w:bidi w:val="0"/>
              <w:adjustRightInd/>
              <w:snapToGrid/>
              <w:spacing w:before="0" w:beforeAutospacing="0" w:after="0" w:afterAutospacing="0" w:line="360" w:lineRule="auto"/>
              <w:ind w:firstLine="480" w:firstLineChars="200"/>
              <w:textAlignment w:val="auto"/>
              <w:rPr>
                <w:rFonts w:hint="eastAsia" w:ascii="Times New Roman" w:hAnsi="Times New Roman"/>
                <w:color w:val="auto"/>
                <w:sz w:val="24"/>
                <w:szCs w:val="23"/>
                <w:lang w:val="en-US" w:eastAsia="zh-CN"/>
              </w:rPr>
            </w:pPr>
            <w:r>
              <w:rPr>
                <w:rFonts w:hint="eastAsia" w:ascii="Times New Roman" w:hAnsi="Times New Roman"/>
                <w:color w:val="auto"/>
                <w:sz w:val="24"/>
                <w:szCs w:val="23"/>
                <w:lang w:val="en-US" w:eastAsia="zh-CN"/>
              </w:rPr>
              <w:t>根据《建设项目环境影响评价分类管理名录》（2021 年版），“四十三、水的生产和供应—95.污水处理及其再生利用—新建、扩建日处理 10 万吨以下500 吨以上城乡污水处理的”需编制环境影响报告表，高铁新区污水处理厂为新建项目，建设规模为1.5万m</w:t>
            </w:r>
            <w:r>
              <w:rPr>
                <w:rFonts w:hint="eastAsia" w:ascii="Times New Roman" w:hAnsi="Times New Roman"/>
                <w:color w:val="auto"/>
                <w:sz w:val="24"/>
                <w:szCs w:val="23"/>
                <w:vertAlign w:val="superscript"/>
                <w:lang w:val="en-US" w:eastAsia="zh-CN"/>
              </w:rPr>
              <w:t>3</w:t>
            </w:r>
            <w:r>
              <w:rPr>
                <w:rFonts w:hint="eastAsia" w:ascii="Times New Roman" w:hAnsi="Times New Roman"/>
                <w:color w:val="auto"/>
                <w:sz w:val="24"/>
                <w:szCs w:val="23"/>
                <w:lang w:val="en-US" w:eastAsia="zh-CN"/>
              </w:rPr>
              <w:t>/d，应编制环境影响报告表。</w:t>
            </w:r>
          </w:p>
          <w:p w14:paraId="376804AA">
            <w:pPr>
              <w:pStyle w:val="27"/>
              <w:keepNext w:val="0"/>
              <w:keepLines w:val="0"/>
              <w:pageBreakBefore w:val="0"/>
              <w:widowControl/>
              <w:kinsoku/>
              <w:wordWrap w:val="0"/>
              <w:overflowPunct/>
              <w:topLinePunct w:val="0"/>
              <w:autoSpaceDE/>
              <w:autoSpaceDN/>
              <w:bidi w:val="0"/>
              <w:adjustRightInd/>
              <w:snapToGrid/>
              <w:spacing w:before="0" w:beforeAutospacing="0" w:after="0" w:afterAutospacing="0" w:line="360" w:lineRule="auto"/>
              <w:ind w:firstLine="480" w:firstLineChars="200"/>
              <w:textAlignment w:val="auto"/>
              <w:rPr>
                <w:rFonts w:hint="eastAsia" w:ascii="Times New Roman" w:hAnsi="Times New Roman"/>
                <w:color w:val="auto"/>
                <w:sz w:val="24"/>
                <w:szCs w:val="23"/>
                <w:lang w:val="en-US" w:eastAsia="zh-CN"/>
              </w:rPr>
            </w:pPr>
            <w:r>
              <w:rPr>
                <w:rFonts w:hint="eastAsia" w:ascii="Times New Roman" w:hAnsi="Times New Roman"/>
                <w:color w:val="auto"/>
                <w:sz w:val="24"/>
                <w:szCs w:val="23"/>
                <w:lang w:val="en-US" w:eastAsia="zh-CN"/>
              </w:rPr>
              <w:t>为推进项目顺利进行，龙山县住房和城乡建设局委托湖南子江环境科技有限公司开展环境影响评价工作，接受委托后，湖南子江环境科技有限公司环评技术员按照有关环保的法律法规和技术导则要求，通过现场勘测、收集资料、分析评价，在建设方提供的有关文件资料的基础上，编制了《龙山县城区污水处理设施提质增效工程-高铁新区污水处理设施建设项目环境影响报告表》。</w:t>
            </w:r>
          </w:p>
          <w:p w14:paraId="371D4858">
            <w:pPr>
              <w:spacing w:line="360" w:lineRule="auto"/>
              <w:ind w:firstLine="482" w:firstLineChars="200"/>
              <w:jc w:val="left"/>
              <w:rPr>
                <w:rFonts w:hint="default" w:eastAsia="宋体"/>
                <w:b/>
                <w:bCs/>
                <w:color w:val="auto"/>
                <w:sz w:val="24"/>
                <w:lang w:val="en-US" w:eastAsia="zh-CN"/>
              </w:rPr>
            </w:pPr>
            <w:r>
              <w:rPr>
                <w:b/>
                <w:bCs/>
                <w:color w:val="auto"/>
                <w:sz w:val="24"/>
              </w:rPr>
              <w:t>2、</w:t>
            </w:r>
            <w:r>
              <w:rPr>
                <w:rFonts w:hint="eastAsia"/>
                <w:b/>
                <w:bCs/>
                <w:color w:val="auto"/>
                <w:sz w:val="24"/>
                <w:lang w:val="en-US" w:eastAsia="zh-CN"/>
              </w:rPr>
              <w:t>项目</w:t>
            </w:r>
            <w:r>
              <w:rPr>
                <w:b/>
                <w:bCs/>
                <w:color w:val="auto"/>
                <w:sz w:val="24"/>
              </w:rPr>
              <w:t>建设内容</w:t>
            </w:r>
            <w:r>
              <w:rPr>
                <w:rFonts w:hint="eastAsia"/>
                <w:b/>
                <w:bCs/>
                <w:color w:val="auto"/>
                <w:sz w:val="24"/>
                <w:lang w:val="en-US" w:eastAsia="zh-CN"/>
              </w:rPr>
              <w:t>及组成</w:t>
            </w:r>
          </w:p>
          <w:p w14:paraId="5012568B">
            <w:pPr>
              <w:spacing w:line="360" w:lineRule="auto"/>
              <w:ind w:firstLine="482" w:firstLineChars="200"/>
              <w:rPr>
                <w:rFonts w:hint="eastAsia" w:ascii="Times New Roman" w:hAnsi="Times New Roman" w:eastAsia="宋体" w:cs="Times New Roman"/>
                <w:color w:val="auto"/>
                <w:kern w:val="2"/>
                <w:sz w:val="24"/>
                <w:szCs w:val="24"/>
                <w:lang w:val="en-US" w:eastAsia="zh-CN" w:bidi="ar-SA"/>
              </w:rPr>
            </w:pPr>
            <w:r>
              <w:rPr>
                <w:rFonts w:hint="eastAsia"/>
                <w:b/>
                <w:bCs/>
                <w:color w:val="auto"/>
                <w:sz w:val="24"/>
                <w:lang w:eastAsia="zh-CN"/>
              </w:rPr>
              <w:t>（</w:t>
            </w:r>
            <w:r>
              <w:rPr>
                <w:rFonts w:hint="eastAsia"/>
                <w:b/>
                <w:bCs/>
                <w:color w:val="auto"/>
                <w:sz w:val="24"/>
                <w:lang w:val="en-US" w:eastAsia="zh-CN"/>
              </w:rPr>
              <w:t>1</w:t>
            </w:r>
            <w:r>
              <w:rPr>
                <w:rFonts w:hint="eastAsia"/>
                <w:b/>
                <w:bCs/>
                <w:color w:val="auto"/>
                <w:sz w:val="24"/>
                <w:lang w:eastAsia="zh-CN"/>
              </w:rPr>
              <w:t>）</w:t>
            </w:r>
            <w:r>
              <w:rPr>
                <w:rFonts w:hint="eastAsia"/>
                <w:b/>
                <w:bCs/>
                <w:color w:val="auto"/>
                <w:sz w:val="24"/>
                <w:lang w:val="en-US" w:eastAsia="zh-CN"/>
              </w:rPr>
              <w:t>建设内容</w:t>
            </w:r>
          </w:p>
          <w:p w14:paraId="67C4D203">
            <w:pPr>
              <w:pStyle w:val="31"/>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482" w:firstLineChars="200"/>
              <w:textAlignment w:val="auto"/>
              <w:rPr>
                <w:rFonts w:hint="eastAsia" w:ascii="Times New Roman" w:hAnsi="Times New Roman" w:cs="Times New Roman"/>
                <w:b/>
                <w:bCs/>
                <w:color w:val="auto"/>
                <w:kern w:val="2"/>
                <w:sz w:val="24"/>
                <w:szCs w:val="24"/>
                <w:lang w:val="en-US" w:eastAsia="zh-CN" w:bidi="ar-SA"/>
              </w:rPr>
            </w:pPr>
            <w:r>
              <w:rPr>
                <w:rFonts w:hint="eastAsia" w:cs="Times New Roman"/>
                <w:b/>
                <w:bCs/>
                <w:color w:val="auto"/>
                <w:kern w:val="2"/>
                <w:sz w:val="24"/>
                <w:szCs w:val="24"/>
                <w:lang w:val="en-US" w:eastAsia="zh-CN" w:bidi="ar-SA"/>
              </w:rPr>
              <w:t>污水处理厂工程：</w:t>
            </w:r>
          </w:p>
          <w:p w14:paraId="3B3A8CB9">
            <w:pPr>
              <w:pStyle w:val="31"/>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480" w:firstLineChars="200"/>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cs="Times New Roman"/>
                <w:color w:val="auto"/>
                <w:kern w:val="2"/>
                <w:sz w:val="24"/>
                <w:szCs w:val="24"/>
                <w:lang w:val="en-US" w:eastAsia="zh-CN" w:bidi="ar-SA"/>
              </w:rPr>
              <w:t>项目</w:t>
            </w:r>
            <w:r>
              <w:rPr>
                <w:rFonts w:hint="eastAsia" w:ascii="Times New Roman" w:hAnsi="Times New Roman" w:eastAsia="宋体" w:cs="Times New Roman"/>
                <w:color w:val="auto"/>
                <w:kern w:val="2"/>
                <w:sz w:val="24"/>
                <w:szCs w:val="24"/>
                <w:lang w:val="en-US" w:eastAsia="zh-CN" w:bidi="ar-SA"/>
              </w:rPr>
              <w:t>配套污水主管网12770米，处理规模为近期（2028年）1.5万m</w:t>
            </w:r>
            <w:r>
              <w:rPr>
                <w:rFonts w:hint="eastAsia" w:ascii="Times New Roman" w:hAnsi="Times New Roman" w:eastAsia="宋体" w:cs="Times New Roman"/>
                <w:color w:val="auto"/>
                <w:kern w:val="2"/>
                <w:sz w:val="24"/>
                <w:szCs w:val="24"/>
                <w:vertAlign w:val="superscript"/>
                <w:lang w:val="en-US" w:eastAsia="zh-CN" w:bidi="ar-SA"/>
              </w:rPr>
              <w:t>3</w:t>
            </w:r>
            <w:r>
              <w:rPr>
                <w:rFonts w:hint="eastAsia" w:ascii="Times New Roman" w:hAnsi="Times New Roman" w:eastAsia="宋体" w:cs="Times New Roman"/>
                <w:color w:val="auto"/>
                <w:kern w:val="2"/>
                <w:sz w:val="24"/>
                <w:szCs w:val="24"/>
                <w:lang w:val="en-US" w:eastAsia="zh-CN" w:bidi="ar-SA"/>
              </w:rPr>
              <w:t>/d，远期（2035 年）2.5万m</w:t>
            </w:r>
            <w:r>
              <w:rPr>
                <w:rFonts w:hint="eastAsia" w:ascii="Times New Roman" w:hAnsi="Times New Roman" w:eastAsia="宋体" w:cs="Times New Roman"/>
                <w:color w:val="auto"/>
                <w:kern w:val="2"/>
                <w:sz w:val="24"/>
                <w:szCs w:val="24"/>
                <w:vertAlign w:val="superscript"/>
                <w:lang w:val="en-US" w:eastAsia="zh-CN" w:bidi="ar-SA"/>
              </w:rPr>
              <w:t>3</w:t>
            </w:r>
            <w:r>
              <w:rPr>
                <w:rFonts w:hint="eastAsia" w:ascii="Times New Roman" w:hAnsi="Times New Roman" w:eastAsia="宋体" w:cs="Times New Roman"/>
                <w:color w:val="auto"/>
                <w:kern w:val="2"/>
                <w:sz w:val="24"/>
                <w:szCs w:val="24"/>
                <w:lang w:val="en-US" w:eastAsia="zh-CN" w:bidi="ar-SA"/>
              </w:rPr>
              <w:t>/d，处理工艺为A</w:t>
            </w:r>
            <w:r>
              <w:rPr>
                <w:rFonts w:hint="eastAsia" w:ascii="Times New Roman" w:hAnsi="Times New Roman" w:eastAsia="宋体" w:cs="Times New Roman"/>
                <w:color w:val="auto"/>
                <w:kern w:val="2"/>
                <w:sz w:val="24"/>
                <w:szCs w:val="24"/>
                <w:vertAlign w:val="superscript"/>
                <w:lang w:val="en-US" w:eastAsia="zh-CN" w:bidi="ar-SA"/>
              </w:rPr>
              <w:t>2</w:t>
            </w:r>
            <w:r>
              <w:rPr>
                <w:rFonts w:hint="eastAsia" w:ascii="Times New Roman" w:hAnsi="Times New Roman" w:eastAsia="宋体" w:cs="Times New Roman"/>
                <w:color w:val="auto"/>
                <w:kern w:val="2"/>
                <w:sz w:val="24"/>
                <w:szCs w:val="24"/>
                <w:lang w:val="en-US" w:eastAsia="zh-CN" w:bidi="ar-SA"/>
              </w:rPr>
              <w:t>O工艺（粗格栅—细格栅、旋流沉砂池—</w:t>
            </w:r>
            <w:r>
              <w:rPr>
                <w:rFonts w:hint="eastAsia" w:cs="Times New Roman"/>
                <w:color w:val="auto"/>
                <w:kern w:val="2"/>
                <w:sz w:val="24"/>
                <w:szCs w:val="24"/>
                <w:lang w:val="en-US" w:eastAsia="zh-CN" w:bidi="ar-SA"/>
              </w:rPr>
              <w:t>水解酸化</w:t>
            </w:r>
            <w:r>
              <w:rPr>
                <w:rFonts w:hint="eastAsia" w:ascii="Times New Roman" w:hAnsi="Times New Roman" w:eastAsia="宋体" w:cs="Times New Roman"/>
                <w:color w:val="auto"/>
                <w:kern w:val="2"/>
                <w:sz w:val="24"/>
                <w:szCs w:val="24"/>
                <w:lang w:val="en-US" w:eastAsia="zh-CN" w:bidi="ar-SA"/>
              </w:rPr>
              <w:t>—AAO好氧厌氧池—二沉池—高效沉淀池—滤布滤池—紫外消毒）。本次环评只包含近期1.5万m</w:t>
            </w:r>
            <w:r>
              <w:rPr>
                <w:rFonts w:hint="eastAsia" w:ascii="Times New Roman" w:hAnsi="Times New Roman" w:eastAsia="宋体" w:cs="Times New Roman"/>
                <w:color w:val="auto"/>
                <w:kern w:val="2"/>
                <w:sz w:val="24"/>
                <w:szCs w:val="24"/>
                <w:vertAlign w:val="superscript"/>
                <w:lang w:val="en-US" w:eastAsia="zh-CN" w:bidi="ar-SA"/>
              </w:rPr>
              <w:t>3</w:t>
            </w:r>
            <w:r>
              <w:rPr>
                <w:rFonts w:hint="eastAsia" w:ascii="Times New Roman" w:hAnsi="Times New Roman" w:eastAsia="宋体" w:cs="Times New Roman"/>
                <w:color w:val="auto"/>
                <w:kern w:val="2"/>
                <w:sz w:val="24"/>
                <w:szCs w:val="24"/>
                <w:lang w:val="en-US" w:eastAsia="zh-CN" w:bidi="ar-SA"/>
              </w:rPr>
              <w:t>/d，土建工程按远期建设，主体工艺设备安装按近期规模安装。项目总占地27057.35m</w:t>
            </w:r>
            <w:r>
              <w:rPr>
                <w:rFonts w:hint="eastAsia" w:ascii="Times New Roman" w:hAnsi="Times New Roman" w:eastAsia="宋体" w:cs="Times New Roman"/>
                <w:color w:val="auto"/>
                <w:kern w:val="2"/>
                <w:sz w:val="24"/>
                <w:szCs w:val="24"/>
                <w:vertAlign w:val="superscript"/>
                <w:lang w:val="en-US" w:eastAsia="zh-CN" w:bidi="ar-SA"/>
              </w:rPr>
              <w:t>2</w:t>
            </w:r>
            <w:r>
              <w:rPr>
                <w:rFonts w:hint="eastAsia" w:ascii="Times New Roman" w:hAnsi="Times New Roman" w:eastAsia="宋体" w:cs="Times New Roman"/>
                <w:color w:val="auto"/>
                <w:kern w:val="2"/>
                <w:sz w:val="24"/>
                <w:szCs w:val="24"/>
                <w:lang w:val="en-US" w:eastAsia="zh-CN" w:bidi="ar-SA"/>
              </w:rPr>
              <w:t>，征地按远期一次征收到位</w:t>
            </w:r>
            <w:r>
              <w:rPr>
                <w:rFonts w:hint="eastAsia" w:ascii="Times New Roman" w:hAnsi="Times New Roman" w:cs="Times New Roman"/>
                <w:color w:val="auto"/>
                <w:kern w:val="2"/>
                <w:sz w:val="24"/>
                <w:szCs w:val="24"/>
                <w:lang w:val="en-US" w:eastAsia="zh-CN" w:bidi="ar-SA"/>
              </w:rPr>
              <w:t>。</w:t>
            </w:r>
          </w:p>
          <w:p w14:paraId="4F5C2364">
            <w:pPr>
              <w:pStyle w:val="31"/>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ind w:firstLine="480" w:firstLineChars="200"/>
              <w:textAlignment w:val="auto"/>
              <w:rPr>
                <w:rFonts w:hint="default"/>
                <w:color w:val="auto"/>
                <w:sz w:val="24"/>
                <w:u w:val="single"/>
                <w:lang w:val="en-US" w:eastAsia="zh-CN"/>
              </w:rPr>
            </w:pPr>
            <w:r>
              <w:rPr>
                <w:rFonts w:hint="eastAsia" w:ascii="Times New Roman" w:hAnsi="Times New Roman" w:eastAsia="宋体" w:cs="Times New Roman"/>
                <w:color w:val="auto"/>
                <w:kern w:val="2"/>
                <w:sz w:val="24"/>
                <w:szCs w:val="24"/>
                <w:lang w:val="en-US" w:eastAsia="zh-CN" w:bidi="ar-SA"/>
              </w:rPr>
              <w:t>主要建</w:t>
            </w:r>
            <w:r>
              <w:rPr>
                <w:rFonts w:hint="eastAsia"/>
                <w:color w:val="auto"/>
                <w:sz w:val="24"/>
                <w:lang w:val="en-US" w:eastAsia="zh-CN"/>
              </w:rPr>
              <w:t>设构筑物粗格栅及提升泵站1座，细格栅及旋流沉砂池1座，AAO生化池2座，二沉池2座，污泥泵站1座，高效沉淀池1座，滤布滤池1座，紫外消毒1座，出水在线监测间，鼓风机房、配电间、危废间及机修间1座，污泥浓缩池2座，污泥均衡池1座，污泥脱水</w:t>
            </w:r>
            <w:r>
              <w:rPr>
                <w:rFonts w:hint="eastAsia"/>
                <w:color w:val="auto"/>
                <w:sz w:val="24"/>
                <w:highlight w:val="none"/>
                <w:lang w:val="en-US" w:eastAsia="zh-CN"/>
              </w:rPr>
              <w:t>车间1座、加药间1座，进水</w:t>
            </w:r>
            <w:r>
              <w:rPr>
                <w:rFonts w:hint="eastAsia"/>
                <w:color w:val="auto"/>
                <w:sz w:val="24"/>
                <w:lang w:val="en-US" w:eastAsia="zh-CN"/>
              </w:rPr>
              <w:t>在线检测间1座，生物除臭1座，传达室1座占地面积19.8</w:t>
            </w:r>
            <w:r>
              <w:rPr>
                <w:rFonts w:hint="eastAsia" w:ascii="Times New Roman" w:hAnsi="Times New Roman"/>
                <w:color w:val="auto"/>
                <w:sz w:val="24"/>
                <w:szCs w:val="23"/>
                <w:lang w:val="en-US" w:eastAsia="zh-CN"/>
              </w:rPr>
              <w:t>m</w:t>
            </w:r>
            <w:r>
              <w:rPr>
                <w:rFonts w:hint="eastAsia" w:ascii="Times New Roman" w:hAnsi="Times New Roman"/>
                <w:color w:val="auto"/>
                <w:sz w:val="24"/>
                <w:szCs w:val="23"/>
                <w:vertAlign w:val="superscript"/>
                <w:lang w:val="en-US" w:eastAsia="zh-CN"/>
              </w:rPr>
              <w:t>2</w:t>
            </w:r>
            <w:r>
              <w:rPr>
                <w:rFonts w:hint="eastAsia"/>
                <w:color w:val="auto"/>
                <w:sz w:val="24"/>
                <w:lang w:val="en-US" w:eastAsia="zh-CN"/>
              </w:rPr>
              <w:t>，综合楼1座占地面积459.0</w:t>
            </w:r>
            <w:r>
              <w:rPr>
                <w:rFonts w:hint="eastAsia" w:ascii="Times New Roman" w:hAnsi="Times New Roman"/>
                <w:color w:val="auto"/>
                <w:sz w:val="24"/>
                <w:szCs w:val="23"/>
                <w:lang w:val="en-US" w:eastAsia="zh-CN"/>
              </w:rPr>
              <w:t>m</w:t>
            </w:r>
            <w:r>
              <w:rPr>
                <w:rFonts w:hint="eastAsia" w:ascii="Times New Roman" w:hAnsi="Times New Roman"/>
                <w:color w:val="auto"/>
                <w:sz w:val="24"/>
                <w:szCs w:val="23"/>
                <w:vertAlign w:val="superscript"/>
                <w:lang w:val="en-US" w:eastAsia="zh-CN"/>
              </w:rPr>
              <w:t>2</w:t>
            </w:r>
            <w:r>
              <w:rPr>
                <w:rFonts w:hint="eastAsia" w:ascii="Times New Roman" w:hAnsi="Times New Roman"/>
                <w:color w:val="auto"/>
                <w:sz w:val="24"/>
                <w:szCs w:val="23"/>
                <w:vertAlign w:val="baseline"/>
                <w:lang w:val="en-US" w:eastAsia="zh-CN"/>
              </w:rPr>
              <w:t>。</w:t>
            </w:r>
          </w:p>
          <w:p w14:paraId="2BA55C75">
            <w:pPr>
              <w:spacing w:line="360" w:lineRule="auto"/>
              <w:ind w:firstLine="482" w:firstLineChars="200"/>
              <w:rPr>
                <w:rFonts w:hint="default"/>
                <w:b/>
                <w:bCs/>
                <w:color w:val="auto"/>
                <w:sz w:val="24"/>
                <w:lang w:val="en-US" w:eastAsia="zh-CN"/>
              </w:rPr>
            </w:pPr>
            <w:r>
              <w:rPr>
                <w:rFonts w:hint="eastAsia"/>
                <w:b/>
                <w:bCs/>
                <w:color w:val="auto"/>
                <w:sz w:val="24"/>
                <w:lang w:eastAsia="zh-CN"/>
              </w:rPr>
              <w:t>（</w:t>
            </w:r>
            <w:r>
              <w:rPr>
                <w:rFonts w:hint="eastAsia"/>
                <w:b/>
                <w:bCs/>
                <w:color w:val="auto"/>
                <w:sz w:val="24"/>
                <w:lang w:val="en-US" w:eastAsia="zh-CN"/>
              </w:rPr>
              <w:t>2</w:t>
            </w:r>
            <w:r>
              <w:rPr>
                <w:rFonts w:hint="eastAsia"/>
                <w:b/>
                <w:bCs/>
                <w:color w:val="auto"/>
                <w:sz w:val="24"/>
                <w:lang w:eastAsia="zh-CN"/>
              </w:rPr>
              <w:t>）</w:t>
            </w:r>
            <w:r>
              <w:rPr>
                <w:rFonts w:hint="eastAsia"/>
                <w:b/>
                <w:bCs/>
                <w:color w:val="auto"/>
                <w:sz w:val="24"/>
                <w:lang w:val="en-US" w:eastAsia="zh-CN"/>
              </w:rPr>
              <w:t>项目组成</w:t>
            </w:r>
          </w:p>
          <w:p w14:paraId="72605786">
            <w:pPr>
              <w:spacing w:line="360" w:lineRule="auto"/>
              <w:ind w:firstLine="480" w:firstLineChars="200"/>
              <w:rPr>
                <w:rFonts w:hint="eastAsia"/>
                <w:color w:val="auto"/>
                <w:sz w:val="24"/>
                <w:lang w:val="en-US" w:eastAsia="zh-CN"/>
              </w:rPr>
            </w:pPr>
            <w:r>
              <w:rPr>
                <w:rFonts w:hint="eastAsia"/>
                <w:color w:val="auto"/>
                <w:sz w:val="24"/>
                <w:lang w:val="en-US" w:eastAsia="zh-CN"/>
              </w:rPr>
              <w:t>项目工程组成见下表：</w:t>
            </w:r>
          </w:p>
          <w:p w14:paraId="212FB9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bCs/>
                <w:color w:val="auto"/>
                <w:szCs w:val="21"/>
                <w:lang w:val="en-US" w:eastAsia="zh-CN"/>
              </w:rPr>
            </w:pPr>
            <w:r>
              <w:rPr>
                <w:b/>
                <w:bCs/>
                <w:color w:val="auto"/>
                <w:szCs w:val="21"/>
              </w:rPr>
              <w:t>表2-</w:t>
            </w:r>
            <w:r>
              <w:rPr>
                <w:rFonts w:hint="eastAsia"/>
                <w:b/>
                <w:bCs/>
                <w:color w:val="auto"/>
                <w:szCs w:val="21"/>
                <w:lang w:val="en-US" w:eastAsia="zh-CN"/>
              </w:rPr>
              <w:t>1</w:t>
            </w:r>
            <w:r>
              <w:rPr>
                <w:b/>
                <w:bCs/>
                <w:color w:val="auto"/>
                <w:szCs w:val="21"/>
              </w:rPr>
              <w:t xml:space="preserve"> </w:t>
            </w:r>
            <w:r>
              <w:rPr>
                <w:rFonts w:hint="eastAsia"/>
                <w:b/>
                <w:bCs/>
                <w:color w:val="auto"/>
                <w:szCs w:val="21"/>
                <w:lang w:val="en-US" w:eastAsia="zh-CN"/>
              </w:rPr>
              <w:t>项目工程组成表</w:t>
            </w:r>
          </w:p>
          <w:tbl>
            <w:tblPr>
              <w:tblStyle w:val="32"/>
              <w:tblW w:w="867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5"/>
              <w:gridCol w:w="1308"/>
              <w:gridCol w:w="3405"/>
              <w:gridCol w:w="3206"/>
            </w:tblGrid>
            <w:tr w14:paraId="16B2D6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2063" w:type="dxa"/>
                  <w:gridSpan w:val="2"/>
                  <w:tcBorders>
                    <w:tl2br w:val="nil"/>
                    <w:tr2bl w:val="nil"/>
                  </w:tcBorders>
                  <w:vAlign w:val="center"/>
                </w:tcPr>
                <w:p w14:paraId="66A13AE3">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bCs/>
                      <w:color w:val="auto"/>
                      <w:sz w:val="21"/>
                      <w:szCs w:val="21"/>
                    </w:rPr>
                  </w:pPr>
                  <w:r>
                    <w:rPr>
                      <w:rFonts w:hint="eastAsia"/>
                      <w:bCs/>
                      <w:color w:val="auto"/>
                      <w:sz w:val="21"/>
                      <w:szCs w:val="21"/>
                      <w:lang w:val="en-US" w:eastAsia="zh-CN"/>
                    </w:rPr>
                    <w:t>项目组成</w:t>
                  </w:r>
                </w:p>
              </w:tc>
              <w:tc>
                <w:tcPr>
                  <w:tcW w:w="3405" w:type="dxa"/>
                  <w:tcBorders>
                    <w:tl2br w:val="nil"/>
                    <w:tr2bl w:val="nil"/>
                  </w:tcBorders>
                  <w:vAlign w:val="center"/>
                </w:tcPr>
                <w:p w14:paraId="66448C63">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规模</w:t>
                  </w:r>
                </w:p>
              </w:tc>
              <w:tc>
                <w:tcPr>
                  <w:tcW w:w="3206" w:type="dxa"/>
                  <w:tcBorders>
                    <w:tl2br w:val="nil"/>
                    <w:tr2bl w:val="nil"/>
                  </w:tcBorders>
                  <w:vAlign w:val="center"/>
                </w:tcPr>
                <w:p w14:paraId="67ED229F">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eastAsia="宋体"/>
                      <w:bCs/>
                      <w:color w:val="auto"/>
                      <w:sz w:val="21"/>
                      <w:szCs w:val="21"/>
                      <w:lang w:val="en-US" w:eastAsia="zh-CN"/>
                    </w:rPr>
                  </w:pPr>
                  <w:r>
                    <w:rPr>
                      <w:rFonts w:hint="eastAsia"/>
                      <w:bCs/>
                      <w:color w:val="auto"/>
                      <w:sz w:val="21"/>
                      <w:szCs w:val="21"/>
                      <w:lang w:val="en-US" w:eastAsia="zh-CN"/>
                    </w:rPr>
                    <w:t>备注</w:t>
                  </w:r>
                </w:p>
              </w:tc>
            </w:tr>
            <w:tr w14:paraId="053BF5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755" w:type="dxa"/>
                  <w:vMerge w:val="restart"/>
                  <w:tcBorders>
                    <w:tl2br w:val="nil"/>
                    <w:tr2bl w:val="nil"/>
                  </w:tcBorders>
                  <w:vAlign w:val="center"/>
                </w:tcPr>
                <w:p w14:paraId="4FAD645D">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eastAsia="宋体"/>
                      <w:color w:val="auto"/>
                      <w:sz w:val="21"/>
                      <w:szCs w:val="21"/>
                      <w:lang w:val="en-US" w:eastAsia="zh-CN"/>
                    </w:rPr>
                  </w:pPr>
                  <w:r>
                    <w:rPr>
                      <w:color w:val="auto"/>
                      <w:sz w:val="21"/>
                      <w:szCs w:val="21"/>
                    </w:rPr>
                    <w:t>主体工程</w:t>
                  </w:r>
                </w:p>
              </w:tc>
              <w:tc>
                <w:tcPr>
                  <w:tcW w:w="1308" w:type="dxa"/>
                  <w:tcBorders>
                    <w:tl2br w:val="nil"/>
                    <w:tr2bl w:val="nil"/>
                  </w:tcBorders>
                  <w:vAlign w:val="center"/>
                </w:tcPr>
                <w:p w14:paraId="0805D121">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color w:val="auto"/>
                      <w:sz w:val="21"/>
                      <w:szCs w:val="21"/>
                      <w:lang w:val="en-US" w:eastAsia="zh-CN"/>
                    </w:rPr>
                  </w:pPr>
                  <w:r>
                    <w:rPr>
                      <w:rFonts w:hint="eastAsia"/>
                      <w:color w:val="auto"/>
                      <w:sz w:val="21"/>
                      <w:szCs w:val="21"/>
                      <w:lang w:val="en-US" w:eastAsia="zh-CN"/>
                    </w:rPr>
                    <w:t>处理规模</w:t>
                  </w:r>
                </w:p>
              </w:tc>
              <w:tc>
                <w:tcPr>
                  <w:tcW w:w="3405" w:type="dxa"/>
                  <w:tcBorders>
                    <w:tl2br w:val="nil"/>
                    <w:tr2bl w:val="nil"/>
                  </w:tcBorders>
                  <w:vAlign w:val="center"/>
                </w:tcPr>
                <w:p w14:paraId="5ECF416C">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1.5万m</w:t>
                  </w:r>
                  <w:r>
                    <w:rPr>
                      <w:rFonts w:hint="eastAsia" w:ascii="Times New Roman" w:hAnsi="Times New Roman" w:cs="Times New Roman"/>
                      <w:color w:val="auto"/>
                      <w:sz w:val="21"/>
                      <w:szCs w:val="21"/>
                      <w:vertAlign w:val="superscript"/>
                      <w:lang w:val="en-US" w:eastAsia="zh-CN"/>
                    </w:rPr>
                    <w:t>3</w:t>
                  </w:r>
                  <w:r>
                    <w:rPr>
                      <w:rFonts w:hint="eastAsia" w:ascii="Times New Roman" w:hAnsi="Times New Roman" w:cs="Times New Roman"/>
                      <w:color w:val="auto"/>
                      <w:sz w:val="21"/>
                      <w:szCs w:val="21"/>
                      <w:lang w:val="en-US" w:eastAsia="zh-CN"/>
                    </w:rPr>
                    <w:t>/d</w:t>
                  </w:r>
                </w:p>
              </w:tc>
              <w:tc>
                <w:tcPr>
                  <w:tcW w:w="3206" w:type="dxa"/>
                  <w:tcBorders>
                    <w:tl2br w:val="nil"/>
                    <w:tr2bl w:val="nil"/>
                  </w:tcBorders>
                  <w:vAlign w:val="center"/>
                </w:tcPr>
                <w:p w14:paraId="2B4A50F1">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eastAsia="宋体"/>
                      <w:color w:val="auto"/>
                      <w:sz w:val="21"/>
                      <w:szCs w:val="21"/>
                      <w:lang w:eastAsia="zh-CN"/>
                    </w:rPr>
                  </w:pPr>
                  <w:r>
                    <w:rPr>
                      <w:rFonts w:hint="eastAsia"/>
                      <w:color w:val="auto"/>
                      <w:sz w:val="21"/>
                      <w:szCs w:val="21"/>
                      <w:lang w:eastAsia="zh-CN"/>
                    </w:rPr>
                    <w:t>新建（近期）</w:t>
                  </w:r>
                </w:p>
              </w:tc>
            </w:tr>
            <w:tr w14:paraId="77E1A6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755" w:type="dxa"/>
                  <w:vMerge w:val="continue"/>
                  <w:tcBorders>
                    <w:tl2br w:val="nil"/>
                    <w:tr2bl w:val="nil"/>
                  </w:tcBorders>
                  <w:vAlign w:val="center"/>
                </w:tcPr>
                <w:p w14:paraId="36390923">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tcBorders>
                    <w:tl2br w:val="nil"/>
                    <w:tr2bl w:val="nil"/>
                  </w:tcBorders>
                  <w:vAlign w:val="center"/>
                </w:tcPr>
                <w:p w14:paraId="6C65F8D1">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color w:val="auto"/>
                      <w:sz w:val="21"/>
                      <w:szCs w:val="21"/>
                      <w:lang w:val="en-US" w:eastAsia="zh-CN"/>
                    </w:rPr>
                  </w:pPr>
                  <w:r>
                    <w:rPr>
                      <w:rFonts w:hint="eastAsia"/>
                      <w:color w:val="auto"/>
                      <w:sz w:val="21"/>
                      <w:szCs w:val="21"/>
                      <w:lang w:val="en-US" w:eastAsia="zh-CN"/>
                    </w:rPr>
                    <w:t>处理工艺</w:t>
                  </w:r>
                </w:p>
              </w:tc>
              <w:tc>
                <w:tcPr>
                  <w:tcW w:w="3405" w:type="dxa"/>
                  <w:tcBorders>
                    <w:tl2br w:val="nil"/>
                    <w:tr2bl w:val="nil"/>
                  </w:tcBorders>
                  <w:vAlign w:val="center"/>
                </w:tcPr>
                <w:p w14:paraId="5B3ECE2A">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A</w:t>
                  </w:r>
                  <w:r>
                    <w:rPr>
                      <w:rFonts w:hint="default" w:ascii="Times New Roman" w:hAnsi="Times New Roman" w:cs="Times New Roman"/>
                      <w:color w:val="auto"/>
                      <w:sz w:val="21"/>
                      <w:szCs w:val="21"/>
                      <w:vertAlign w:val="superscript"/>
                      <w:lang w:val="en-US" w:eastAsia="zh-CN"/>
                    </w:rPr>
                    <w:t>2</w:t>
                  </w:r>
                  <w:r>
                    <w:rPr>
                      <w:rFonts w:hint="default" w:ascii="Times New Roman" w:hAnsi="Times New Roman" w:cs="Times New Roman"/>
                      <w:color w:val="auto"/>
                      <w:sz w:val="21"/>
                      <w:szCs w:val="21"/>
                      <w:lang w:val="en-US" w:eastAsia="zh-CN"/>
                    </w:rPr>
                    <w:t>O 工艺</w:t>
                  </w:r>
                </w:p>
              </w:tc>
              <w:tc>
                <w:tcPr>
                  <w:tcW w:w="3206" w:type="dxa"/>
                  <w:tcBorders>
                    <w:tl2br w:val="nil"/>
                    <w:tr2bl w:val="nil"/>
                  </w:tcBorders>
                  <w:vAlign w:val="center"/>
                </w:tcPr>
                <w:p w14:paraId="31CA1301">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eastAsia="宋体"/>
                      <w:color w:val="auto"/>
                      <w:sz w:val="21"/>
                      <w:szCs w:val="21"/>
                      <w:lang w:eastAsia="zh-CN"/>
                    </w:rPr>
                  </w:pPr>
                  <w:r>
                    <w:rPr>
                      <w:rFonts w:hint="eastAsia"/>
                      <w:color w:val="auto"/>
                      <w:sz w:val="21"/>
                      <w:szCs w:val="21"/>
                      <w:lang w:eastAsia="zh-CN"/>
                    </w:rPr>
                    <w:t>新建</w:t>
                  </w:r>
                </w:p>
              </w:tc>
            </w:tr>
            <w:tr w14:paraId="1AE2F6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continue"/>
                  <w:tcBorders>
                    <w:tl2br w:val="nil"/>
                    <w:tr2bl w:val="nil"/>
                  </w:tcBorders>
                  <w:vAlign w:val="center"/>
                </w:tcPr>
                <w:p w14:paraId="4240AF0B">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vMerge w:val="restart"/>
                  <w:tcBorders>
                    <w:tl2br w:val="nil"/>
                    <w:tr2bl w:val="nil"/>
                  </w:tcBorders>
                  <w:vAlign w:val="center"/>
                </w:tcPr>
                <w:p w14:paraId="3FF1A095">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主要构建物</w:t>
                  </w:r>
                </w:p>
              </w:tc>
              <w:tc>
                <w:tcPr>
                  <w:tcW w:w="3405" w:type="dxa"/>
                  <w:tcBorders>
                    <w:tl2br w:val="nil"/>
                    <w:tr2bl w:val="nil"/>
                  </w:tcBorders>
                  <w:vAlign w:val="center"/>
                </w:tcPr>
                <w:p w14:paraId="416324ED">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粗格栅及提升泵站（1座）</w:t>
                  </w:r>
                </w:p>
              </w:tc>
              <w:tc>
                <w:tcPr>
                  <w:tcW w:w="3206" w:type="dxa"/>
                  <w:tcBorders>
                    <w:tl2br w:val="nil"/>
                    <w:tr2bl w:val="nil"/>
                  </w:tcBorders>
                  <w:vAlign w:val="center"/>
                </w:tcPr>
                <w:p w14:paraId="370722D0">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eastAsia="宋体"/>
                      <w:color w:val="auto"/>
                      <w:sz w:val="21"/>
                      <w:szCs w:val="21"/>
                      <w:lang w:val="en-US" w:eastAsia="zh-CN"/>
                    </w:rPr>
                  </w:pPr>
                  <w:r>
                    <w:rPr>
                      <w:rFonts w:hint="default" w:ascii="Times New Roman" w:hAnsi="Times New Roman" w:cs="Times New Roman"/>
                      <w:color w:val="auto"/>
                      <w:sz w:val="21"/>
                      <w:szCs w:val="21"/>
                      <w:lang w:val="en-US" w:eastAsia="zh-CN"/>
                    </w:rPr>
                    <w:t>土建及设备规模按2.5万m³/d</w:t>
                  </w:r>
                </w:p>
              </w:tc>
            </w:tr>
            <w:tr w14:paraId="7B94CE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continue"/>
                  <w:tcBorders>
                    <w:tl2br w:val="nil"/>
                    <w:tr2bl w:val="nil"/>
                  </w:tcBorders>
                  <w:vAlign w:val="center"/>
                </w:tcPr>
                <w:p w14:paraId="418FB32F">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vMerge w:val="continue"/>
                  <w:tcBorders>
                    <w:tl2br w:val="nil"/>
                    <w:tr2bl w:val="nil"/>
                  </w:tcBorders>
                  <w:vAlign w:val="center"/>
                </w:tcPr>
                <w:p w14:paraId="4EC8FEF4">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ascii="Times New Roman" w:hAnsi="Times New Roman" w:cs="Times New Roman"/>
                      <w:color w:val="auto"/>
                      <w:sz w:val="21"/>
                      <w:szCs w:val="21"/>
                      <w:lang w:val="en-US" w:eastAsia="zh-CN"/>
                    </w:rPr>
                  </w:pPr>
                </w:p>
              </w:tc>
              <w:tc>
                <w:tcPr>
                  <w:tcW w:w="3405" w:type="dxa"/>
                  <w:tcBorders>
                    <w:tl2br w:val="nil"/>
                    <w:tr2bl w:val="nil"/>
                  </w:tcBorders>
                  <w:vAlign w:val="center"/>
                </w:tcPr>
                <w:p w14:paraId="1189E846">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细格栅及旋流沉砂池（1座）</w:t>
                  </w:r>
                </w:p>
              </w:tc>
              <w:tc>
                <w:tcPr>
                  <w:tcW w:w="3206" w:type="dxa"/>
                  <w:tcBorders>
                    <w:tl2br w:val="nil"/>
                    <w:tr2bl w:val="nil"/>
                  </w:tcBorders>
                  <w:vAlign w:val="center"/>
                </w:tcPr>
                <w:p w14:paraId="198988FE">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eastAsia="宋体"/>
                      <w:color w:val="auto"/>
                      <w:sz w:val="21"/>
                      <w:szCs w:val="21"/>
                      <w:lang w:val="en-US" w:eastAsia="zh-CN"/>
                    </w:rPr>
                  </w:pPr>
                  <w:r>
                    <w:rPr>
                      <w:rFonts w:hint="default" w:ascii="Times New Roman" w:hAnsi="Times New Roman" w:cs="Times New Roman"/>
                      <w:color w:val="auto"/>
                      <w:sz w:val="21"/>
                      <w:szCs w:val="21"/>
                      <w:lang w:val="en-US" w:eastAsia="zh-CN"/>
                    </w:rPr>
                    <w:t>土建及设备规模按2.5万m³/d</w:t>
                  </w:r>
                </w:p>
              </w:tc>
            </w:tr>
            <w:tr w14:paraId="1749D6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continue"/>
                  <w:tcBorders>
                    <w:tl2br w:val="nil"/>
                    <w:tr2bl w:val="nil"/>
                  </w:tcBorders>
                  <w:vAlign w:val="center"/>
                </w:tcPr>
                <w:p w14:paraId="44942321">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vMerge w:val="continue"/>
                  <w:tcBorders>
                    <w:tl2br w:val="nil"/>
                    <w:tr2bl w:val="nil"/>
                  </w:tcBorders>
                  <w:vAlign w:val="center"/>
                </w:tcPr>
                <w:p w14:paraId="649FEADF">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ascii="Times New Roman" w:hAnsi="Times New Roman" w:cs="Times New Roman"/>
                      <w:color w:val="auto"/>
                      <w:sz w:val="21"/>
                      <w:szCs w:val="21"/>
                      <w:lang w:val="en-US" w:eastAsia="zh-CN"/>
                    </w:rPr>
                  </w:pPr>
                </w:p>
              </w:tc>
              <w:tc>
                <w:tcPr>
                  <w:tcW w:w="3405" w:type="dxa"/>
                  <w:tcBorders>
                    <w:tl2br w:val="nil"/>
                    <w:tr2bl w:val="nil"/>
                  </w:tcBorders>
                  <w:vAlign w:val="center"/>
                </w:tcPr>
                <w:p w14:paraId="68F1B57D">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AAO生化池（2座）</w:t>
                  </w:r>
                </w:p>
              </w:tc>
              <w:tc>
                <w:tcPr>
                  <w:tcW w:w="3206" w:type="dxa"/>
                  <w:tcBorders>
                    <w:tl2br w:val="nil"/>
                    <w:tr2bl w:val="nil"/>
                  </w:tcBorders>
                  <w:vAlign w:val="center"/>
                </w:tcPr>
                <w:p w14:paraId="25D3784B">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eastAsia="宋体"/>
                      <w:color w:val="auto"/>
                      <w:sz w:val="21"/>
                      <w:szCs w:val="21"/>
                      <w:lang w:val="en-US" w:eastAsia="zh-CN"/>
                    </w:rPr>
                  </w:pPr>
                  <w:r>
                    <w:rPr>
                      <w:rFonts w:hint="default" w:ascii="Times New Roman" w:hAnsi="Times New Roman" w:cs="Times New Roman"/>
                      <w:color w:val="auto"/>
                      <w:sz w:val="21"/>
                      <w:szCs w:val="21"/>
                      <w:lang w:val="en-US" w:eastAsia="zh-CN"/>
                    </w:rPr>
                    <w:t>单座土建及设备规模按0.75万m³/d</w:t>
                  </w:r>
                </w:p>
              </w:tc>
            </w:tr>
            <w:tr w14:paraId="42E5ED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continue"/>
                  <w:tcBorders>
                    <w:tl2br w:val="nil"/>
                    <w:tr2bl w:val="nil"/>
                  </w:tcBorders>
                  <w:vAlign w:val="center"/>
                </w:tcPr>
                <w:p w14:paraId="122CA1E9">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vMerge w:val="continue"/>
                  <w:tcBorders>
                    <w:tl2br w:val="nil"/>
                    <w:tr2bl w:val="nil"/>
                  </w:tcBorders>
                  <w:vAlign w:val="center"/>
                </w:tcPr>
                <w:p w14:paraId="1EE38369">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ascii="Times New Roman" w:hAnsi="Times New Roman" w:cs="Times New Roman"/>
                      <w:color w:val="auto"/>
                      <w:sz w:val="21"/>
                      <w:szCs w:val="21"/>
                      <w:lang w:val="en-US" w:eastAsia="zh-CN"/>
                    </w:rPr>
                  </w:pPr>
                </w:p>
              </w:tc>
              <w:tc>
                <w:tcPr>
                  <w:tcW w:w="3405" w:type="dxa"/>
                  <w:tcBorders>
                    <w:tl2br w:val="nil"/>
                    <w:tr2bl w:val="nil"/>
                  </w:tcBorders>
                  <w:vAlign w:val="center"/>
                </w:tcPr>
                <w:p w14:paraId="4F2819CE">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二沉池（2座）</w:t>
                  </w:r>
                </w:p>
              </w:tc>
              <w:tc>
                <w:tcPr>
                  <w:tcW w:w="3206" w:type="dxa"/>
                  <w:tcBorders>
                    <w:tl2br w:val="nil"/>
                    <w:tr2bl w:val="nil"/>
                  </w:tcBorders>
                  <w:vAlign w:val="top"/>
                </w:tcPr>
                <w:p w14:paraId="589F4456">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olor w:val="auto"/>
                      <w:sz w:val="21"/>
                      <w:szCs w:val="21"/>
                    </w:rPr>
                  </w:pPr>
                  <w:r>
                    <w:rPr>
                      <w:rFonts w:hint="default" w:ascii="Times New Roman" w:hAnsi="Times New Roman" w:cs="Times New Roman"/>
                      <w:color w:val="auto"/>
                      <w:sz w:val="21"/>
                      <w:szCs w:val="21"/>
                      <w:lang w:val="en-US" w:eastAsia="zh-CN"/>
                    </w:rPr>
                    <w:t>单座土建及设备规模按0.75万m³/d</w:t>
                  </w:r>
                </w:p>
              </w:tc>
            </w:tr>
            <w:tr w14:paraId="628F47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continue"/>
                  <w:tcBorders>
                    <w:tl2br w:val="nil"/>
                    <w:tr2bl w:val="nil"/>
                  </w:tcBorders>
                  <w:vAlign w:val="center"/>
                </w:tcPr>
                <w:p w14:paraId="02500E0A">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vMerge w:val="continue"/>
                  <w:tcBorders>
                    <w:tl2br w:val="nil"/>
                    <w:tr2bl w:val="nil"/>
                  </w:tcBorders>
                  <w:vAlign w:val="center"/>
                </w:tcPr>
                <w:p w14:paraId="1E4003AE">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ascii="Times New Roman" w:hAnsi="Times New Roman" w:cs="Times New Roman"/>
                      <w:color w:val="auto"/>
                      <w:sz w:val="21"/>
                      <w:szCs w:val="21"/>
                      <w:lang w:val="en-US" w:eastAsia="zh-CN"/>
                    </w:rPr>
                  </w:pPr>
                </w:p>
              </w:tc>
              <w:tc>
                <w:tcPr>
                  <w:tcW w:w="3405" w:type="dxa"/>
                  <w:tcBorders>
                    <w:tl2br w:val="nil"/>
                    <w:tr2bl w:val="nil"/>
                  </w:tcBorders>
                  <w:vAlign w:val="center"/>
                </w:tcPr>
                <w:p w14:paraId="068C9643">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污泥泵站（1座）</w:t>
                  </w:r>
                </w:p>
              </w:tc>
              <w:tc>
                <w:tcPr>
                  <w:tcW w:w="3206" w:type="dxa"/>
                  <w:tcBorders>
                    <w:tl2br w:val="nil"/>
                    <w:tr2bl w:val="nil"/>
                  </w:tcBorders>
                  <w:vAlign w:val="top"/>
                </w:tcPr>
                <w:p w14:paraId="591F277C">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eastAsia="宋体"/>
                      <w:color w:val="auto"/>
                      <w:sz w:val="21"/>
                      <w:szCs w:val="21"/>
                      <w:lang w:val="en-US" w:eastAsia="zh-CN"/>
                    </w:rPr>
                  </w:pPr>
                  <w:r>
                    <w:rPr>
                      <w:rFonts w:hint="default" w:ascii="Times New Roman" w:hAnsi="Times New Roman" w:cs="Times New Roman"/>
                      <w:color w:val="auto"/>
                      <w:sz w:val="21"/>
                      <w:szCs w:val="21"/>
                      <w:lang w:val="en-US" w:eastAsia="zh-CN"/>
                    </w:rPr>
                    <w:t>土建及设备规模按1.5万m³/d</w:t>
                  </w:r>
                </w:p>
              </w:tc>
            </w:tr>
            <w:tr w14:paraId="1BF3F7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continue"/>
                  <w:tcBorders>
                    <w:tl2br w:val="nil"/>
                    <w:tr2bl w:val="nil"/>
                  </w:tcBorders>
                  <w:vAlign w:val="center"/>
                </w:tcPr>
                <w:p w14:paraId="629A42B4">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vMerge w:val="continue"/>
                  <w:tcBorders>
                    <w:tl2br w:val="nil"/>
                    <w:tr2bl w:val="nil"/>
                  </w:tcBorders>
                  <w:vAlign w:val="center"/>
                </w:tcPr>
                <w:p w14:paraId="25C4D349">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ascii="Times New Roman" w:hAnsi="Times New Roman" w:cs="Times New Roman"/>
                      <w:color w:val="auto"/>
                      <w:sz w:val="21"/>
                      <w:szCs w:val="21"/>
                      <w:lang w:val="en-US" w:eastAsia="zh-CN"/>
                    </w:rPr>
                  </w:pPr>
                </w:p>
              </w:tc>
              <w:tc>
                <w:tcPr>
                  <w:tcW w:w="3405" w:type="dxa"/>
                  <w:tcBorders>
                    <w:tl2br w:val="nil"/>
                    <w:tr2bl w:val="nil"/>
                  </w:tcBorders>
                  <w:vAlign w:val="center"/>
                </w:tcPr>
                <w:p w14:paraId="31F71A31">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高效沉淀池（1座）</w:t>
                  </w:r>
                </w:p>
              </w:tc>
              <w:tc>
                <w:tcPr>
                  <w:tcW w:w="3206" w:type="dxa"/>
                  <w:tcBorders>
                    <w:tl2br w:val="nil"/>
                    <w:tr2bl w:val="nil"/>
                  </w:tcBorders>
                  <w:vAlign w:val="top"/>
                </w:tcPr>
                <w:p w14:paraId="228811FD">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eastAsia="宋体"/>
                      <w:color w:val="auto"/>
                      <w:sz w:val="21"/>
                      <w:szCs w:val="21"/>
                      <w:lang w:val="en-US" w:eastAsia="zh-CN"/>
                    </w:rPr>
                  </w:pPr>
                  <w:r>
                    <w:rPr>
                      <w:rFonts w:hint="default" w:ascii="Times New Roman" w:hAnsi="Times New Roman" w:cs="Times New Roman"/>
                      <w:color w:val="auto"/>
                      <w:sz w:val="21"/>
                      <w:szCs w:val="21"/>
                      <w:lang w:val="en-US" w:eastAsia="zh-CN"/>
                    </w:rPr>
                    <w:t>土建及设备规模按1.5万m³/d</w:t>
                  </w:r>
                </w:p>
              </w:tc>
            </w:tr>
            <w:tr w14:paraId="6E4A16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continue"/>
                  <w:tcBorders>
                    <w:tl2br w:val="nil"/>
                    <w:tr2bl w:val="nil"/>
                  </w:tcBorders>
                  <w:vAlign w:val="center"/>
                </w:tcPr>
                <w:p w14:paraId="0905C855">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vMerge w:val="continue"/>
                  <w:tcBorders>
                    <w:tl2br w:val="nil"/>
                    <w:tr2bl w:val="nil"/>
                  </w:tcBorders>
                  <w:vAlign w:val="center"/>
                </w:tcPr>
                <w:p w14:paraId="08D3DBDE">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ascii="Times New Roman" w:hAnsi="Times New Roman" w:cs="Times New Roman"/>
                      <w:color w:val="auto"/>
                      <w:sz w:val="21"/>
                      <w:szCs w:val="21"/>
                      <w:lang w:val="en-US" w:eastAsia="zh-CN"/>
                    </w:rPr>
                  </w:pPr>
                </w:p>
              </w:tc>
              <w:tc>
                <w:tcPr>
                  <w:tcW w:w="3405" w:type="dxa"/>
                  <w:tcBorders>
                    <w:tl2br w:val="nil"/>
                    <w:tr2bl w:val="nil"/>
                  </w:tcBorders>
                  <w:vAlign w:val="center"/>
                </w:tcPr>
                <w:p w14:paraId="39F81969">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滤布滤池（1座）</w:t>
                  </w:r>
                </w:p>
              </w:tc>
              <w:tc>
                <w:tcPr>
                  <w:tcW w:w="3206" w:type="dxa"/>
                  <w:tcBorders>
                    <w:tl2br w:val="nil"/>
                    <w:tr2bl w:val="nil"/>
                  </w:tcBorders>
                  <w:vAlign w:val="top"/>
                </w:tcPr>
                <w:p w14:paraId="515610B4">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eastAsia="宋体"/>
                      <w:color w:val="auto"/>
                      <w:sz w:val="21"/>
                      <w:szCs w:val="21"/>
                      <w:lang w:val="en-US" w:eastAsia="zh-CN"/>
                    </w:rPr>
                  </w:pPr>
                  <w:r>
                    <w:rPr>
                      <w:rFonts w:hint="default" w:ascii="Times New Roman" w:hAnsi="Times New Roman" w:cs="Times New Roman"/>
                      <w:color w:val="auto"/>
                      <w:sz w:val="21"/>
                      <w:szCs w:val="21"/>
                      <w:lang w:val="en-US" w:eastAsia="zh-CN"/>
                    </w:rPr>
                    <w:t>土建及设备规模按1.5万m³/d</w:t>
                  </w:r>
                </w:p>
              </w:tc>
            </w:tr>
            <w:tr w14:paraId="72F14C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continue"/>
                  <w:tcBorders>
                    <w:tl2br w:val="nil"/>
                    <w:tr2bl w:val="nil"/>
                  </w:tcBorders>
                  <w:vAlign w:val="center"/>
                </w:tcPr>
                <w:p w14:paraId="62A0A0BF">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vMerge w:val="continue"/>
                  <w:tcBorders>
                    <w:tl2br w:val="nil"/>
                    <w:tr2bl w:val="nil"/>
                  </w:tcBorders>
                  <w:vAlign w:val="center"/>
                </w:tcPr>
                <w:p w14:paraId="2908B41D">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ascii="Times New Roman" w:hAnsi="Times New Roman" w:cs="Times New Roman"/>
                      <w:color w:val="auto"/>
                      <w:sz w:val="21"/>
                      <w:szCs w:val="21"/>
                      <w:lang w:val="en-US" w:eastAsia="zh-CN"/>
                    </w:rPr>
                  </w:pPr>
                </w:p>
              </w:tc>
              <w:tc>
                <w:tcPr>
                  <w:tcW w:w="3405" w:type="dxa"/>
                  <w:tcBorders>
                    <w:tl2br w:val="nil"/>
                    <w:tr2bl w:val="nil"/>
                  </w:tcBorders>
                  <w:vAlign w:val="center"/>
                </w:tcPr>
                <w:p w14:paraId="5846BD21">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紫外消毒及回用水池（1座）</w:t>
                  </w:r>
                </w:p>
              </w:tc>
              <w:tc>
                <w:tcPr>
                  <w:tcW w:w="3206" w:type="dxa"/>
                  <w:tcBorders>
                    <w:tl2br w:val="nil"/>
                    <w:tr2bl w:val="nil"/>
                  </w:tcBorders>
                  <w:vAlign w:val="top"/>
                </w:tcPr>
                <w:p w14:paraId="6826EBB3">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eastAsia="宋体"/>
                      <w:color w:val="auto"/>
                      <w:sz w:val="21"/>
                      <w:szCs w:val="21"/>
                      <w:lang w:val="en-US" w:eastAsia="zh-CN"/>
                    </w:rPr>
                  </w:pPr>
                  <w:r>
                    <w:rPr>
                      <w:rFonts w:hint="default" w:ascii="Times New Roman" w:hAnsi="Times New Roman" w:cs="Times New Roman"/>
                      <w:color w:val="auto"/>
                      <w:sz w:val="21"/>
                      <w:szCs w:val="21"/>
                      <w:lang w:val="en-US" w:eastAsia="zh-CN"/>
                    </w:rPr>
                    <w:t>设备规模按1.5万m³/d</w:t>
                  </w:r>
                </w:p>
              </w:tc>
            </w:tr>
            <w:tr w14:paraId="16819C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continue"/>
                  <w:tcBorders>
                    <w:tl2br w:val="nil"/>
                    <w:tr2bl w:val="nil"/>
                  </w:tcBorders>
                  <w:vAlign w:val="center"/>
                </w:tcPr>
                <w:p w14:paraId="70207564">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vMerge w:val="continue"/>
                  <w:tcBorders>
                    <w:tl2br w:val="nil"/>
                    <w:tr2bl w:val="nil"/>
                  </w:tcBorders>
                  <w:vAlign w:val="center"/>
                </w:tcPr>
                <w:p w14:paraId="416B12AD">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ascii="Times New Roman" w:hAnsi="Times New Roman" w:cs="Times New Roman"/>
                      <w:color w:val="auto"/>
                      <w:sz w:val="21"/>
                      <w:szCs w:val="21"/>
                      <w:lang w:val="en-US" w:eastAsia="zh-CN"/>
                    </w:rPr>
                  </w:pPr>
                </w:p>
              </w:tc>
              <w:tc>
                <w:tcPr>
                  <w:tcW w:w="3405" w:type="dxa"/>
                  <w:tcBorders>
                    <w:tl2br w:val="nil"/>
                    <w:tr2bl w:val="nil"/>
                  </w:tcBorders>
                  <w:vAlign w:val="center"/>
                </w:tcPr>
                <w:p w14:paraId="4C373F5B">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出水在线监测间（1座）</w:t>
                  </w:r>
                </w:p>
              </w:tc>
              <w:tc>
                <w:tcPr>
                  <w:tcW w:w="3206" w:type="dxa"/>
                  <w:tcBorders>
                    <w:tl2br w:val="nil"/>
                    <w:tr2bl w:val="nil"/>
                  </w:tcBorders>
                  <w:vAlign w:val="top"/>
                </w:tcPr>
                <w:p w14:paraId="5362F064">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eastAsia="宋体"/>
                      <w:color w:val="auto"/>
                      <w:sz w:val="21"/>
                      <w:szCs w:val="21"/>
                      <w:lang w:val="en-US" w:eastAsia="zh-CN"/>
                    </w:rPr>
                  </w:pPr>
                  <w:r>
                    <w:rPr>
                      <w:rFonts w:hint="default" w:ascii="Times New Roman" w:hAnsi="Times New Roman" w:cs="Times New Roman"/>
                      <w:color w:val="auto"/>
                      <w:sz w:val="21"/>
                      <w:szCs w:val="21"/>
                      <w:lang w:val="en-US" w:eastAsia="zh-CN"/>
                    </w:rPr>
                    <w:t>土建规模2.5万m³/d，设备规模按1.5万m³/d</w:t>
                  </w:r>
                </w:p>
              </w:tc>
            </w:tr>
            <w:tr w14:paraId="1215E8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continue"/>
                  <w:tcBorders>
                    <w:tl2br w:val="nil"/>
                    <w:tr2bl w:val="nil"/>
                  </w:tcBorders>
                  <w:vAlign w:val="center"/>
                </w:tcPr>
                <w:p w14:paraId="79738894">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vMerge w:val="continue"/>
                  <w:tcBorders>
                    <w:tl2br w:val="nil"/>
                    <w:tr2bl w:val="nil"/>
                  </w:tcBorders>
                  <w:vAlign w:val="center"/>
                </w:tcPr>
                <w:p w14:paraId="29D9DC40">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ascii="Times New Roman" w:hAnsi="Times New Roman" w:cs="Times New Roman"/>
                      <w:color w:val="auto"/>
                      <w:sz w:val="21"/>
                      <w:szCs w:val="21"/>
                      <w:lang w:val="en-US" w:eastAsia="zh-CN"/>
                    </w:rPr>
                  </w:pPr>
                </w:p>
              </w:tc>
              <w:tc>
                <w:tcPr>
                  <w:tcW w:w="3405" w:type="dxa"/>
                  <w:tcBorders>
                    <w:tl2br w:val="nil"/>
                    <w:tr2bl w:val="nil"/>
                  </w:tcBorders>
                  <w:vAlign w:val="center"/>
                </w:tcPr>
                <w:p w14:paraId="7002914A">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鼓风机房、配电间、危废间及机修间（1座）</w:t>
                  </w:r>
                </w:p>
              </w:tc>
              <w:tc>
                <w:tcPr>
                  <w:tcW w:w="3206" w:type="dxa"/>
                  <w:tcBorders>
                    <w:tl2br w:val="nil"/>
                    <w:tr2bl w:val="nil"/>
                  </w:tcBorders>
                  <w:vAlign w:val="top"/>
                </w:tcPr>
                <w:p w14:paraId="323AFF75">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eastAsia="宋体"/>
                      <w:color w:val="auto"/>
                      <w:sz w:val="21"/>
                      <w:szCs w:val="21"/>
                      <w:lang w:val="en-US" w:eastAsia="zh-CN"/>
                    </w:rPr>
                  </w:pPr>
                  <w:r>
                    <w:rPr>
                      <w:rFonts w:hint="default" w:ascii="Times New Roman" w:hAnsi="Times New Roman" w:cs="Times New Roman"/>
                      <w:color w:val="auto"/>
                      <w:sz w:val="21"/>
                      <w:szCs w:val="21"/>
                      <w:lang w:val="en-US" w:eastAsia="zh-CN"/>
                    </w:rPr>
                    <w:t>土建规模2.5万m³/d，设备规模按1.5万m³/d</w:t>
                  </w:r>
                </w:p>
              </w:tc>
            </w:tr>
            <w:tr w14:paraId="1DE57C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continue"/>
                  <w:tcBorders>
                    <w:tl2br w:val="nil"/>
                    <w:tr2bl w:val="nil"/>
                  </w:tcBorders>
                  <w:vAlign w:val="center"/>
                </w:tcPr>
                <w:p w14:paraId="6D4335BD">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vMerge w:val="continue"/>
                  <w:tcBorders>
                    <w:tl2br w:val="nil"/>
                    <w:tr2bl w:val="nil"/>
                  </w:tcBorders>
                  <w:vAlign w:val="center"/>
                </w:tcPr>
                <w:p w14:paraId="1875BA86">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ascii="Times New Roman" w:hAnsi="Times New Roman" w:cs="Times New Roman"/>
                      <w:color w:val="auto"/>
                      <w:sz w:val="21"/>
                      <w:szCs w:val="21"/>
                      <w:lang w:val="en-US" w:eastAsia="zh-CN"/>
                    </w:rPr>
                  </w:pPr>
                </w:p>
              </w:tc>
              <w:tc>
                <w:tcPr>
                  <w:tcW w:w="3405" w:type="dxa"/>
                  <w:tcBorders>
                    <w:tl2br w:val="nil"/>
                    <w:tr2bl w:val="nil"/>
                  </w:tcBorders>
                  <w:vAlign w:val="center"/>
                </w:tcPr>
                <w:p w14:paraId="6DADB109">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污泥浓缩池（2座）</w:t>
                  </w:r>
                </w:p>
              </w:tc>
              <w:tc>
                <w:tcPr>
                  <w:tcW w:w="3206" w:type="dxa"/>
                  <w:tcBorders>
                    <w:tl2br w:val="nil"/>
                    <w:tr2bl w:val="nil"/>
                  </w:tcBorders>
                  <w:vAlign w:val="top"/>
                </w:tcPr>
                <w:p w14:paraId="60485B2D">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eastAsia="宋体"/>
                      <w:color w:val="auto"/>
                      <w:sz w:val="21"/>
                      <w:szCs w:val="21"/>
                      <w:lang w:val="en-US" w:eastAsia="zh-CN"/>
                    </w:rPr>
                  </w:pPr>
                  <w:r>
                    <w:rPr>
                      <w:rFonts w:hint="default" w:ascii="Times New Roman" w:hAnsi="Times New Roman" w:cs="Times New Roman"/>
                      <w:color w:val="auto"/>
                      <w:sz w:val="21"/>
                      <w:szCs w:val="21"/>
                      <w:lang w:val="en-US" w:eastAsia="zh-CN"/>
                    </w:rPr>
                    <w:t>单座土建及设备规模按1.25万m³/d</w:t>
                  </w:r>
                </w:p>
              </w:tc>
            </w:tr>
            <w:tr w14:paraId="0585F1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continue"/>
                  <w:tcBorders>
                    <w:tl2br w:val="nil"/>
                    <w:tr2bl w:val="nil"/>
                  </w:tcBorders>
                  <w:vAlign w:val="center"/>
                </w:tcPr>
                <w:p w14:paraId="25F30E25">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vMerge w:val="continue"/>
                  <w:tcBorders>
                    <w:tl2br w:val="nil"/>
                    <w:tr2bl w:val="nil"/>
                  </w:tcBorders>
                  <w:vAlign w:val="center"/>
                </w:tcPr>
                <w:p w14:paraId="008B6078">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ascii="Times New Roman" w:hAnsi="Times New Roman" w:cs="Times New Roman"/>
                      <w:color w:val="auto"/>
                      <w:sz w:val="21"/>
                      <w:szCs w:val="21"/>
                      <w:lang w:val="en-US" w:eastAsia="zh-CN"/>
                    </w:rPr>
                  </w:pPr>
                </w:p>
              </w:tc>
              <w:tc>
                <w:tcPr>
                  <w:tcW w:w="3405" w:type="dxa"/>
                  <w:tcBorders>
                    <w:tl2br w:val="nil"/>
                    <w:tr2bl w:val="nil"/>
                  </w:tcBorders>
                  <w:vAlign w:val="center"/>
                </w:tcPr>
                <w:p w14:paraId="40A30124">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污泥均衡池（1座）</w:t>
                  </w:r>
                </w:p>
              </w:tc>
              <w:tc>
                <w:tcPr>
                  <w:tcW w:w="3206" w:type="dxa"/>
                  <w:tcBorders>
                    <w:tl2br w:val="nil"/>
                    <w:tr2bl w:val="nil"/>
                  </w:tcBorders>
                  <w:vAlign w:val="top"/>
                </w:tcPr>
                <w:p w14:paraId="4FB8BB93">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eastAsia="宋体"/>
                      <w:color w:val="auto"/>
                      <w:sz w:val="21"/>
                      <w:szCs w:val="21"/>
                      <w:lang w:val="en-US" w:eastAsia="zh-CN"/>
                    </w:rPr>
                  </w:pPr>
                  <w:r>
                    <w:rPr>
                      <w:rFonts w:hint="default" w:ascii="Times New Roman" w:hAnsi="Times New Roman" w:cs="Times New Roman"/>
                      <w:color w:val="auto"/>
                      <w:sz w:val="21"/>
                      <w:szCs w:val="21"/>
                      <w:lang w:val="en-US" w:eastAsia="zh-CN"/>
                    </w:rPr>
                    <w:t>土建及设备规模按2.5万m³/d</w:t>
                  </w:r>
                </w:p>
              </w:tc>
            </w:tr>
            <w:tr w14:paraId="4D650A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continue"/>
                  <w:tcBorders>
                    <w:tl2br w:val="nil"/>
                    <w:tr2bl w:val="nil"/>
                  </w:tcBorders>
                  <w:vAlign w:val="center"/>
                </w:tcPr>
                <w:p w14:paraId="6948276E">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vMerge w:val="continue"/>
                  <w:tcBorders>
                    <w:tl2br w:val="nil"/>
                    <w:tr2bl w:val="nil"/>
                  </w:tcBorders>
                  <w:vAlign w:val="center"/>
                </w:tcPr>
                <w:p w14:paraId="4B43BE27">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ascii="Times New Roman" w:hAnsi="Times New Roman" w:cs="Times New Roman"/>
                      <w:color w:val="auto"/>
                      <w:sz w:val="21"/>
                      <w:szCs w:val="21"/>
                      <w:lang w:val="en-US" w:eastAsia="zh-CN"/>
                    </w:rPr>
                  </w:pPr>
                </w:p>
              </w:tc>
              <w:tc>
                <w:tcPr>
                  <w:tcW w:w="3405" w:type="dxa"/>
                  <w:tcBorders>
                    <w:tl2br w:val="nil"/>
                    <w:tr2bl w:val="nil"/>
                  </w:tcBorders>
                  <w:vAlign w:val="center"/>
                </w:tcPr>
                <w:p w14:paraId="1FE0279A">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污泥脱水车</w:t>
                  </w:r>
                  <w:r>
                    <w:rPr>
                      <w:rFonts w:hint="eastAsia" w:cs="Times New Roman"/>
                      <w:color w:val="auto"/>
                      <w:sz w:val="21"/>
                      <w:szCs w:val="21"/>
                      <w:lang w:val="en-US" w:eastAsia="zh-CN"/>
                    </w:rPr>
                    <w:t>间</w:t>
                  </w:r>
                  <w:r>
                    <w:rPr>
                      <w:rFonts w:hint="default" w:ascii="Times New Roman" w:hAnsi="Times New Roman" w:cs="Times New Roman"/>
                      <w:color w:val="auto"/>
                      <w:sz w:val="21"/>
                      <w:szCs w:val="21"/>
                      <w:lang w:val="en-US" w:eastAsia="zh-CN"/>
                    </w:rPr>
                    <w:t>1座）</w:t>
                  </w:r>
                </w:p>
              </w:tc>
              <w:tc>
                <w:tcPr>
                  <w:tcW w:w="3206" w:type="dxa"/>
                  <w:tcBorders>
                    <w:tl2br w:val="nil"/>
                    <w:tr2bl w:val="nil"/>
                  </w:tcBorders>
                  <w:vAlign w:val="top"/>
                </w:tcPr>
                <w:p w14:paraId="4DF5F9B3">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eastAsia="宋体"/>
                      <w:color w:val="auto"/>
                      <w:sz w:val="21"/>
                      <w:szCs w:val="21"/>
                      <w:lang w:val="en-US" w:eastAsia="zh-CN"/>
                    </w:rPr>
                  </w:pPr>
                  <w:r>
                    <w:rPr>
                      <w:rFonts w:hint="default" w:ascii="Times New Roman" w:hAnsi="Times New Roman" w:cs="Times New Roman"/>
                      <w:color w:val="auto"/>
                      <w:sz w:val="21"/>
                      <w:szCs w:val="21"/>
                      <w:lang w:val="en-US" w:eastAsia="zh-CN"/>
                    </w:rPr>
                    <w:t>土建规模2.5万m³/d，设备规模按1.5万m³/d</w:t>
                  </w:r>
                </w:p>
              </w:tc>
            </w:tr>
            <w:tr w14:paraId="6C1B6F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continue"/>
                  <w:tcBorders>
                    <w:tl2br w:val="nil"/>
                    <w:tr2bl w:val="nil"/>
                  </w:tcBorders>
                  <w:vAlign w:val="center"/>
                </w:tcPr>
                <w:p w14:paraId="0DAC2660">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vMerge w:val="continue"/>
                  <w:tcBorders>
                    <w:tl2br w:val="nil"/>
                    <w:tr2bl w:val="nil"/>
                  </w:tcBorders>
                  <w:vAlign w:val="center"/>
                </w:tcPr>
                <w:p w14:paraId="25591DD5">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ascii="Times New Roman" w:hAnsi="Times New Roman" w:cs="Times New Roman"/>
                      <w:color w:val="auto"/>
                      <w:sz w:val="21"/>
                      <w:szCs w:val="21"/>
                      <w:lang w:val="en-US" w:eastAsia="zh-CN"/>
                    </w:rPr>
                  </w:pPr>
                </w:p>
              </w:tc>
              <w:tc>
                <w:tcPr>
                  <w:tcW w:w="3405" w:type="dxa"/>
                  <w:tcBorders>
                    <w:tl2br w:val="nil"/>
                    <w:tr2bl w:val="nil"/>
                  </w:tcBorders>
                  <w:vAlign w:val="center"/>
                </w:tcPr>
                <w:p w14:paraId="7BE23682">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highlight w:val="none"/>
                      <w:lang w:val="en-US" w:eastAsia="zh-CN"/>
                    </w:rPr>
                    <w:t>加药间（1座）</w:t>
                  </w:r>
                </w:p>
              </w:tc>
              <w:tc>
                <w:tcPr>
                  <w:tcW w:w="3206" w:type="dxa"/>
                  <w:tcBorders>
                    <w:tl2br w:val="nil"/>
                    <w:tr2bl w:val="nil"/>
                  </w:tcBorders>
                  <w:vAlign w:val="top"/>
                </w:tcPr>
                <w:p w14:paraId="52FBA845">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土建规模2.5万m³/d，设备规模按1.5万m³/d</w:t>
                  </w:r>
                </w:p>
              </w:tc>
            </w:tr>
            <w:tr w14:paraId="07574F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continue"/>
                  <w:tcBorders>
                    <w:tl2br w:val="nil"/>
                    <w:tr2bl w:val="nil"/>
                  </w:tcBorders>
                  <w:vAlign w:val="center"/>
                </w:tcPr>
                <w:p w14:paraId="3ECF6ED6">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vMerge w:val="continue"/>
                  <w:tcBorders>
                    <w:tl2br w:val="nil"/>
                    <w:tr2bl w:val="nil"/>
                  </w:tcBorders>
                  <w:vAlign w:val="center"/>
                </w:tcPr>
                <w:p w14:paraId="46FD2AFC">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ascii="Times New Roman" w:hAnsi="Times New Roman" w:cs="Times New Roman"/>
                      <w:color w:val="auto"/>
                      <w:sz w:val="21"/>
                      <w:szCs w:val="21"/>
                      <w:lang w:val="en-US" w:eastAsia="zh-CN"/>
                    </w:rPr>
                  </w:pPr>
                </w:p>
              </w:tc>
              <w:tc>
                <w:tcPr>
                  <w:tcW w:w="3405" w:type="dxa"/>
                  <w:tcBorders>
                    <w:tl2br w:val="nil"/>
                    <w:tr2bl w:val="nil"/>
                  </w:tcBorders>
                  <w:vAlign w:val="center"/>
                </w:tcPr>
                <w:p w14:paraId="5F0A8012">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进水在线检测间（1座）</w:t>
                  </w:r>
                </w:p>
              </w:tc>
              <w:tc>
                <w:tcPr>
                  <w:tcW w:w="3206" w:type="dxa"/>
                  <w:tcBorders>
                    <w:tl2br w:val="nil"/>
                    <w:tr2bl w:val="nil"/>
                  </w:tcBorders>
                  <w:vAlign w:val="top"/>
                </w:tcPr>
                <w:p w14:paraId="1C936B3D">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eastAsia="宋体"/>
                      <w:color w:val="auto"/>
                      <w:sz w:val="21"/>
                      <w:szCs w:val="21"/>
                      <w:lang w:val="en-US" w:eastAsia="zh-CN"/>
                    </w:rPr>
                  </w:pPr>
                  <w:r>
                    <w:rPr>
                      <w:rFonts w:hint="default" w:ascii="Times New Roman" w:hAnsi="Times New Roman" w:cs="Times New Roman"/>
                      <w:color w:val="auto"/>
                      <w:sz w:val="21"/>
                      <w:szCs w:val="21"/>
                      <w:lang w:val="en-US" w:eastAsia="zh-CN"/>
                    </w:rPr>
                    <w:t>土建及设备规模按2.5万m³/d</w:t>
                  </w:r>
                </w:p>
              </w:tc>
            </w:tr>
            <w:tr w14:paraId="088C02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755" w:type="dxa"/>
                  <w:vMerge w:val="continue"/>
                  <w:tcBorders>
                    <w:tl2br w:val="nil"/>
                    <w:tr2bl w:val="nil"/>
                  </w:tcBorders>
                  <w:vAlign w:val="center"/>
                </w:tcPr>
                <w:p w14:paraId="6D8334EA">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vMerge w:val="restart"/>
                  <w:tcBorders>
                    <w:tl2br w:val="nil"/>
                    <w:tr2bl w:val="nil"/>
                  </w:tcBorders>
                  <w:vAlign w:val="center"/>
                </w:tcPr>
                <w:p w14:paraId="39E84C0F">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olor w:val="auto"/>
                      <w:sz w:val="21"/>
                      <w:szCs w:val="21"/>
                      <w:lang w:val="en-US" w:eastAsia="zh-CN"/>
                    </w:rPr>
                  </w:pPr>
                  <w:r>
                    <w:rPr>
                      <w:rFonts w:hint="eastAsia"/>
                      <w:color w:val="auto"/>
                      <w:sz w:val="21"/>
                      <w:szCs w:val="21"/>
                      <w:lang w:val="en-US" w:eastAsia="zh-CN"/>
                    </w:rPr>
                    <w:t>配套管网</w:t>
                  </w:r>
                </w:p>
              </w:tc>
              <w:tc>
                <w:tcPr>
                  <w:tcW w:w="3405" w:type="dxa"/>
                  <w:tcBorders>
                    <w:tl2br w:val="nil"/>
                    <w:tr2bl w:val="nil"/>
                  </w:tcBorders>
                  <w:vAlign w:val="center"/>
                </w:tcPr>
                <w:p w14:paraId="173EB98A">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cs="宋体"/>
                      <w:color w:val="auto"/>
                      <w:sz w:val="21"/>
                      <w:szCs w:val="21"/>
                      <w:lang w:val="en-US" w:eastAsia="zh-CN"/>
                    </w:rPr>
                  </w:pPr>
                  <w:r>
                    <w:rPr>
                      <w:rFonts w:hint="eastAsia" w:cs="宋体"/>
                      <w:color w:val="auto"/>
                      <w:sz w:val="21"/>
                      <w:szCs w:val="21"/>
                      <w:lang w:val="en-US" w:eastAsia="zh-CN"/>
                    </w:rPr>
                    <w:t>配套污水管网主干管12770m</w:t>
                  </w:r>
                </w:p>
              </w:tc>
              <w:tc>
                <w:tcPr>
                  <w:tcW w:w="3206" w:type="dxa"/>
                  <w:tcBorders>
                    <w:tl2br w:val="nil"/>
                    <w:tr2bl w:val="nil"/>
                  </w:tcBorders>
                  <w:vAlign w:val="center"/>
                </w:tcPr>
                <w:p w14:paraId="5BC37363">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cs="宋体"/>
                      <w:color w:val="auto"/>
                      <w:sz w:val="21"/>
                      <w:szCs w:val="21"/>
                      <w:lang w:val="en-US" w:eastAsia="zh-CN"/>
                    </w:rPr>
                  </w:pPr>
                  <w:r>
                    <w:rPr>
                      <w:rFonts w:hint="eastAsia"/>
                      <w:color w:val="auto"/>
                      <w:sz w:val="21"/>
                      <w:szCs w:val="21"/>
                      <w:lang w:eastAsia="zh-CN"/>
                    </w:rPr>
                    <w:t>新建</w:t>
                  </w:r>
                </w:p>
              </w:tc>
            </w:tr>
            <w:tr w14:paraId="564A90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755" w:type="dxa"/>
                  <w:vMerge w:val="continue"/>
                  <w:tcBorders>
                    <w:tl2br w:val="nil"/>
                    <w:tr2bl w:val="nil"/>
                  </w:tcBorders>
                  <w:vAlign w:val="center"/>
                </w:tcPr>
                <w:p w14:paraId="028F36EE">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vMerge w:val="continue"/>
                  <w:tcBorders>
                    <w:tl2br w:val="nil"/>
                    <w:tr2bl w:val="nil"/>
                  </w:tcBorders>
                  <w:vAlign w:val="center"/>
                </w:tcPr>
                <w:p w14:paraId="65697E09">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olor w:val="auto"/>
                      <w:sz w:val="21"/>
                      <w:szCs w:val="21"/>
                      <w:lang w:val="en-US" w:eastAsia="zh-CN"/>
                    </w:rPr>
                  </w:pPr>
                </w:p>
              </w:tc>
              <w:tc>
                <w:tcPr>
                  <w:tcW w:w="3405" w:type="dxa"/>
                  <w:tcBorders>
                    <w:tl2br w:val="nil"/>
                    <w:tr2bl w:val="nil"/>
                  </w:tcBorders>
                  <w:vAlign w:val="center"/>
                </w:tcPr>
                <w:p w14:paraId="4C71982A">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cs="宋体"/>
                      <w:color w:val="auto"/>
                      <w:sz w:val="21"/>
                      <w:szCs w:val="21"/>
                      <w:lang w:val="en-US" w:eastAsia="zh-CN"/>
                    </w:rPr>
                  </w:pPr>
                  <w:r>
                    <w:rPr>
                      <w:rFonts w:hint="eastAsia" w:cs="宋体"/>
                      <w:color w:val="auto"/>
                      <w:sz w:val="21"/>
                      <w:szCs w:val="21"/>
                      <w:lang w:val="en-US" w:eastAsia="zh-CN"/>
                    </w:rPr>
                    <w:t>尾水排水管2.14km</w:t>
                  </w:r>
                </w:p>
              </w:tc>
              <w:tc>
                <w:tcPr>
                  <w:tcW w:w="3206" w:type="dxa"/>
                  <w:tcBorders>
                    <w:tl2br w:val="nil"/>
                    <w:tr2bl w:val="nil"/>
                  </w:tcBorders>
                  <w:vAlign w:val="center"/>
                </w:tcPr>
                <w:p w14:paraId="047EFDCA">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olor w:val="auto"/>
                      <w:sz w:val="21"/>
                      <w:szCs w:val="21"/>
                      <w:lang w:eastAsia="zh-CN"/>
                    </w:rPr>
                  </w:pPr>
                  <w:r>
                    <w:rPr>
                      <w:rFonts w:hint="eastAsia"/>
                      <w:color w:val="auto"/>
                      <w:sz w:val="21"/>
                      <w:szCs w:val="21"/>
                      <w:lang w:eastAsia="zh-CN"/>
                    </w:rPr>
                    <w:t>新建</w:t>
                  </w:r>
                </w:p>
              </w:tc>
            </w:tr>
            <w:tr w14:paraId="6F51EA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restart"/>
                  <w:tcBorders>
                    <w:tl2br w:val="nil"/>
                    <w:tr2bl w:val="nil"/>
                  </w:tcBorders>
                  <w:vAlign w:val="center"/>
                </w:tcPr>
                <w:p w14:paraId="6D6742CD">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r>
                    <w:rPr>
                      <w:rFonts w:hint="eastAsia"/>
                      <w:color w:val="auto"/>
                      <w:sz w:val="21"/>
                      <w:szCs w:val="21"/>
                    </w:rPr>
                    <w:t>辅助工程</w:t>
                  </w:r>
                </w:p>
              </w:tc>
              <w:tc>
                <w:tcPr>
                  <w:tcW w:w="1308" w:type="dxa"/>
                  <w:tcBorders>
                    <w:tl2br w:val="nil"/>
                    <w:tr2bl w:val="nil"/>
                  </w:tcBorders>
                  <w:vAlign w:val="center"/>
                </w:tcPr>
                <w:p w14:paraId="7340483A">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eastAsia="宋体"/>
                      <w:color w:val="auto"/>
                      <w:sz w:val="21"/>
                      <w:szCs w:val="21"/>
                      <w:u w:val="single"/>
                      <w:lang w:eastAsia="zh-CN"/>
                    </w:rPr>
                  </w:pPr>
                  <w:r>
                    <w:rPr>
                      <w:rFonts w:hint="eastAsia"/>
                      <w:color w:val="auto"/>
                      <w:sz w:val="21"/>
                      <w:szCs w:val="21"/>
                      <w:u w:val="single"/>
                      <w:lang w:val="en-US" w:eastAsia="zh-CN"/>
                    </w:rPr>
                    <w:t>综合楼</w:t>
                  </w:r>
                </w:p>
              </w:tc>
              <w:tc>
                <w:tcPr>
                  <w:tcW w:w="3405" w:type="dxa"/>
                  <w:tcBorders>
                    <w:tl2br w:val="nil"/>
                    <w:tr2bl w:val="nil"/>
                  </w:tcBorders>
                  <w:vAlign w:val="center"/>
                </w:tcPr>
                <w:p w14:paraId="434EE4D4">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eastAsia="宋体"/>
                      <w:color w:val="auto"/>
                      <w:sz w:val="21"/>
                      <w:szCs w:val="21"/>
                      <w:u w:val="single"/>
                      <w:lang w:val="en-US" w:eastAsia="zh-CN"/>
                    </w:rPr>
                  </w:pPr>
                  <w:r>
                    <w:rPr>
                      <w:rFonts w:hint="default" w:ascii="Times New Roman" w:hAnsi="Times New Roman" w:cs="Times New Roman"/>
                      <w:color w:val="auto"/>
                      <w:sz w:val="21"/>
                      <w:szCs w:val="21"/>
                      <w:u w:val="single"/>
                      <w:lang w:val="en-US" w:eastAsia="zh-CN"/>
                    </w:rPr>
                    <w:t>综合楼</w:t>
                  </w:r>
                  <w:r>
                    <w:rPr>
                      <w:rFonts w:hint="eastAsia" w:cs="Times New Roman"/>
                      <w:color w:val="auto"/>
                      <w:sz w:val="21"/>
                      <w:szCs w:val="21"/>
                      <w:u w:val="single"/>
                      <w:lang w:val="en-US" w:eastAsia="zh-CN"/>
                    </w:rPr>
                    <w:t>3F</w:t>
                  </w:r>
                  <w:r>
                    <w:rPr>
                      <w:rFonts w:hint="eastAsia" w:ascii="Times New Roman" w:hAnsi="Times New Roman" w:cs="Times New Roman"/>
                      <w:color w:val="auto"/>
                      <w:sz w:val="21"/>
                      <w:szCs w:val="21"/>
                      <w:u w:val="single"/>
                      <w:lang w:val="en-US" w:eastAsia="zh-CN"/>
                    </w:rPr>
                    <w:t>，</w:t>
                  </w:r>
                  <w:r>
                    <w:rPr>
                      <w:rFonts w:hint="default" w:ascii="Times New Roman" w:hAnsi="Times New Roman" w:cs="Times New Roman"/>
                      <w:color w:val="auto"/>
                      <w:sz w:val="21"/>
                      <w:szCs w:val="21"/>
                      <w:u w:val="single"/>
                      <w:lang w:val="en-US" w:eastAsia="zh-CN"/>
                    </w:rPr>
                    <w:t>占地面积459.0㎡</w:t>
                  </w:r>
                  <w:r>
                    <w:rPr>
                      <w:rFonts w:hint="eastAsia" w:cs="Times New Roman"/>
                      <w:color w:val="auto"/>
                      <w:sz w:val="21"/>
                      <w:szCs w:val="21"/>
                      <w:u w:val="single"/>
                      <w:lang w:val="en-US" w:eastAsia="zh-CN"/>
                    </w:rPr>
                    <w:t>，</w:t>
                  </w:r>
                  <w:r>
                    <w:rPr>
                      <w:rFonts w:hint="default" w:ascii="Times New Roman" w:hAnsi="Times New Roman" w:cs="Times New Roman"/>
                      <w:color w:val="auto"/>
                      <w:sz w:val="21"/>
                      <w:szCs w:val="21"/>
                      <w:u w:val="single"/>
                      <w:lang w:val="en-US" w:eastAsia="zh-CN"/>
                    </w:rPr>
                    <w:t>建筑面积 1400.22m</w:t>
                  </w:r>
                  <w:r>
                    <w:rPr>
                      <w:rFonts w:hint="default" w:ascii="Times New Roman" w:hAnsi="Times New Roman" w:cs="Times New Roman"/>
                      <w:color w:val="auto"/>
                      <w:sz w:val="21"/>
                      <w:szCs w:val="21"/>
                      <w:u w:val="single"/>
                      <w:vertAlign w:val="superscript"/>
                      <w:lang w:val="en-US" w:eastAsia="zh-CN"/>
                    </w:rPr>
                    <w:t>2</w:t>
                  </w:r>
                  <w:r>
                    <w:rPr>
                      <w:rFonts w:hint="default" w:ascii="Times New Roman" w:hAnsi="Times New Roman" w:cs="Times New Roman"/>
                      <w:color w:val="auto"/>
                      <w:sz w:val="21"/>
                      <w:szCs w:val="21"/>
                      <w:u w:val="single"/>
                      <w:lang w:val="en-US" w:eastAsia="zh-CN"/>
                    </w:rPr>
                    <w:t>，包含办公、会议、中控室、化验室</w:t>
                  </w:r>
                  <w:r>
                    <w:rPr>
                      <w:rFonts w:hint="eastAsia" w:cs="Times New Roman"/>
                      <w:color w:val="auto"/>
                      <w:sz w:val="21"/>
                      <w:szCs w:val="21"/>
                      <w:u w:val="single"/>
                      <w:lang w:val="en-US" w:eastAsia="zh-CN"/>
                    </w:rPr>
                    <w:t>、食堂</w:t>
                  </w:r>
                </w:p>
              </w:tc>
              <w:tc>
                <w:tcPr>
                  <w:tcW w:w="3206" w:type="dxa"/>
                  <w:tcBorders>
                    <w:tl2br w:val="nil"/>
                    <w:tr2bl w:val="nil"/>
                  </w:tcBorders>
                  <w:vAlign w:val="center"/>
                </w:tcPr>
                <w:p w14:paraId="7ACF14D0">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eastAsia="宋体"/>
                      <w:color w:val="auto"/>
                      <w:sz w:val="21"/>
                      <w:szCs w:val="21"/>
                      <w:u w:val="single"/>
                      <w:lang w:val="en-US" w:eastAsia="zh-CN"/>
                    </w:rPr>
                  </w:pPr>
                  <w:r>
                    <w:rPr>
                      <w:rFonts w:hint="eastAsia"/>
                      <w:color w:val="auto"/>
                      <w:sz w:val="21"/>
                      <w:szCs w:val="21"/>
                      <w:u w:val="single"/>
                      <w:lang w:eastAsia="zh-CN"/>
                    </w:rPr>
                    <w:t>新建</w:t>
                  </w:r>
                </w:p>
              </w:tc>
            </w:tr>
            <w:tr w14:paraId="38FC42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continue"/>
                  <w:tcBorders>
                    <w:tl2br w:val="nil"/>
                    <w:tr2bl w:val="nil"/>
                  </w:tcBorders>
                  <w:vAlign w:val="center"/>
                </w:tcPr>
                <w:p w14:paraId="11519697">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tcBorders>
                    <w:tl2br w:val="nil"/>
                    <w:tr2bl w:val="nil"/>
                  </w:tcBorders>
                  <w:vAlign w:val="center"/>
                </w:tcPr>
                <w:p w14:paraId="4DB0266E">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eastAsia="宋体"/>
                      <w:color w:val="auto"/>
                      <w:sz w:val="21"/>
                      <w:szCs w:val="21"/>
                      <w:lang w:eastAsia="zh-CN"/>
                    </w:rPr>
                  </w:pPr>
                  <w:r>
                    <w:rPr>
                      <w:rFonts w:hint="default" w:ascii="Times New Roman" w:hAnsi="Times New Roman" w:cs="Times New Roman"/>
                      <w:color w:val="auto"/>
                      <w:sz w:val="21"/>
                      <w:szCs w:val="21"/>
                      <w:lang w:val="en-US" w:eastAsia="zh-CN"/>
                    </w:rPr>
                    <w:t>传达室</w:t>
                  </w:r>
                </w:p>
              </w:tc>
              <w:tc>
                <w:tcPr>
                  <w:tcW w:w="3405" w:type="dxa"/>
                  <w:tcBorders>
                    <w:tl2br w:val="nil"/>
                    <w:tr2bl w:val="nil"/>
                  </w:tcBorders>
                  <w:vAlign w:val="center"/>
                </w:tcPr>
                <w:p w14:paraId="6455E7F4">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eastAsia="宋体"/>
                      <w:color w:val="auto"/>
                      <w:sz w:val="21"/>
                      <w:szCs w:val="21"/>
                      <w:lang w:val="en-US" w:eastAsia="zh-CN"/>
                    </w:rPr>
                  </w:pPr>
                  <w:r>
                    <w:rPr>
                      <w:rFonts w:hint="default" w:ascii="Times New Roman" w:hAnsi="Times New Roman" w:cs="Times New Roman"/>
                      <w:color w:val="auto"/>
                      <w:sz w:val="21"/>
                      <w:szCs w:val="21"/>
                      <w:lang w:val="en-US" w:eastAsia="zh-CN"/>
                    </w:rPr>
                    <w:t>占地面积19.8㎡</w:t>
                  </w:r>
                </w:p>
              </w:tc>
              <w:tc>
                <w:tcPr>
                  <w:tcW w:w="3206" w:type="dxa"/>
                  <w:tcBorders>
                    <w:tl2br w:val="nil"/>
                    <w:tr2bl w:val="nil"/>
                  </w:tcBorders>
                  <w:vAlign w:val="center"/>
                </w:tcPr>
                <w:p w14:paraId="4B8AB010">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eastAsia="宋体"/>
                      <w:color w:val="auto"/>
                      <w:sz w:val="21"/>
                      <w:szCs w:val="21"/>
                      <w:lang w:val="en-US" w:eastAsia="zh-CN"/>
                    </w:rPr>
                  </w:pPr>
                  <w:r>
                    <w:rPr>
                      <w:rFonts w:hint="eastAsia"/>
                      <w:color w:val="auto"/>
                      <w:sz w:val="21"/>
                      <w:szCs w:val="21"/>
                      <w:lang w:eastAsia="zh-CN"/>
                    </w:rPr>
                    <w:t>新建</w:t>
                  </w:r>
                </w:p>
              </w:tc>
            </w:tr>
            <w:tr w14:paraId="3575B9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755" w:type="dxa"/>
                  <w:vMerge w:val="restart"/>
                  <w:tcBorders>
                    <w:tl2br w:val="nil"/>
                    <w:tr2bl w:val="nil"/>
                  </w:tcBorders>
                  <w:vAlign w:val="center"/>
                </w:tcPr>
                <w:p w14:paraId="69577657">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r>
                    <w:rPr>
                      <w:color w:val="auto"/>
                      <w:sz w:val="21"/>
                      <w:szCs w:val="21"/>
                    </w:rPr>
                    <w:t>公用工程</w:t>
                  </w:r>
                </w:p>
              </w:tc>
              <w:tc>
                <w:tcPr>
                  <w:tcW w:w="1308" w:type="dxa"/>
                  <w:tcBorders>
                    <w:tl2br w:val="nil"/>
                    <w:tr2bl w:val="nil"/>
                  </w:tcBorders>
                  <w:vAlign w:val="center"/>
                </w:tcPr>
                <w:p w14:paraId="40DD96D7">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r>
                    <w:rPr>
                      <w:color w:val="auto"/>
                      <w:sz w:val="21"/>
                      <w:szCs w:val="21"/>
                    </w:rPr>
                    <w:t>供水</w:t>
                  </w:r>
                </w:p>
              </w:tc>
              <w:tc>
                <w:tcPr>
                  <w:tcW w:w="3405" w:type="dxa"/>
                  <w:tcBorders>
                    <w:tl2br w:val="nil"/>
                    <w:tr2bl w:val="nil"/>
                  </w:tcBorders>
                  <w:vAlign w:val="center"/>
                </w:tcPr>
                <w:p w14:paraId="22924046">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r>
                    <w:rPr>
                      <w:rFonts w:hint="eastAsia"/>
                      <w:color w:val="auto"/>
                      <w:sz w:val="21"/>
                      <w:szCs w:val="21"/>
                    </w:rPr>
                    <w:t>由市政供水管网供给，厂区供水管采用DN100的给水管道，经水表井后供消防、生产和生活用水管共用</w:t>
                  </w:r>
                </w:p>
              </w:tc>
              <w:tc>
                <w:tcPr>
                  <w:tcW w:w="3206" w:type="dxa"/>
                  <w:tcBorders>
                    <w:tl2br w:val="nil"/>
                    <w:tr2bl w:val="nil"/>
                  </w:tcBorders>
                  <w:vAlign w:val="center"/>
                </w:tcPr>
                <w:p w14:paraId="49323281">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r>
                    <w:rPr>
                      <w:rFonts w:hint="eastAsia"/>
                      <w:color w:val="auto"/>
                      <w:sz w:val="21"/>
                      <w:szCs w:val="21"/>
                      <w:lang w:eastAsia="zh-CN"/>
                    </w:rPr>
                    <w:t>新建</w:t>
                  </w:r>
                </w:p>
              </w:tc>
            </w:tr>
            <w:tr w14:paraId="6E923F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755" w:type="dxa"/>
                  <w:vMerge w:val="continue"/>
                  <w:tcBorders>
                    <w:tl2br w:val="nil"/>
                    <w:tr2bl w:val="nil"/>
                  </w:tcBorders>
                  <w:vAlign w:val="center"/>
                </w:tcPr>
                <w:p w14:paraId="2F0D72FC">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tcBorders>
                    <w:tl2br w:val="nil"/>
                    <w:tr2bl w:val="nil"/>
                  </w:tcBorders>
                  <w:vAlign w:val="center"/>
                </w:tcPr>
                <w:p w14:paraId="1574DCE2">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eastAsia="宋体"/>
                      <w:color w:val="auto"/>
                      <w:sz w:val="21"/>
                      <w:szCs w:val="21"/>
                      <w:lang w:val="en-US" w:eastAsia="zh-CN"/>
                    </w:rPr>
                  </w:pPr>
                  <w:r>
                    <w:rPr>
                      <w:rFonts w:hint="eastAsia"/>
                      <w:color w:val="auto"/>
                      <w:sz w:val="21"/>
                      <w:szCs w:val="21"/>
                      <w:lang w:val="en-US" w:eastAsia="zh-CN"/>
                    </w:rPr>
                    <w:t>排水</w:t>
                  </w:r>
                </w:p>
              </w:tc>
              <w:tc>
                <w:tcPr>
                  <w:tcW w:w="3405" w:type="dxa"/>
                  <w:tcBorders>
                    <w:tl2br w:val="nil"/>
                    <w:tr2bl w:val="nil"/>
                  </w:tcBorders>
                  <w:vAlign w:val="center"/>
                </w:tcPr>
                <w:p w14:paraId="0616C88D">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eastAsia="宋体"/>
                      <w:color w:val="auto"/>
                      <w:sz w:val="21"/>
                      <w:szCs w:val="21"/>
                      <w:lang w:eastAsia="zh-CN"/>
                    </w:rPr>
                  </w:pPr>
                  <w:r>
                    <w:rPr>
                      <w:rFonts w:hint="eastAsia"/>
                      <w:color w:val="auto"/>
                      <w:sz w:val="21"/>
                      <w:szCs w:val="21"/>
                    </w:rPr>
                    <w:t>厂区排水经消毒后，从消毒池引出约</w:t>
                  </w:r>
                  <w:r>
                    <w:rPr>
                      <w:rFonts w:hint="eastAsia"/>
                      <w:color w:val="auto"/>
                      <w:sz w:val="21"/>
                      <w:szCs w:val="21"/>
                      <w:lang w:val="en-US" w:eastAsia="zh-CN"/>
                    </w:rPr>
                    <w:t>2.14k</w:t>
                  </w:r>
                  <w:r>
                    <w:rPr>
                      <w:rFonts w:hint="eastAsia"/>
                      <w:color w:val="auto"/>
                      <w:sz w:val="21"/>
                      <w:szCs w:val="21"/>
                    </w:rPr>
                    <w:t>mDN</w:t>
                  </w:r>
                  <w:r>
                    <w:rPr>
                      <w:rFonts w:hint="eastAsia"/>
                      <w:color w:val="auto"/>
                      <w:sz w:val="21"/>
                      <w:szCs w:val="21"/>
                      <w:lang w:val="en-US" w:eastAsia="zh-CN"/>
                    </w:rPr>
                    <w:t>800</w:t>
                  </w:r>
                  <w:r>
                    <w:rPr>
                      <w:rFonts w:hint="eastAsia"/>
                      <w:color w:val="auto"/>
                      <w:sz w:val="21"/>
                      <w:szCs w:val="21"/>
                    </w:rPr>
                    <w:t>排水管引至</w:t>
                  </w:r>
                  <w:r>
                    <w:rPr>
                      <w:rFonts w:hint="eastAsia"/>
                      <w:color w:val="auto"/>
                      <w:sz w:val="21"/>
                      <w:szCs w:val="21"/>
                      <w:lang w:val="en-US" w:eastAsia="zh-CN"/>
                    </w:rPr>
                    <w:t>果利河</w:t>
                  </w:r>
                </w:p>
              </w:tc>
              <w:tc>
                <w:tcPr>
                  <w:tcW w:w="3206" w:type="dxa"/>
                  <w:tcBorders>
                    <w:tl2br w:val="nil"/>
                    <w:tr2bl w:val="nil"/>
                  </w:tcBorders>
                  <w:vAlign w:val="center"/>
                </w:tcPr>
                <w:p w14:paraId="5D820C8B">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s="宋体"/>
                      <w:color w:val="auto"/>
                      <w:sz w:val="21"/>
                      <w:szCs w:val="21"/>
                    </w:rPr>
                  </w:pPr>
                  <w:r>
                    <w:rPr>
                      <w:rFonts w:hint="eastAsia"/>
                      <w:color w:val="auto"/>
                      <w:sz w:val="21"/>
                      <w:szCs w:val="21"/>
                      <w:lang w:eastAsia="zh-CN"/>
                    </w:rPr>
                    <w:t>新建</w:t>
                  </w:r>
                </w:p>
              </w:tc>
            </w:tr>
            <w:tr w14:paraId="6A1779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continue"/>
                  <w:tcBorders>
                    <w:tl2br w:val="nil"/>
                    <w:tr2bl w:val="nil"/>
                  </w:tcBorders>
                  <w:vAlign w:val="center"/>
                </w:tcPr>
                <w:p w14:paraId="33A491C6">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tcBorders>
                    <w:tl2br w:val="nil"/>
                    <w:tr2bl w:val="nil"/>
                  </w:tcBorders>
                  <w:vAlign w:val="center"/>
                </w:tcPr>
                <w:p w14:paraId="007C8B2C">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r>
                    <w:rPr>
                      <w:color w:val="auto"/>
                      <w:sz w:val="21"/>
                      <w:szCs w:val="21"/>
                    </w:rPr>
                    <w:t>供电</w:t>
                  </w:r>
                </w:p>
              </w:tc>
              <w:tc>
                <w:tcPr>
                  <w:tcW w:w="3405" w:type="dxa"/>
                  <w:tcBorders>
                    <w:tl2br w:val="nil"/>
                    <w:tr2bl w:val="nil"/>
                  </w:tcBorders>
                  <w:vAlign w:val="center"/>
                </w:tcPr>
                <w:p w14:paraId="3EE631EB">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eastAsia="宋体"/>
                      <w:color w:val="auto"/>
                      <w:sz w:val="21"/>
                      <w:szCs w:val="21"/>
                      <w:lang w:eastAsia="zh-CN"/>
                    </w:rPr>
                  </w:pPr>
                  <w:r>
                    <w:rPr>
                      <w:rFonts w:hint="eastAsia"/>
                      <w:color w:val="auto"/>
                      <w:sz w:val="21"/>
                      <w:szCs w:val="21"/>
                      <w:lang w:eastAsia="zh-CN"/>
                    </w:rPr>
                    <w:t>市政电网</w:t>
                  </w:r>
                </w:p>
              </w:tc>
              <w:tc>
                <w:tcPr>
                  <w:tcW w:w="3206" w:type="dxa"/>
                  <w:tcBorders>
                    <w:tl2br w:val="nil"/>
                    <w:tr2bl w:val="nil"/>
                  </w:tcBorders>
                  <w:vAlign w:val="center"/>
                </w:tcPr>
                <w:p w14:paraId="27A6A0CC">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r>
                    <w:rPr>
                      <w:rFonts w:hint="eastAsia"/>
                      <w:color w:val="auto"/>
                      <w:sz w:val="21"/>
                      <w:szCs w:val="21"/>
                      <w:lang w:eastAsia="zh-CN"/>
                    </w:rPr>
                    <w:t>新建</w:t>
                  </w:r>
                </w:p>
              </w:tc>
            </w:tr>
            <w:tr w14:paraId="6D6FF4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continue"/>
                  <w:tcBorders>
                    <w:tl2br w:val="nil"/>
                    <w:tr2bl w:val="nil"/>
                  </w:tcBorders>
                  <w:vAlign w:val="center"/>
                </w:tcPr>
                <w:p w14:paraId="7D5DD420">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tcBorders>
                    <w:tl2br w:val="nil"/>
                    <w:tr2bl w:val="nil"/>
                  </w:tcBorders>
                  <w:vAlign w:val="center"/>
                </w:tcPr>
                <w:p w14:paraId="61A5C314">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olor w:val="auto"/>
                      <w:sz w:val="21"/>
                      <w:szCs w:val="21"/>
                    </w:rPr>
                  </w:pPr>
                  <w:r>
                    <w:rPr>
                      <w:rFonts w:hint="eastAsia"/>
                      <w:color w:val="auto"/>
                      <w:sz w:val="21"/>
                      <w:szCs w:val="21"/>
                    </w:rPr>
                    <w:t>停车位</w:t>
                  </w:r>
                </w:p>
              </w:tc>
              <w:tc>
                <w:tcPr>
                  <w:tcW w:w="3405" w:type="dxa"/>
                  <w:tcBorders>
                    <w:tl2br w:val="nil"/>
                    <w:tr2bl w:val="nil"/>
                  </w:tcBorders>
                  <w:vAlign w:val="center"/>
                </w:tcPr>
                <w:p w14:paraId="0397CA58">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3个</w:t>
                  </w:r>
                </w:p>
              </w:tc>
              <w:tc>
                <w:tcPr>
                  <w:tcW w:w="3206" w:type="dxa"/>
                  <w:tcBorders>
                    <w:tl2br w:val="nil"/>
                    <w:tr2bl w:val="nil"/>
                  </w:tcBorders>
                  <w:vAlign w:val="center"/>
                </w:tcPr>
                <w:p w14:paraId="08CBFDD4">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r>
                    <w:rPr>
                      <w:rFonts w:hint="eastAsia"/>
                      <w:color w:val="auto"/>
                      <w:sz w:val="21"/>
                      <w:szCs w:val="21"/>
                      <w:lang w:eastAsia="zh-CN"/>
                    </w:rPr>
                    <w:t>新建</w:t>
                  </w:r>
                </w:p>
              </w:tc>
            </w:tr>
            <w:tr w14:paraId="1F83E8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 w:hRule="atLeast"/>
                <w:jc w:val="center"/>
              </w:trPr>
              <w:tc>
                <w:tcPr>
                  <w:tcW w:w="755" w:type="dxa"/>
                  <w:vMerge w:val="continue"/>
                  <w:tcBorders>
                    <w:tl2br w:val="nil"/>
                    <w:tr2bl w:val="nil"/>
                  </w:tcBorders>
                  <w:vAlign w:val="center"/>
                </w:tcPr>
                <w:p w14:paraId="419DEE99">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color w:val="auto"/>
                      <w:sz w:val="21"/>
                      <w:szCs w:val="21"/>
                    </w:rPr>
                  </w:pPr>
                </w:p>
              </w:tc>
              <w:tc>
                <w:tcPr>
                  <w:tcW w:w="1308" w:type="dxa"/>
                  <w:tcBorders>
                    <w:tl2br w:val="nil"/>
                    <w:tr2bl w:val="nil"/>
                  </w:tcBorders>
                  <w:vAlign w:val="center"/>
                </w:tcPr>
                <w:p w14:paraId="2EE010E3">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采暖及制冷</w:t>
                  </w:r>
                </w:p>
              </w:tc>
              <w:tc>
                <w:tcPr>
                  <w:tcW w:w="3405" w:type="dxa"/>
                  <w:tcBorders>
                    <w:tl2br w:val="nil"/>
                    <w:tr2bl w:val="nil"/>
                  </w:tcBorders>
                  <w:vAlign w:val="center"/>
                </w:tcPr>
                <w:p w14:paraId="6A15CF68">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由分体式空调供暖、制冷</w:t>
                  </w:r>
                </w:p>
              </w:tc>
              <w:tc>
                <w:tcPr>
                  <w:tcW w:w="3206" w:type="dxa"/>
                  <w:tcBorders>
                    <w:tl2br w:val="nil"/>
                    <w:tr2bl w:val="nil"/>
                  </w:tcBorders>
                  <w:vAlign w:val="top"/>
                </w:tcPr>
                <w:p w14:paraId="3C54705C">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s="宋体"/>
                      <w:color w:val="auto"/>
                      <w:sz w:val="21"/>
                      <w:szCs w:val="21"/>
                    </w:rPr>
                  </w:pPr>
                  <w:r>
                    <w:rPr>
                      <w:rFonts w:hint="eastAsia"/>
                      <w:color w:val="auto"/>
                      <w:sz w:val="21"/>
                      <w:szCs w:val="21"/>
                      <w:lang w:eastAsia="zh-CN"/>
                    </w:rPr>
                    <w:t>新建</w:t>
                  </w:r>
                </w:p>
              </w:tc>
            </w:tr>
            <w:tr w14:paraId="41D506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restart"/>
                  <w:tcBorders>
                    <w:tl2br w:val="nil"/>
                    <w:tr2bl w:val="nil"/>
                  </w:tcBorders>
                  <w:vAlign w:val="center"/>
                </w:tcPr>
                <w:p w14:paraId="7709BE13">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eastAsia="宋体"/>
                      <w:color w:val="auto"/>
                      <w:sz w:val="21"/>
                      <w:szCs w:val="21"/>
                      <w:lang w:val="en-US" w:eastAsia="zh-CN"/>
                    </w:rPr>
                  </w:pPr>
                  <w:r>
                    <w:rPr>
                      <w:rFonts w:hint="eastAsia"/>
                      <w:color w:val="auto"/>
                      <w:sz w:val="21"/>
                      <w:szCs w:val="21"/>
                      <w:lang w:val="en-US" w:eastAsia="zh-CN"/>
                    </w:rPr>
                    <w:t>环保工程</w:t>
                  </w:r>
                </w:p>
              </w:tc>
              <w:tc>
                <w:tcPr>
                  <w:tcW w:w="1308" w:type="dxa"/>
                  <w:tcBorders>
                    <w:tl2br w:val="nil"/>
                    <w:tr2bl w:val="nil"/>
                  </w:tcBorders>
                  <w:vAlign w:val="center"/>
                </w:tcPr>
                <w:p w14:paraId="55B89358">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color w:val="auto"/>
                      <w:sz w:val="21"/>
                      <w:szCs w:val="21"/>
                      <w:u w:val="none"/>
                      <w:lang w:val="en-US" w:eastAsia="zh-CN"/>
                    </w:rPr>
                  </w:pPr>
                  <w:r>
                    <w:rPr>
                      <w:rFonts w:hint="eastAsia"/>
                      <w:color w:val="auto"/>
                      <w:sz w:val="21"/>
                      <w:szCs w:val="21"/>
                      <w:u w:val="none"/>
                      <w:lang w:val="en-US" w:eastAsia="zh-CN"/>
                    </w:rPr>
                    <w:t>恶臭处理</w:t>
                  </w:r>
                </w:p>
              </w:tc>
              <w:tc>
                <w:tcPr>
                  <w:tcW w:w="3405" w:type="dxa"/>
                  <w:tcBorders>
                    <w:tl2br w:val="nil"/>
                    <w:tr2bl w:val="nil"/>
                  </w:tcBorders>
                  <w:vAlign w:val="center"/>
                </w:tcPr>
                <w:p w14:paraId="183EFC20">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olor w:val="auto"/>
                      <w:sz w:val="21"/>
                      <w:szCs w:val="21"/>
                      <w:u w:val="none"/>
                      <w:lang w:val="en-US" w:eastAsia="zh-CN"/>
                    </w:rPr>
                  </w:pPr>
                  <w:r>
                    <w:rPr>
                      <w:rFonts w:hint="default" w:ascii="Times New Roman" w:hAnsi="Times New Roman" w:cs="Times New Roman"/>
                      <w:color w:val="auto"/>
                      <w:sz w:val="21"/>
                      <w:szCs w:val="21"/>
                      <w:u w:val="none"/>
                      <w:lang w:val="en-US" w:eastAsia="zh-CN"/>
                    </w:rPr>
                    <w:t>生物除臭（1座）</w:t>
                  </w:r>
                  <w:r>
                    <w:rPr>
                      <w:rFonts w:hint="eastAsia" w:ascii="Times New Roman" w:hAnsi="Times New Roman" w:cs="Times New Roman"/>
                      <w:color w:val="auto"/>
                      <w:sz w:val="21"/>
                      <w:szCs w:val="21"/>
                      <w:u w:val="none"/>
                      <w:lang w:val="en-US" w:eastAsia="zh-CN"/>
                    </w:rPr>
                    <w:t>，</w:t>
                  </w:r>
                  <w:r>
                    <w:rPr>
                      <w:rFonts w:hint="eastAsia"/>
                      <w:color w:val="auto"/>
                      <w:sz w:val="21"/>
                      <w:szCs w:val="21"/>
                      <w:u w:val="none"/>
                      <w:lang w:val="en-US" w:eastAsia="zh-CN"/>
                    </w:rPr>
                    <w:t>绿化吸收，加盖密封，污泥及时清运</w:t>
                  </w:r>
                </w:p>
              </w:tc>
              <w:tc>
                <w:tcPr>
                  <w:tcW w:w="3206" w:type="dxa"/>
                  <w:tcBorders>
                    <w:tl2br w:val="nil"/>
                    <w:tr2bl w:val="nil"/>
                  </w:tcBorders>
                  <w:vAlign w:val="center"/>
                </w:tcPr>
                <w:p w14:paraId="3E29FF2C">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olor w:val="auto"/>
                      <w:sz w:val="21"/>
                      <w:szCs w:val="21"/>
                      <w:u w:val="none"/>
                      <w:lang w:val="en-US" w:eastAsia="zh-CN"/>
                    </w:rPr>
                  </w:pPr>
                  <w:r>
                    <w:rPr>
                      <w:rFonts w:hint="default" w:ascii="Times New Roman" w:hAnsi="Times New Roman" w:cs="Times New Roman"/>
                      <w:color w:val="auto"/>
                      <w:sz w:val="21"/>
                      <w:szCs w:val="21"/>
                      <w:u w:val="none"/>
                      <w:lang w:val="en-US" w:eastAsia="zh-CN"/>
                    </w:rPr>
                    <w:t>土建规模2.5万m³/d，设备规模按1.5万m³/d</w:t>
                  </w:r>
                </w:p>
              </w:tc>
            </w:tr>
            <w:tr w14:paraId="06B58D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continue"/>
                  <w:tcBorders>
                    <w:tl2br w:val="nil"/>
                    <w:tr2bl w:val="nil"/>
                  </w:tcBorders>
                  <w:vAlign w:val="center"/>
                </w:tcPr>
                <w:p w14:paraId="68568BB3">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olor w:val="auto"/>
                      <w:sz w:val="21"/>
                      <w:szCs w:val="21"/>
                      <w:lang w:val="en-US" w:eastAsia="zh-CN"/>
                    </w:rPr>
                  </w:pPr>
                </w:p>
              </w:tc>
              <w:tc>
                <w:tcPr>
                  <w:tcW w:w="1308" w:type="dxa"/>
                  <w:tcBorders>
                    <w:tl2br w:val="nil"/>
                    <w:tr2bl w:val="nil"/>
                  </w:tcBorders>
                  <w:vAlign w:val="center"/>
                </w:tcPr>
                <w:p w14:paraId="3A8CA231">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color w:val="auto"/>
                      <w:sz w:val="21"/>
                      <w:szCs w:val="21"/>
                      <w:u w:val="single"/>
                      <w:lang w:val="en-US" w:eastAsia="zh-CN"/>
                    </w:rPr>
                  </w:pPr>
                  <w:r>
                    <w:rPr>
                      <w:rFonts w:hint="eastAsia"/>
                      <w:color w:val="auto"/>
                      <w:sz w:val="21"/>
                      <w:szCs w:val="21"/>
                      <w:u w:val="single"/>
                      <w:lang w:val="en-US" w:eastAsia="zh-CN"/>
                    </w:rPr>
                    <w:t>污水处理</w:t>
                  </w:r>
                </w:p>
              </w:tc>
              <w:tc>
                <w:tcPr>
                  <w:tcW w:w="3405" w:type="dxa"/>
                  <w:tcBorders>
                    <w:tl2br w:val="nil"/>
                    <w:tr2bl w:val="nil"/>
                  </w:tcBorders>
                  <w:vAlign w:val="center"/>
                </w:tcPr>
                <w:p w14:paraId="4447B430">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olor w:val="auto"/>
                      <w:sz w:val="21"/>
                      <w:szCs w:val="21"/>
                      <w:u w:val="single"/>
                      <w:lang w:val="en-US" w:eastAsia="zh-CN"/>
                    </w:rPr>
                  </w:pPr>
                  <w:r>
                    <w:rPr>
                      <w:rFonts w:hint="eastAsia"/>
                      <w:color w:val="auto"/>
                      <w:sz w:val="21"/>
                      <w:szCs w:val="21"/>
                      <w:u w:val="single"/>
                      <w:lang w:val="en-US" w:eastAsia="zh-CN"/>
                    </w:rPr>
                    <w:t>出水在线监测间，进入污水处理系统达标排放，设置在线监控并联网，对排污口进行规范化设置</w:t>
                  </w:r>
                </w:p>
              </w:tc>
              <w:tc>
                <w:tcPr>
                  <w:tcW w:w="3206" w:type="dxa"/>
                  <w:tcBorders>
                    <w:tl2br w:val="nil"/>
                    <w:tr2bl w:val="nil"/>
                  </w:tcBorders>
                  <w:vAlign w:val="center"/>
                </w:tcPr>
                <w:p w14:paraId="1EC5AA94">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olor w:val="auto"/>
                      <w:sz w:val="21"/>
                      <w:szCs w:val="21"/>
                      <w:u w:val="single"/>
                      <w:lang w:val="en-US" w:eastAsia="zh-CN"/>
                    </w:rPr>
                  </w:pPr>
                  <w:r>
                    <w:rPr>
                      <w:rFonts w:hint="eastAsia"/>
                      <w:color w:val="auto"/>
                      <w:sz w:val="21"/>
                      <w:szCs w:val="21"/>
                      <w:u w:val="single"/>
                      <w:lang w:eastAsia="zh-CN"/>
                    </w:rPr>
                    <w:t>新建</w:t>
                  </w:r>
                </w:p>
              </w:tc>
            </w:tr>
            <w:tr w14:paraId="295026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755" w:type="dxa"/>
                  <w:vMerge w:val="continue"/>
                  <w:tcBorders>
                    <w:tl2br w:val="nil"/>
                    <w:tr2bl w:val="nil"/>
                  </w:tcBorders>
                  <w:vAlign w:val="center"/>
                </w:tcPr>
                <w:p w14:paraId="26C7B739">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olor w:val="auto"/>
                      <w:sz w:val="21"/>
                      <w:szCs w:val="21"/>
                      <w:lang w:val="en-US" w:eastAsia="zh-CN"/>
                    </w:rPr>
                  </w:pPr>
                </w:p>
              </w:tc>
              <w:tc>
                <w:tcPr>
                  <w:tcW w:w="1308" w:type="dxa"/>
                  <w:tcBorders>
                    <w:tl2br w:val="nil"/>
                    <w:tr2bl w:val="nil"/>
                  </w:tcBorders>
                  <w:vAlign w:val="center"/>
                </w:tcPr>
                <w:p w14:paraId="4E9A3571">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color w:val="auto"/>
                      <w:sz w:val="21"/>
                      <w:szCs w:val="21"/>
                      <w:u w:val="none"/>
                      <w:lang w:val="en-US" w:eastAsia="zh-CN"/>
                    </w:rPr>
                  </w:pPr>
                  <w:r>
                    <w:rPr>
                      <w:rFonts w:hint="eastAsia"/>
                      <w:color w:val="auto"/>
                      <w:sz w:val="21"/>
                      <w:szCs w:val="21"/>
                      <w:u w:val="none"/>
                      <w:lang w:val="en-US" w:eastAsia="zh-CN"/>
                    </w:rPr>
                    <w:t>噪声治理</w:t>
                  </w:r>
                </w:p>
              </w:tc>
              <w:tc>
                <w:tcPr>
                  <w:tcW w:w="3405" w:type="dxa"/>
                  <w:tcBorders>
                    <w:tl2br w:val="nil"/>
                    <w:tr2bl w:val="nil"/>
                  </w:tcBorders>
                  <w:vAlign w:val="center"/>
                </w:tcPr>
                <w:p w14:paraId="0CE75AEE">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olor w:val="auto"/>
                      <w:sz w:val="21"/>
                      <w:szCs w:val="21"/>
                      <w:u w:val="none"/>
                      <w:lang w:val="en-US" w:eastAsia="zh-CN"/>
                    </w:rPr>
                  </w:pPr>
                  <w:r>
                    <w:rPr>
                      <w:rFonts w:hint="eastAsia"/>
                      <w:color w:val="auto"/>
                      <w:sz w:val="21"/>
                      <w:szCs w:val="21"/>
                      <w:u w:val="none"/>
                      <w:lang w:val="en-US" w:eastAsia="zh-CN"/>
                    </w:rPr>
                    <w:t>操作间采用密闭隔声设计；污泥泵等设备均布置于泵房内；鼓风机安装减震器与隔声罩、降低噪声；设置保护林带，绿化降噪</w:t>
                  </w:r>
                </w:p>
              </w:tc>
              <w:tc>
                <w:tcPr>
                  <w:tcW w:w="3206" w:type="dxa"/>
                  <w:tcBorders>
                    <w:tl2br w:val="nil"/>
                    <w:tr2bl w:val="nil"/>
                  </w:tcBorders>
                  <w:vAlign w:val="center"/>
                </w:tcPr>
                <w:p w14:paraId="615BB840">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olor w:val="auto"/>
                      <w:sz w:val="21"/>
                      <w:szCs w:val="21"/>
                      <w:u w:val="none"/>
                      <w:lang w:val="en-US" w:eastAsia="zh-CN"/>
                    </w:rPr>
                  </w:pPr>
                  <w:r>
                    <w:rPr>
                      <w:rFonts w:hint="eastAsia"/>
                      <w:color w:val="auto"/>
                      <w:sz w:val="21"/>
                      <w:szCs w:val="21"/>
                      <w:lang w:eastAsia="zh-CN"/>
                    </w:rPr>
                    <w:t>新建</w:t>
                  </w:r>
                </w:p>
              </w:tc>
            </w:tr>
            <w:tr w14:paraId="46837B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5" w:type="dxa"/>
                  <w:vMerge w:val="continue"/>
                  <w:tcBorders>
                    <w:tl2br w:val="nil"/>
                    <w:tr2bl w:val="nil"/>
                  </w:tcBorders>
                  <w:vAlign w:val="center"/>
                </w:tcPr>
                <w:p w14:paraId="4F4DD0CA">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olor w:val="auto"/>
                      <w:sz w:val="21"/>
                      <w:szCs w:val="21"/>
                      <w:lang w:val="en-US" w:eastAsia="zh-CN"/>
                    </w:rPr>
                  </w:pPr>
                </w:p>
              </w:tc>
              <w:tc>
                <w:tcPr>
                  <w:tcW w:w="1308" w:type="dxa"/>
                  <w:tcBorders>
                    <w:tl2br w:val="nil"/>
                    <w:tr2bl w:val="nil"/>
                  </w:tcBorders>
                  <w:vAlign w:val="center"/>
                </w:tcPr>
                <w:p w14:paraId="04B13FE2">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color w:val="auto"/>
                      <w:sz w:val="21"/>
                      <w:szCs w:val="21"/>
                      <w:u w:val="none"/>
                      <w:lang w:val="en-US" w:eastAsia="zh-CN"/>
                    </w:rPr>
                  </w:pPr>
                  <w:r>
                    <w:rPr>
                      <w:rFonts w:hint="eastAsia"/>
                      <w:color w:val="auto"/>
                      <w:sz w:val="21"/>
                      <w:szCs w:val="21"/>
                      <w:u w:val="none"/>
                      <w:lang w:val="en-US" w:eastAsia="zh-CN"/>
                    </w:rPr>
                    <w:t>固废处理</w:t>
                  </w:r>
                </w:p>
              </w:tc>
              <w:tc>
                <w:tcPr>
                  <w:tcW w:w="3405" w:type="dxa"/>
                  <w:tcBorders>
                    <w:tl2br w:val="nil"/>
                    <w:tr2bl w:val="nil"/>
                  </w:tcBorders>
                  <w:vAlign w:val="center"/>
                </w:tcPr>
                <w:p w14:paraId="4D7E07D0">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olor w:val="auto"/>
                      <w:sz w:val="21"/>
                      <w:szCs w:val="21"/>
                      <w:u w:val="none"/>
                      <w:lang w:val="en-US" w:eastAsia="zh-CN"/>
                    </w:rPr>
                  </w:pPr>
                  <w:r>
                    <w:rPr>
                      <w:rFonts w:hint="eastAsia" w:cs="Times New Roman"/>
                      <w:color w:val="auto"/>
                      <w:sz w:val="21"/>
                      <w:szCs w:val="21"/>
                      <w:u w:val="none"/>
                      <w:lang w:val="en-US" w:eastAsia="zh-CN"/>
                    </w:rPr>
                    <w:t>污泥脱水车间1座</w:t>
                  </w:r>
                  <w:r>
                    <w:rPr>
                      <w:rFonts w:hint="eastAsia" w:ascii="Times New Roman" w:hAnsi="Times New Roman" w:cs="Times New Roman"/>
                      <w:color w:val="auto"/>
                      <w:sz w:val="21"/>
                      <w:szCs w:val="21"/>
                      <w:u w:val="none"/>
                      <w:lang w:val="en-US" w:eastAsia="zh-CN"/>
                    </w:rPr>
                    <w:t>，</w:t>
                  </w:r>
                  <w:r>
                    <w:rPr>
                      <w:rFonts w:hint="eastAsia" w:cs="Times New Roman"/>
                      <w:color w:val="auto"/>
                      <w:sz w:val="21"/>
                      <w:szCs w:val="21"/>
                      <w:u w:val="none"/>
                      <w:lang w:val="en-US" w:eastAsia="zh-CN"/>
                    </w:rPr>
                    <w:t>危废暂存间1座，</w:t>
                  </w:r>
                  <w:r>
                    <w:rPr>
                      <w:rFonts w:hint="eastAsia" w:ascii="Times New Roman" w:hAnsi="Times New Roman" w:cs="Times New Roman"/>
                      <w:color w:val="auto"/>
                      <w:sz w:val="21"/>
                      <w:szCs w:val="21"/>
                      <w:u w:val="none"/>
                      <w:lang w:val="en-US" w:eastAsia="zh-CN"/>
                    </w:rPr>
                    <w:t>过滤/污泥处理一体机脱水后</w:t>
                  </w:r>
                  <w:r>
                    <w:rPr>
                      <w:rFonts w:hint="eastAsia"/>
                      <w:color w:val="auto"/>
                      <w:sz w:val="21"/>
                      <w:szCs w:val="21"/>
                      <w:u w:val="none"/>
                      <w:lang w:val="en-US" w:eastAsia="zh-CN"/>
                    </w:rPr>
                    <w:t>外运焚烧发电；生活垃圾由环卫部门清运；危险废物交由有资质单位处理</w:t>
                  </w:r>
                </w:p>
              </w:tc>
              <w:tc>
                <w:tcPr>
                  <w:tcW w:w="3206" w:type="dxa"/>
                  <w:tcBorders>
                    <w:tl2br w:val="nil"/>
                    <w:tr2bl w:val="nil"/>
                  </w:tcBorders>
                  <w:vAlign w:val="center"/>
                </w:tcPr>
                <w:p w14:paraId="0F03EDCB">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olor w:val="auto"/>
                      <w:sz w:val="21"/>
                      <w:szCs w:val="21"/>
                      <w:u w:val="none"/>
                      <w:lang w:val="en-US" w:eastAsia="zh-CN"/>
                    </w:rPr>
                  </w:pPr>
                  <w:r>
                    <w:rPr>
                      <w:rFonts w:hint="eastAsia"/>
                      <w:color w:val="auto"/>
                      <w:sz w:val="21"/>
                      <w:szCs w:val="21"/>
                      <w:lang w:eastAsia="zh-CN"/>
                    </w:rPr>
                    <w:t>新建</w:t>
                  </w:r>
                </w:p>
              </w:tc>
            </w:tr>
          </w:tbl>
          <w:p w14:paraId="30BECCEC">
            <w:pPr>
              <w:keepNext w:val="0"/>
              <w:keepLines w:val="0"/>
              <w:pageBreakBefore w:val="0"/>
              <w:widowControl w:val="0"/>
              <w:kinsoku/>
              <w:wordWrap w:val="0"/>
              <w:overflowPunct/>
              <w:topLinePunct w:val="0"/>
              <w:autoSpaceDE/>
              <w:autoSpaceDN/>
              <w:bidi w:val="0"/>
              <w:adjustRightInd/>
              <w:snapToGrid/>
              <w:spacing w:line="360" w:lineRule="auto"/>
              <w:ind w:firstLine="482" w:firstLineChars="200"/>
              <w:jc w:val="left"/>
              <w:textAlignment w:val="auto"/>
              <w:rPr>
                <w:rFonts w:hint="eastAsia" w:eastAsia="宋体"/>
                <w:b w:val="0"/>
                <w:bCs w:val="0"/>
                <w:color w:val="auto"/>
                <w:sz w:val="24"/>
                <w:lang w:val="en-US" w:eastAsia="zh-CN"/>
              </w:rPr>
            </w:pPr>
            <w:r>
              <w:rPr>
                <w:rFonts w:hint="eastAsia" w:eastAsia="宋体"/>
                <w:b/>
                <w:bCs/>
                <w:color w:val="auto"/>
                <w:sz w:val="24"/>
                <w:lang w:val="en-US" w:eastAsia="zh-CN"/>
              </w:rPr>
              <w:t>管道工程：</w:t>
            </w:r>
          </w:p>
          <w:p w14:paraId="4004EFFB">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eastAsia" w:eastAsia="宋体"/>
                <w:b w:val="0"/>
                <w:bCs w:val="0"/>
                <w:color w:val="auto"/>
                <w:sz w:val="24"/>
                <w:u w:val="single"/>
                <w:lang w:val="en-US" w:eastAsia="zh-CN"/>
              </w:rPr>
            </w:pPr>
            <w:r>
              <w:rPr>
                <w:rFonts w:hint="eastAsia" w:eastAsia="宋体"/>
                <w:b w:val="0"/>
                <w:bCs w:val="0"/>
                <w:color w:val="auto"/>
                <w:sz w:val="24"/>
                <w:u w:val="single"/>
                <w:lang w:val="en-US" w:eastAsia="zh-CN"/>
              </w:rPr>
              <w:t>项目（一期）纳污范围为石羔镇、龙山北站、龙山产业园均为生活污水，高铁新区配套建设污水收集管网约12.77km，污水入户管约5.09km，高铁新城污水处理厂配套尾水排放管2.14km，尾水采用重力自排，排放水位按523.00m控制。工程服务区域的排水体制为雨污分流制。</w:t>
            </w:r>
          </w:p>
          <w:p w14:paraId="26AEAC97">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eastAsia" w:eastAsia="宋体"/>
                <w:b w:val="0"/>
                <w:bCs w:val="0"/>
                <w:color w:val="auto"/>
                <w:sz w:val="24"/>
                <w:u w:val="single"/>
                <w:lang w:val="en-US" w:eastAsia="zh-CN"/>
              </w:rPr>
            </w:pPr>
            <w:r>
              <w:rPr>
                <w:rFonts w:hint="eastAsia" w:eastAsia="宋体"/>
                <w:b w:val="0"/>
                <w:bCs w:val="0"/>
                <w:color w:val="auto"/>
                <w:sz w:val="24"/>
                <w:u w:val="single"/>
                <w:lang w:val="en-US" w:eastAsia="zh-CN"/>
              </w:rPr>
              <w:t>项目管道施工方案如下：</w:t>
            </w:r>
          </w:p>
          <w:p w14:paraId="64D81466">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eastAsia" w:eastAsia="宋体"/>
                <w:b w:val="0"/>
                <w:bCs w:val="0"/>
                <w:color w:val="auto"/>
                <w:sz w:val="24"/>
                <w:u w:val="single"/>
                <w:lang w:val="en-US" w:eastAsia="zh-CN"/>
              </w:rPr>
            </w:pPr>
            <w:r>
              <w:rPr>
                <w:rFonts w:hint="eastAsia" w:eastAsia="宋体"/>
                <w:b w:val="0"/>
                <w:bCs w:val="0"/>
                <w:color w:val="auto"/>
                <w:sz w:val="24"/>
                <w:u w:val="single"/>
                <w:lang w:val="en-US" w:eastAsia="zh-CN"/>
              </w:rPr>
              <w:t>管线工程管道施工方法的选择涉及到管线铺设地段的地形、地质、管道埋深和管线穿越地带的建（构）筑物的分布等诸多因素。一般情况下常采用开槽埋设管道的施工办法。但在已建成区域建筑密集区、管道埋深较大路段以及穿越河流或局部低洼地带的管线需采用特殊施工方案，本工程的管线工程结构施工中拟采取如下技术措施：</w:t>
            </w:r>
          </w:p>
          <w:p w14:paraId="436FA9F5">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eastAsia" w:eastAsia="宋体"/>
                <w:b w:val="0"/>
                <w:bCs w:val="0"/>
                <w:color w:val="auto"/>
                <w:sz w:val="24"/>
                <w:u w:val="single"/>
                <w:lang w:val="en-US" w:eastAsia="zh-CN"/>
              </w:rPr>
            </w:pPr>
            <w:r>
              <w:rPr>
                <w:rFonts w:hint="eastAsia" w:eastAsia="宋体"/>
                <w:b w:val="0"/>
                <w:bCs w:val="0"/>
                <w:color w:val="auto"/>
                <w:sz w:val="24"/>
                <w:u w:val="single"/>
                <w:lang w:val="en-US" w:eastAsia="zh-CN"/>
              </w:rPr>
              <w:t>①一般情况下采用开槽施工；②管道埋深大，开沟槽施工困难的，采用顶管施工。</w:t>
            </w:r>
          </w:p>
          <w:p w14:paraId="3B4122CB">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eastAsia" w:eastAsia="宋体"/>
                <w:b w:val="0"/>
                <w:bCs w:val="0"/>
                <w:color w:val="auto"/>
                <w:sz w:val="24"/>
                <w:u w:val="single"/>
                <w:lang w:val="en-US" w:eastAsia="zh-CN"/>
              </w:rPr>
            </w:pPr>
            <w:r>
              <w:rPr>
                <w:rFonts w:hint="eastAsia" w:eastAsia="宋体"/>
                <w:b w:val="0"/>
                <w:bCs w:val="0"/>
                <w:color w:val="auto"/>
                <w:sz w:val="24"/>
                <w:u w:val="single"/>
                <w:lang w:val="en-US" w:eastAsia="zh-CN"/>
              </w:rPr>
              <w:t>开沟槽埋管主要用于场地地势开阔，周边无民房或民房稀少。本项目一般情况均采用开槽施工。</w:t>
            </w:r>
          </w:p>
          <w:p w14:paraId="5E176B7A">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eastAsia" w:eastAsia="宋体"/>
                <w:b w:val="0"/>
                <w:bCs w:val="0"/>
                <w:color w:val="auto"/>
                <w:sz w:val="24"/>
                <w:u w:val="single"/>
                <w:lang w:val="en-US" w:eastAsia="zh-CN"/>
              </w:rPr>
            </w:pPr>
            <w:r>
              <w:rPr>
                <w:rFonts w:hint="eastAsia" w:eastAsia="宋体"/>
                <w:b w:val="0"/>
                <w:bCs w:val="0"/>
                <w:color w:val="auto"/>
                <w:sz w:val="24"/>
                <w:u w:val="single"/>
                <w:lang w:val="en-US" w:eastAsia="zh-CN"/>
              </w:rPr>
              <w:t>（1）管线沟槽土方开挖</w:t>
            </w:r>
          </w:p>
          <w:p w14:paraId="23940A3B">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eastAsia" w:eastAsia="宋体"/>
                <w:b w:val="0"/>
                <w:bCs w:val="0"/>
                <w:color w:val="auto"/>
                <w:sz w:val="24"/>
                <w:u w:val="single"/>
                <w:lang w:val="en-US" w:eastAsia="zh-CN"/>
              </w:rPr>
            </w:pPr>
            <w:r>
              <w:rPr>
                <w:rFonts w:hint="eastAsia" w:eastAsia="宋体"/>
                <w:b w:val="0"/>
                <w:bCs w:val="0"/>
                <w:color w:val="auto"/>
                <w:sz w:val="24"/>
                <w:u w:val="single"/>
                <w:lang w:val="en-US" w:eastAsia="zh-CN"/>
              </w:rPr>
              <w:t>沟槽开挖施工方法：沟槽土方开挖采用1m³反铲履带式挖掘机挖土，土方堆积在沟槽一侧。</w:t>
            </w:r>
          </w:p>
          <w:p w14:paraId="2A041AEF">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eastAsia" w:eastAsia="宋体"/>
                <w:b w:val="0"/>
                <w:bCs w:val="0"/>
                <w:color w:val="auto"/>
                <w:sz w:val="24"/>
                <w:u w:val="single"/>
                <w:lang w:val="en-US" w:eastAsia="zh-CN"/>
              </w:rPr>
            </w:pPr>
            <w:r>
              <w:rPr>
                <w:rFonts w:hint="eastAsia" w:eastAsia="宋体"/>
                <w:b w:val="0"/>
                <w:bCs w:val="0"/>
                <w:color w:val="auto"/>
                <w:sz w:val="24"/>
                <w:u w:val="single"/>
                <w:lang w:val="en-US" w:eastAsia="zh-CN"/>
              </w:rPr>
              <w:t>沟侧弃土不能堆填太高，以免造成沟槽边坡失稳。弃土堆距沟槽边缘距离应保证 2m 以上。为了减少堆土对沟槽的侧压力，也可将能作建设场地填土使用的多余土方运至低洼地区作平整场地使用。</w:t>
            </w:r>
          </w:p>
          <w:p w14:paraId="1AD6A6FC">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eastAsia" w:eastAsia="宋体"/>
                <w:b w:val="0"/>
                <w:bCs w:val="0"/>
                <w:color w:val="auto"/>
                <w:sz w:val="24"/>
                <w:u w:val="single"/>
                <w:lang w:val="en-US" w:eastAsia="zh-CN"/>
              </w:rPr>
            </w:pPr>
            <w:r>
              <w:rPr>
                <w:rFonts w:hint="eastAsia" w:eastAsia="宋体"/>
                <w:b w:val="0"/>
                <w:bCs w:val="0"/>
                <w:color w:val="auto"/>
                <w:sz w:val="24"/>
                <w:u w:val="single"/>
                <w:lang w:val="en-US" w:eastAsia="zh-CN"/>
              </w:rPr>
              <w:t>（2）沟槽开挖与回填</w:t>
            </w:r>
          </w:p>
          <w:p w14:paraId="2029DC2D">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eastAsia" w:eastAsia="宋体"/>
                <w:b w:val="0"/>
                <w:bCs w:val="0"/>
                <w:color w:val="auto"/>
                <w:sz w:val="24"/>
                <w:u w:val="single"/>
                <w:lang w:val="en-US" w:eastAsia="zh-CN"/>
              </w:rPr>
            </w:pPr>
            <w:r>
              <w:rPr>
                <w:rFonts w:hint="eastAsia" w:eastAsia="宋体"/>
                <w:b w:val="0"/>
                <w:bCs w:val="0"/>
                <w:color w:val="auto"/>
                <w:sz w:val="24"/>
                <w:u w:val="single"/>
                <w:lang w:val="en-US" w:eastAsia="zh-CN"/>
              </w:rPr>
              <w:t>填土从场地最低处开始，有坑先填，在水平分层整片回填辗压（或夯实）。管道两侧回填土压实度达到90%以上，管顶0.5m以内不宜用机械辗压，管顶0.5m 以上回填土压实度应不大于85%，表层土用腐殖土覆盖复垦。</w:t>
            </w:r>
          </w:p>
          <w:p w14:paraId="5F682603">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default" w:eastAsia="宋体"/>
                <w:b w:val="0"/>
                <w:bCs w:val="0"/>
                <w:color w:val="auto"/>
                <w:sz w:val="24"/>
                <w:u w:val="single"/>
                <w:lang w:val="en-US" w:eastAsia="zh-CN"/>
              </w:rPr>
            </w:pPr>
            <w:r>
              <w:rPr>
                <w:rFonts w:hint="eastAsia" w:eastAsia="宋体"/>
                <w:b w:val="0"/>
                <w:bCs w:val="0"/>
                <w:color w:val="auto"/>
                <w:sz w:val="24"/>
                <w:u w:val="single"/>
                <w:lang w:val="en-US" w:eastAsia="zh-CN"/>
              </w:rPr>
              <w:t>（3）根据项目管网分布图，项目管道不涉及跨河跨桥，不涉水施工。</w:t>
            </w:r>
          </w:p>
          <w:p w14:paraId="2DCBB1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cs="Times New Roman"/>
                <w:b/>
                <w:bCs/>
                <w:color w:val="auto"/>
                <w:szCs w:val="21"/>
                <w:u w:val="single"/>
                <w:lang w:val="en-US" w:eastAsia="zh-CN"/>
              </w:rPr>
            </w:pPr>
            <w:r>
              <w:rPr>
                <w:b/>
                <w:bCs/>
                <w:color w:val="auto"/>
                <w:szCs w:val="21"/>
                <w:u w:val="single"/>
              </w:rPr>
              <w:t>表2-</w:t>
            </w:r>
            <w:r>
              <w:rPr>
                <w:rFonts w:hint="eastAsia"/>
                <w:b/>
                <w:bCs/>
                <w:color w:val="auto"/>
                <w:szCs w:val="21"/>
                <w:u w:val="single"/>
                <w:lang w:val="en-US" w:eastAsia="zh-CN"/>
              </w:rPr>
              <w:t xml:space="preserve">2  </w:t>
            </w:r>
            <w:r>
              <w:rPr>
                <w:rFonts w:hint="eastAsia" w:ascii="Times New Roman" w:hAnsi="Times New Roman" w:cs="Times New Roman"/>
                <w:b/>
                <w:bCs/>
                <w:color w:val="auto"/>
                <w:szCs w:val="21"/>
                <w:u w:val="single"/>
                <w:lang w:val="en-US" w:eastAsia="zh-CN"/>
              </w:rPr>
              <w:t>高铁新城片区污水管网工程</w:t>
            </w:r>
          </w:p>
          <w:tbl>
            <w:tblPr>
              <w:tblStyle w:val="32"/>
              <w:tblW w:w="8612" w:type="dxa"/>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07"/>
              <w:gridCol w:w="2332"/>
              <w:gridCol w:w="1377"/>
              <w:gridCol w:w="696"/>
              <w:gridCol w:w="914"/>
              <w:gridCol w:w="1007"/>
              <w:gridCol w:w="1579"/>
            </w:tblGrid>
            <w:tr w14:paraId="52665C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blHeader/>
              </w:trPr>
              <w:tc>
                <w:tcPr>
                  <w:tcW w:w="707" w:type="dxa"/>
                  <w:tcBorders>
                    <w:tl2br w:val="nil"/>
                    <w:tr2bl w:val="nil"/>
                  </w:tcBorders>
                  <w:noWrap/>
                  <w:vAlign w:val="center"/>
                </w:tcPr>
                <w:p w14:paraId="205FC631">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b/>
                      <w:bCs/>
                      <w:color w:val="auto"/>
                      <w:sz w:val="21"/>
                      <w:szCs w:val="21"/>
                      <w:u w:val="single"/>
                      <w:lang w:val="en-US" w:eastAsia="zh-CN"/>
                    </w:rPr>
                  </w:pPr>
                  <w:r>
                    <w:rPr>
                      <w:rFonts w:hint="default" w:ascii="Times New Roman" w:hAnsi="Times New Roman" w:cs="Times New Roman"/>
                      <w:b/>
                      <w:bCs/>
                      <w:color w:val="auto"/>
                      <w:sz w:val="21"/>
                      <w:szCs w:val="21"/>
                      <w:u w:val="single"/>
                      <w:lang w:val="en-US" w:eastAsia="zh-CN"/>
                    </w:rPr>
                    <w:t>序号</w:t>
                  </w:r>
                </w:p>
              </w:tc>
              <w:tc>
                <w:tcPr>
                  <w:tcW w:w="2332" w:type="dxa"/>
                  <w:tcBorders>
                    <w:tl2br w:val="nil"/>
                    <w:tr2bl w:val="nil"/>
                  </w:tcBorders>
                  <w:noWrap/>
                  <w:vAlign w:val="center"/>
                </w:tcPr>
                <w:p w14:paraId="3E1D7191">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b/>
                      <w:bCs/>
                      <w:color w:val="auto"/>
                      <w:sz w:val="21"/>
                      <w:szCs w:val="21"/>
                      <w:u w:val="single"/>
                      <w:lang w:val="en-US" w:eastAsia="zh-CN"/>
                    </w:rPr>
                  </w:pPr>
                  <w:r>
                    <w:rPr>
                      <w:rFonts w:hint="default" w:ascii="Times New Roman" w:hAnsi="Times New Roman" w:cs="Times New Roman"/>
                      <w:b/>
                      <w:bCs/>
                      <w:color w:val="auto"/>
                      <w:sz w:val="21"/>
                      <w:szCs w:val="21"/>
                      <w:u w:val="single"/>
                      <w:lang w:val="en-US" w:eastAsia="zh-CN"/>
                    </w:rPr>
                    <w:t>名称</w:t>
                  </w:r>
                </w:p>
              </w:tc>
              <w:tc>
                <w:tcPr>
                  <w:tcW w:w="1377" w:type="dxa"/>
                  <w:tcBorders>
                    <w:tl2br w:val="nil"/>
                    <w:tr2bl w:val="nil"/>
                  </w:tcBorders>
                  <w:noWrap/>
                  <w:vAlign w:val="center"/>
                </w:tcPr>
                <w:p w14:paraId="522B4CCC">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b/>
                      <w:bCs/>
                      <w:color w:val="auto"/>
                      <w:sz w:val="21"/>
                      <w:szCs w:val="21"/>
                      <w:u w:val="single"/>
                      <w:lang w:val="en-US" w:eastAsia="zh-CN"/>
                    </w:rPr>
                  </w:pPr>
                  <w:r>
                    <w:rPr>
                      <w:rFonts w:hint="default" w:ascii="Times New Roman" w:hAnsi="Times New Roman" w:cs="Times New Roman"/>
                      <w:b/>
                      <w:bCs/>
                      <w:color w:val="auto"/>
                      <w:sz w:val="21"/>
                      <w:szCs w:val="21"/>
                      <w:u w:val="single"/>
                      <w:lang w:val="en-US" w:eastAsia="zh-CN"/>
                    </w:rPr>
                    <w:t>规格（mm）</w:t>
                  </w:r>
                </w:p>
              </w:tc>
              <w:tc>
                <w:tcPr>
                  <w:tcW w:w="696" w:type="dxa"/>
                  <w:tcBorders>
                    <w:tl2br w:val="nil"/>
                    <w:tr2bl w:val="nil"/>
                  </w:tcBorders>
                  <w:noWrap/>
                  <w:vAlign w:val="center"/>
                </w:tcPr>
                <w:p w14:paraId="39E2735E">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b/>
                      <w:bCs/>
                      <w:color w:val="auto"/>
                      <w:sz w:val="21"/>
                      <w:szCs w:val="21"/>
                      <w:u w:val="single"/>
                      <w:lang w:val="en-US" w:eastAsia="zh-CN"/>
                    </w:rPr>
                  </w:pPr>
                  <w:r>
                    <w:rPr>
                      <w:rFonts w:hint="default" w:ascii="Times New Roman" w:hAnsi="Times New Roman" w:cs="Times New Roman"/>
                      <w:b/>
                      <w:bCs/>
                      <w:color w:val="auto"/>
                      <w:sz w:val="21"/>
                      <w:szCs w:val="21"/>
                      <w:u w:val="single"/>
                      <w:lang w:val="en-US" w:eastAsia="zh-CN"/>
                    </w:rPr>
                    <w:t>单位</w:t>
                  </w:r>
                </w:p>
              </w:tc>
              <w:tc>
                <w:tcPr>
                  <w:tcW w:w="914" w:type="dxa"/>
                  <w:tcBorders>
                    <w:tl2br w:val="nil"/>
                    <w:tr2bl w:val="nil"/>
                  </w:tcBorders>
                  <w:noWrap/>
                  <w:vAlign w:val="center"/>
                </w:tcPr>
                <w:p w14:paraId="4649373F">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b/>
                      <w:bCs/>
                      <w:color w:val="auto"/>
                      <w:sz w:val="21"/>
                      <w:szCs w:val="21"/>
                      <w:u w:val="single"/>
                      <w:lang w:val="en-US" w:eastAsia="zh-CN"/>
                    </w:rPr>
                  </w:pPr>
                  <w:r>
                    <w:rPr>
                      <w:rFonts w:hint="default" w:ascii="Times New Roman" w:hAnsi="Times New Roman" w:cs="Times New Roman"/>
                      <w:b/>
                      <w:bCs/>
                      <w:color w:val="auto"/>
                      <w:sz w:val="21"/>
                      <w:szCs w:val="21"/>
                      <w:u w:val="single"/>
                      <w:lang w:val="en-US" w:eastAsia="zh-CN"/>
                    </w:rPr>
                    <w:t>数量</w:t>
                  </w:r>
                </w:p>
              </w:tc>
              <w:tc>
                <w:tcPr>
                  <w:tcW w:w="1007" w:type="dxa"/>
                  <w:tcBorders>
                    <w:tl2br w:val="nil"/>
                    <w:tr2bl w:val="nil"/>
                  </w:tcBorders>
                  <w:noWrap/>
                  <w:vAlign w:val="center"/>
                </w:tcPr>
                <w:p w14:paraId="0EE2B09C">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b/>
                      <w:bCs/>
                      <w:color w:val="auto"/>
                      <w:sz w:val="21"/>
                      <w:szCs w:val="21"/>
                      <w:u w:val="single"/>
                      <w:lang w:val="en-US" w:eastAsia="zh-CN"/>
                    </w:rPr>
                  </w:pPr>
                  <w:r>
                    <w:rPr>
                      <w:rFonts w:hint="default" w:ascii="Times New Roman" w:hAnsi="Times New Roman" w:cs="Times New Roman"/>
                      <w:b/>
                      <w:bCs/>
                      <w:color w:val="auto"/>
                      <w:sz w:val="21"/>
                      <w:szCs w:val="21"/>
                      <w:u w:val="single"/>
                      <w:lang w:val="en-US" w:eastAsia="zh-CN"/>
                    </w:rPr>
                    <w:t>材料</w:t>
                  </w:r>
                </w:p>
              </w:tc>
              <w:tc>
                <w:tcPr>
                  <w:tcW w:w="1579" w:type="dxa"/>
                  <w:tcBorders>
                    <w:tl2br w:val="nil"/>
                    <w:tr2bl w:val="nil"/>
                  </w:tcBorders>
                  <w:noWrap/>
                  <w:vAlign w:val="center"/>
                </w:tcPr>
                <w:p w14:paraId="1C73F715">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b/>
                      <w:bCs/>
                      <w:color w:val="auto"/>
                      <w:sz w:val="21"/>
                      <w:szCs w:val="21"/>
                      <w:u w:val="single"/>
                      <w:lang w:val="en-US" w:eastAsia="zh-CN"/>
                    </w:rPr>
                  </w:pPr>
                  <w:r>
                    <w:rPr>
                      <w:rFonts w:hint="default" w:ascii="Times New Roman" w:hAnsi="Times New Roman" w:cs="Times New Roman"/>
                      <w:b/>
                      <w:bCs/>
                      <w:color w:val="auto"/>
                      <w:sz w:val="21"/>
                      <w:szCs w:val="21"/>
                      <w:u w:val="single"/>
                      <w:lang w:val="en-US" w:eastAsia="zh-CN"/>
                    </w:rPr>
                    <w:t>备注</w:t>
                  </w:r>
                </w:p>
              </w:tc>
            </w:tr>
            <w:tr w14:paraId="7ED192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04" w:hRule="atLeast"/>
              </w:trPr>
              <w:tc>
                <w:tcPr>
                  <w:tcW w:w="707" w:type="dxa"/>
                  <w:tcBorders>
                    <w:tl2br w:val="nil"/>
                    <w:tr2bl w:val="nil"/>
                  </w:tcBorders>
                  <w:noWrap/>
                  <w:vAlign w:val="center"/>
                </w:tcPr>
                <w:p w14:paraId="3642D46F">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1</w:t>
                  </w:r>
                </w:p>
              </w:tc>
              <w:tc>
                <w:tcPr>
                  <w:tcW w:w="2332" w:type="dxa"/>
                  <w:tcBorders>
                    <w:tl2br w:val="nil"/>
                    <w:tr2bl w:val="nil"/>
                  </w:tcBorders>
                  <w:noWrap/>
                  <w:vAlign w:val="center"/>
                </w:tcPr>
                <w:p w14:paraId="31E54E28">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玻璃钢夹砂管SN10</w:t>
                  </w:r>
                </w:p>
              </w:tc>
              <w:tc>
                <w:tcPr>
                  <w:tcW w:w="1377" w:type="dxa"/>
                  <w:tcBorders>
                    <w:tl2br w:val="nil"/>
                    <w:tr2bl w:val="nil"/>
                  </w:tcBorders>
                  <w:noWrap/>
                  <w:vAlign w:val="center"/>
                </w:tcPr>
                <w:p w14:paraId="108D0D77">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DN</w:t>
                  </w:r>
                  <w:r>
                    <w:rPr>
                      <w:rFonts w:hint="eastAsia" w:cs="Times New Roman"/>
                      <w:color w:val="auto"/>
                      <w:sz w:val="21"/>
                      <w:szCs w:val="21"/>
                      <w:u w:val="single"/>
                      <w:lang w:val="en-US" w:eastAsia="zh-CN"/>
                    </w:rPr>
                    <w:t>400</w:t>
                  </w:r>
                </w:p>
              </w:tc>
              <w:tc>
                <w:tcPr>
                  <w:tcW w:w="696" w:type="dxa"/>
                  <w:tcBorders>
                    <w:tl2br w:val="nil"/>
                    <w:tr2bl w:val="nil"/>
                  </w:tcBorders>
                  <w:noWrap/>
                  <w:vAlign w:val="center"/>
                </w:tcPr>
                <w:p w14:paraId="41944802">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m</w:t>
                  </w:r>
                </w:p>
              </w:tc>
              <w:tc>
                <w:tcPr>
                  <w:tcW w:w="914" w:type="dxa"/>
                  <w:tcBorders>
                    <w:tl2br w:val="nil"/>
                    <w:tr2bl w:val="nil"/>
                  </w:tcBorders>
                  <w:noWrap/>
                  <w:vAlign w:val="center"/>
                </w:tcPr>
                <w:p w14:paraId="2A6A0A69">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3100</w:t>
                  </w:r>
                </w:p>
              </w:tc>
              <w:tc>
                <w:tcPr>
                  <w:tcW w:w="1007" w:type="dxa"/>
                  <w:tcBorders>
                    <w:tl2br w:val="nil"/>
                    <w:tr2bl w:val="nil"/>
                  </w:tcBorders>
                  <w:noWrap/>
                  <w:vAlign w:val="center"/>
                </w:tcPr>
                <w:p w14:paraId="05E32391">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塑料</w:t>
                  </w:r>
                </w:p>
              </w:tc>
              <w:tc>
                <w:tcPr>
                  <w:tcW w:w="1579" w:type="dxa"/>
                  <w:tcBorders>
                    <w:tl2br w:val="nil"/>
                    <w:tr2bl w:val="nil"/>
                  </w:tcBorders>
                  <w:noWrap/>
                  <w:vAlign w:val="center"/>
                </w:tcPr>
                <w:p w14:paraId="34A722B0">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覆土2m</w:t>
                  </w:r>
                </w:p>
              </w:tc>
            </w:tr>
            <w:tr w14:paraId="22FF07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707" w:type="dxa"/>
                  <w:tcBorders>
                    <w:tl2br w:val="nil"/>
                    <w:tr2bl w:val="nil"/>
                  </w:tcBorders>
                  <w:noWrap/>
                  <w:vAlign w:val="center"/>
                </w:tcPr>
                <w:p w14:paraId="20D604B2">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2</w:t>
                  </w:r>
                </w:p>
              </w:tc>
              <w:tc>
                <w:tcPr>
                  <w:tcW w:w="2332" w:type="dxa"/>
                  <w:tcBorders>
                    <w:tl2br w:val="nil"/>
                    <w:tr2bl w:val="nil"/>
                  </w:tcBorders>
                  <w:noWrap/>
                  <w:vAlign w:val="center"/>
                </w:tcPr>
                <w:p w14:paraId="37838381">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玻璃钢夹砂管SN10</w:t>
                  </w:r>
                </w:p>
              </w:tc>
              <w:tc>
                <w:tcPr>
                  <w:tcW w:w="1377" w:type="dxa"/>
                  <w:tcBorders>
                    <w:tl2br w:val="nil"/>
                    <w:tr2bl w:val="nil"/>
                  </w:tcBorders>
                  <w:noWrap/>
                  <w:vAlign w:val="center"/>
                </w:tcPr>
                <w:p w14:paraId="6FA8EBD3">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DN</w:t>
                  </w:r>
                  <w:r>
                    <w:rPr>
                      <w:rFonts w:hint="eastAsia" w:cs="Times New Roman"/>
                      <w:color w:val="auto"/>
                      <w:sz w:val="21"/>
                      <w:szCs w:val="21"/>
                      <w:u w:val="single"/>
                      <w:lang w:val="en-US" w:eastAsia="zh-CN"/>
                    </w:rPr>
                    <w:t>500</w:t>
                  </w:r>
                </w:p>
              </w:tc>
              <w:tc>
                <w:tcPr>
                  <w:tcW w:w="696" w:type="dxa"/>
                  <w:tcBorders>
                    <w:tl2br w:val="nil"/>
                    <w:tr2bl w:val="nil"/>
                  </w:tcBorders>
                  <w:noWrap/>
                  <w:vAlign w:val="center"/>
                </w:tcPr>
                <w:p w14:paraId="5DA316F7">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m</w:t>
                  </w:r>
                </w:p>
              </w:tc>
              <w:tc>
                <w:tcPr>
                  <w:tcW w:w="914" w:type="dxa"/>
                  <w:tcBorders>
                    <w:tl2br w:val="nil"/>
                    <w:tr2bl w:val="nil"/>
                  </w:tcBorders>
                  <w:noWrap/>
                  <w:vAlign w:val="center"/>
                </w:tcPr>
                <w:p w14:paraId="1671B4AE">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cs="Times New Roman"/>
                      <w:color w:val="auto"/>
                      <w:sz w:val="21"/>
                      <w:szCs w:val="21"/>
                      <w:u w:val="single"/>
                      <w:lang w:val="en-US" w:eastAsia="zh-CN"/>
                    </w:rPr>
                  </w:pPr>
                  <w:r>
                    <w:rPr>
                      <w:rFonts w:hint="eastAsia" w:cs="Times New Roman"/>
                      <w:color w:val="auto"/>
                      <w:sz w:val="21"/>
                      <w:szCs w:val="21"/>
                      <w:u w:val="single"/>
                      <w:lang w:val="en-US" w:eastAsia="zh-CN"/>
                    </w:rPr>
                    <w:t>6900</w:t>
                  </w:r>
                </w:p>
              </w:tc>
              <w:tc>
                <w:tcPr>
                  <w:tcW w:w="1007" w:type="dxa"/>
                  <w:tcBorders>
                    <w:tl2br w:val="nil"/>
                    <w:tr2bl w:val="nil"/>
                  </w:tcBorders>
                  <w:noWrap/>
                  <w:vAlign w:val="center"/>
                </w:tcPr>
                <w:p w14:paraId="396ADE04">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s="Times New Roman"/>
                      <w:color w:val="auto"/>
                      <w:sz w:val="21"/>
                      <w:szCs w:val="21"/>
                      <w:u w:val="single"/>
                      <w:lang w:val="en-US" w:eastAsia="zh-CN"/>
                    </w:rPr>
                  </w:pPr>
                  <w:r>
                    <w:rPr>
                      <w:rFonts w:hint="eastAsia" w:cs="Times New Roman"/>
                      <w:color w:val="auto"/>
                      <w:sz w:val="21"/>
                      <w:szCs w:val="21"/>
                      <w:u w:val="single"/>
                      <w:lang w:val="en-US" w:eastAsia="zh-CN"/>
                    </w:rPr>
                    <w:t>塑料</w:t>
                  </w:r>
                </w:p>
              </w:tc>
              <w:tc>
                <w:tcPr>
                  <w:tcW w:w="1579" w:type="dxa"/>
                  <w:tcBorders>
                    <w:tl2br w:val="nil"/>
                    <w:tr2bl w:val="nil"/>
                  </w:tcBorders>
                  <w:noWrap/>
                  <w:vAlign w:val="center"/>
                </w:tcPr>
                <w:p w14:paraId="6352E51A">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覆土2m</w:t>
                  </w:r>
                </w:p>
              </w:tc>
            </w:tr>
            <w:tr w14:paraId="4C5A64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707" w:type="dxa"/>
                  <w:tcBorders>
                    <w:tl2br w:val="nil"/>
                    <w:tr2bl w:val="nil"/>
                  </w:tcBorders>
                  <w:noWrap/>
                  <w:vAlign w:val="center"/>
                </w:tcPr>
                <w:p w14:paraId="549DED2C">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3</w:t>
                  </w:r>
                </w:p>
              </w:tc>
              <w:tc>
                <w:tcPr>
                  <w:tcW w:w="2332" w:type="dxa"/>
                  <w:tcBorders>
                    <w:tl2br w:val="nil"/>
                    <w:tr2bl w:val="nil"/>
                  </w:tcBorders>
                  <w:noWrap/>
                  <w:vAlign w:val="center"/>
                </w:tcPr>
                <w:p w14:paraId="1FE15D01">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玻璃钢夹砂管SN10</w:t>
                  </w:r>
                </w:p>
              </w:tc>
              <w:tc>
                <w:tcPr>
                  <w:tcW w:w="1377" w:type="dxa"/>
                  <w:tcBorders>
                    <w:tl2br w:val="nil"/>
                    <w:tr2bl w:val="nil"/>
                  </w:tcBorders>
                  <w:noWrap/>
                  <w:vAlign w:val="center"/>
                </w:tcPr>
                <w:p w14:paraId="1BE42C77">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DN</w:t>
                  </w:r>
                  <w:r>
                    <w:rPr>
                      <w:rFonts w:hint="eastAsia" w:cs="Times New Roman"/>
                      <w:color w:val="auto"/>
                      <w:sz w:val="21"/>
                      <w:szCs w:val="21"/>
                      <w:u w:val="single"/>
                      <w:lang w:val="en-US" w:eastAsia="zh-CN"/>
                    </w:rPr>
                    <w:t>600</w:t>
                  </w:r>
                </w:p>
              </w:tc>
              <w:tc>
                <w:tcPr>
                  <w:tcW w:w="696" w:type="dxa"/>
                  <w:tcBorders>
                    <w:tl2br w:val="nil"/>
                    <w:tr2bl w:val="nil"/>
                  </w:tcBorders>
                  <w:noWrap/>
                  <w:vAlign w:val="center"/>
                </w:tcPr>
                <w:p w14:paraId="13F8D78D">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m</w:t>
                  </w:r>
                </w:p>
              </w:tc>
              <w:tc>
                <w:tcPr>
                  <w:tcW w:w="914" w:type="dxa"/>
                  <w:tcBorders>
                    <w:tl2br w:val="nil"/>
                    <w:tr2bl w:val="nil"/>
                  </w:tcBorders>
                  <w:noWrap/>
                  <w:vAlign w:val="center"/>
                </w:tcPr>
                <w:p w14:paraId="7A98E8BD">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cs="Times New Roman"/>
                      <w:color w:val="auto"/>
                      <w:sz w:val="21"/>
                      <w:szCs w:val="21"/>
                      <w:u w:val="single"/>
                      <w:lang w:val="en-US" w:eastAsia="zh-CN"/>
                    </w:rPr>
                  </w:pPr>
                  <w:r>
                    <w:rPr>
                      <w:rFonts w:hint="eastAsia" w:cs="Times New Roman"/>
                      <w:color w:val="auto"/>
                      <w:sz w:val="21"/>
                      <w:szCs w:val="21"/>
                      <w:u w:val="single"/>
                      <w:lang w:val="en-US" w:eastAsia="zh-CN"/>
                    </w:rPr>
                    <w:t>1730</w:t>
                  </w:r>
                </w:p>
              </w:tc>
              <w:tc>
                <w:tcPr>
                  <w:tcW w:w="1007" w:type="dxa"/>
                  <w:tcBorders>
                    <w:tl2br w:val="nil"/>
                    <w:tr2bl w:val="nil"/>
                  </w:tcBorders>
                  <w:noWrap/>
                  <w:vAlign w:val="center"/>
                </w:tcPr>
                <w:p w14:paraId="0FEB423F">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s="Times New Roman"/>
                      <w:color w:val="auto"/>
                      <w:sz w:val="21"/>
                      <w:szCs w:val="21"/>
                      <w:u w:val="single"/>
                      <w:lang w:val="en-US" w:eastAsia="zh-CN"/>
                    </w:rPr>
                  </w:pPr>
                  <w:r>
                    <w:rPr>
                      <w:rFonts w:hint="eastAsia" w:cs="Times New Roman"/>
                      <w:color w:val="auto"/>
                      <w:sz w:val="21"/>
                      <w:szCs w:val="21"/>
                      <w:u w:val="single"/>
                      <w:lang w:val="en-US" w:eastAsia="zh-CN"/>
                    </w:rPr>
                    <w:t>塑料</w:t>
                  </w:r>
                </w:p>
              </w:tc>
              <w:tc>
                <w:tcPr>
                  <w:tcW w:w="1579" w:type="dxa"/>
                  <w:tcBorders>
                    <w:tl2br w:val="nil"/>
                    <w:tr2bl w:val="nil"/>
                  </w:tcBorders>
                  <w:noWrap/>
                  <w:vAlign w:val="center"/>
                </w:tcPr>
                <w:p w14:paraId="4433691B">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覆土2.2m</w:t>
                  </w:r>
                </w:p>
              </w:tc>
            </w:tr>
            <w:tr w14:paraId="673EB78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707" w:type="dxa"/>
                  <w:tcBorders>
                    <w:tl2br w:val="nil"/>
                    <w:tr2bl w:val="nil"/>
                  </w:tcBorders>
                  <w:noWrap/>
                  <w:vAlign w:val="center"/>
                </w:tcPr>
                <w:p w14:paraId="2F837CAC">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4</w:t>
                  </w:r>
                </w:p>
              </w:tc>
              <w:tc>
                <w:tcPr>
                  <w:tcW w:w="2332" w:type="dxa"/>
                  <w:tcBorders>
                    <w:tl2br w:val="nil"/>
                    <w:tr2bl w:val="nil"/>
                  </w:tcBorders>
                  <w:noWrap/>
                  <w:vAlign w:val="center"/>
                </w:tcPr>
                <w:p w14:paraId="0CF2572D">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玻璃钢夹砂管SN10</w:t>
                  </w:r>
                </w:p>
              </w:tc>
              <w:tc>
                <w:tcPr>
                  <w:tcW w:w="1377" w:type="dxa"/>
                  <w:tcBorders>
                    <w:tl2br w:val="nil"/>
                    <w:tr2bl w:val="nil"/>
                  </w:tcBorders>
                  <w:noWrap/>
                  <w:vAlign w:val="center"/>
                </w:tcPr>
                <w:p w14:paraId="48F496F3">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DN</w:t>
                  </w:r>
                  <w:r>
                    <w:rPr>
                      <w:rFonts w:hint="eastAsia" w:cs="Times New Roman"/>
                      <w:color w:val="auto"/>
                      <w:sz w:val="21"/>
                      <w:szCs w:val="21"/>
                      <w:u w:val="single"/>
                      <w:lang w:val="en-US" w:eastAsia="zh-CN"/>
                    </w:rPr>
                    <w:t>800</w:t>
                  </w:r>
                </w:p>
              </w:tc>
              <w:tc>
                <w:tcPr>
                  <w:tcW w:w="696" w:type="dxa"/>
                  <w:tcBorders>
                    <w:tl2br w:val="nil"/>
                    <w:tr2bl w:val="nil"/>
                  </w:tcBorders>
                  <w:noWrap/>
                  <w:vAlign w:val="center"/>
                </w:tcPr>
                <w:p w14:paraId="4CE65B10">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m</w:t>
                  </w:r>
                </w:p>
              </w:tc>
              <w:tc>
                <w:tcPr>
                  <w:tcW w:w="914" w:type="dxa"/>
                  <w:tcBorders>
                    <w:tl2br w:val="nil"/>
                    <w:tr2bl w:val="nil"/>
                  </w:tcBorders>
                  <w:noWrap/>
                  <w:vAlign w:val="center"/>
                </w:tcPr>
                <w:p w14:paraId="3CCAF1B7">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cs="Times New Roman"/>
                      <w:color w:val="auto"/>
                      <w:sz w:val="21"/>
                      <w:szCs w:val="21"/>
                      <w:u w:val="single"/>
                      <w:lang w:val="en-US" w:eastAsia="zh-CN"/>
                    </w:rPr>
                  </w:pPr>
                  <w:r>
                    <w:rPr>
                      <w:rFonts w:hint="eastAsia" w:cs="Times New Roman"/>
                      <w:color w:val="auto"/>
                      <w:sz w:val="21"/>
                      <w:szCs w:val="21"/>
                      <w:u w:val="single"/>
                      <w:lang w:val="en-US" w:eastAsia="zh-CN"/>
                    </w:rPr>
                    <w:t>390</w:t>
                  </w:r>
                </w:p>
              </w:tc>
              <w:tc>
                <w:tcPr>
                  <w:tcW w:w="1007" w:type="dxa"/>
                  <w:tcBorders>
                    <w:tl2br w:val="nil"/>
                    <w:tr2bl w:val="nil"/>
                  </w:tcBorders>
                  <w:noWrap/>
                  <w:vAlign w:val="center"/>
                </w:tcPr>
                <w:p w14:paraId="75C212DE">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s="Times New Roman"/>
                      <w:color w:val="auto"/>
                      <w:sz w:val="21"/>
                      <w:szCs w:val="21"/>
                      <w:u w:val="single"/>
                      <w:lang w:val="en-US" w:eastAsia="zh-CN"/>
                    </w:rPr>
                  </w:pPr>
                  <w:r>
                    <w:rPr>
                      <w:rFonts w:hint="eastAsia" w:cs="Times New Roman"/>
                      <w:color w:val="auto"/>
                      <w:sz w:val="21"/>
                      <w:szCs w:val="21"/>
                      <w:u w:val="single"/>
                      <w:lang w:val="en-US" w:eastAsia="zh-CN"/>
                    </w:rPr>
                    <w:t>塑料</w:t>
                  </w:r>
                </w:p>
              </w:tc>
              <w:tc>
                <w:tcPr>
                  <w:tcW w:w="1579" w:type="dxa"/>
                  <w:tcBorders>
                    <w:tl2br w:val="nil"/>
                    <w:tr2bl w:val="nil"/>
                  </w:tcBorders>
                  <w:noWrap/>
                  <w:vAlign w:val="center"/>
                </w:tcPr>
                <w:p w14:paraId="7769FB26">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覆土2.5m</w:t>
                  </w:r>
                </w:p>
              </w:tc>
            </w:tr>
            <w:tr w14:paraId="3D17D5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707" w:type="dxa"/>
                  <w:tcBorders>
                    <w:tl2br w:val="nil"/>
                    <w:tr2bl w:val="nil"/>
                  </w:tcBorders>
                  <w:noWrap/>
                  <w:vAlign w:val="center"/>
                </w:tcPr>
                <w:p w14:paraId="5A5CC8A7">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5</w:t>
                  </w:r>
                </w:p>
              </w:tc>
              <w:tc>
                <w:tcPr>
                  <w:tcW w:w="2332" w:type="dxa"/>
                  <w:tcBorders>
                    <w:tl2br w:val="nil"/>
                    <w:tr2bl w:val="nil"/>
                  </w:tcBorders>
                  <w:noWrap/>
                  <w:vAlign w:val="center"/>
                </w:tcPr>
                <w:p w14:paraId="41217449">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玻璃钢夹砂管SN10</w:t>
                  </w:r>
                </w:p>
              </w:tc>
              <w:tc>
                <w:tcPr>
                  <w:tcW w:w="1377" w:type="dxa"/>
                  <w:tcBorders>
                    <w:tl2br w:val="nil"/>
                    <w:tr2bl w:val="nil"/>
                  </w:tcBorders>
                  <w:noWrap/>
                  <w:vAlign w:val="center"/>
                </w:tcPr>
                <w:p w14:paraId="23E9B35C">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DN</w:t>
                  </w:r>
                  <w:r>
                    <w:rPr>
                      <w:rFonts w:hint="eastAsia" w:cs="Times New Roman"/>
                      <w:color w:val="auto"/>
                      <w:sz w:val="21"/>
                      <w:szCs w:val="21"/>
                      <w:u w:val="single"/>
                      <w:lang w:val="en-US" w:eastAsia="zh-CN"/>
                    </w:rPr>
                    <w:t>1000</w:t>
                  </w:r>
                </w:p>
              </w:tc>
              <w:tc>
                <w:tcPr>
                  <w:tcW w:w="696" w:type="dxa"/>
                  <w:tcBorders>
                    <w:tl2br w:val="nil"/>
                    <w:tr2bl w:val="nil"/>
                  </w:tcBorders>
                  <w:noWrap/>
                  <w:vAlign w:val="center"/>
                </w:tcPr>
                <w:p w14:paraId="128A5E85">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m</w:t>
                  </w:r>
                </w:p>
              </w:tc>
              <w:tc>
                <w:tcPr>
                  <w:tcW w:w="914" w:type="dxa"/>
                  <w:tcBorders>
                    <w:tl2br w:val="nil"/>
                    <w:tr2bl w:val="nil"/>
                  </w:tcBorders>
                  <w:noWrap/>
                  <w:vAlign w:val="center"/>
                </w:tcPr>
                <w:p w14:paraId="3B25B884">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cs="Times New Roman"/>
                      <w:color w:val="auto"/>
                      <w:sz w:val="21"/>
                      <w:szCs w:val="21"/>
                      <w:u w:val="single"/>
                      <w:lang w:val="en-US" w:eastAsia="zh-CN"/>
                    </w:rPr>
                  </w:pPr>
                  <w:r>
                    <w:rPr>
                      <w:rFonts w:hint="eastAsia" w:cs="Times New Roman"/>
                      <w:color w:val="auto"/>
                      <w:sz w:val="21"/>
                      <w:szCs w:val="21"/>
                      <w:u w:val="single"/>
                      <w:lang w:val="en-US" w:eastAsia="zh-CN"/>
                    </w:rPr>
                    <w:t>650</w:t>
                  </w:r>
                </w:p>
              </w:tc>
              <w:tc>
                <w:tcPr>
                  <w:tcW w:w="1007" w:type="dxa"/>
                  <w:tcBorders>
                    <w:tl2br w:val="nil"/>
                    <w:tr2bl w:val="nil"/>
                  </w:tcBorders>
                  <w:noWrap/>
                  <w:vAlign w:val="center"/>
                </w:tcPr>
                <w:p w14:paraId="4FAEF246">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s="Times New Roman"/>
                      <w:color w:val="auto"/>
                      <w:sz w:val="21"/>
                      <w:szCs w:val="21"/>
                      <w:u w:val="single"/>
                      <w:lang w:val="en-US" w:eastAsia="zh-CN"/>
                    </w:rPr>
                  </w:pPr>
                  <w:r>
                    <w:rPr>
                      <w:rFonts w:hint="eastAsia" w:cs="Times New Roman"/>
                      <w:color w:val="auto"/>
                      <w:sz w:val="21"/>
                      <w:szCs w:val="21"/>
                      <w:u w:val="single"/>
                      <w:lang w:val="en-US" w:eastAsia="zh-CN"/>
                    </w:rPr>
                    <w:t>塑料</w:t>
                  </w:r>
                </w:p>
              </w:tc>
              <w:tc>
                <w:tcPr>
                  <w:tcW w:w="1579" w:type="dxa"/>
                  <w:tcBorders>
                    <w:tl2br w:val="nil"/>
                    <w:tr2bl w:val="nil"/>
                  </w:tcBorders>
                  <w:noWrap/>
                  <w:vAlign w:val="center"/>
                </w:tcPr>
                <w:p w14:paraId="45D037AE">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覆土2.8m</w:t>
                  </w:r>
                </w:p>
              </w:tc>
            </w:tr>
            <w:tr w14:paraId="55CA4B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707" w:type="dxa"/>
                  <w:tcBorders>
                    <w:tl2br w:val="nil"/>
                    <w:tr2bl w:val="nil"/>
                  </w:tcBorders>
                  <w:noWrap/>
                  <w:vAlign w:val="center"/>
                </w:tcPr>
                <w:p w14:paraId="08C473BD">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p>
              </w:tc>
              <w:tc>
                <w:tcPr>
                  <w:tcW w:w="3709" w:type="dxa"/>
                  <w:gridSpan w:val="2"/>
                  <w:tcBorders>
                    <w:tl2br w:val="nil"/>
                    <w:tr2bl w:val="nil"/>
                  </w:tcBorders>
                  <w:noWrap/>
                  <w:vAlign w:val="center"/>
                </w:tcPr>
                <w:p w14:paraId="27DC2C91">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污水干管总计</w:t>
                  </w:r>
                </w:p>
              </w:tc>
              <w:tc>
                <w:tcPr>
                  <w:tcW w:w="696" w:type="dxa"/>
                  <w:tcBorders>
                    <w:tl2br w:val="nil"/>
                    <w:tr2bl w:val="nil"/>
                  </w:tcBorders>
                  <w:noWrap/>
                  <w:vAlign w:val="center"/>
                </w:tcPr>
                <w:p w14:paraId="4C9B0D28">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m</w:t>
                  </w:r>
                </w:p>
              </w:tc>
              <w:tc>
                <w:tcPr>
                  <w:tcW w:w="914" w:type="dxa"/>
                  <w:tcBorders>
                    <w:tl2br w:val="nil"/>
                    <w:tr2bl w:val="nil"/>
                  </w:tcBorders>
                  <w:noWrap/>
                  <w:vAlign w:val="center"/>
                </w:tcPr>
                <w:p w14:paraId="771C5B09">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s="Times New Roman"/>
                      <w:color w:val="auto"/>
                      <w:sz w:val="21"/>
                      <w:szCs w:val="21"/>
                      <w:u w:val="single"/>
                      <w:lang w:val="en-US" w:eastAsia="zh-CN"/>
                    </w:rPr>
                  </w:pPr>
                  <w:r>
                    <w:rPr>
                      <w:rFonts w:hint="eastAsia" w:cs="Times New Roman"/>
                      <w:color w:val="auto"/>
                      <w:sz w:val="21"/>
                      <w:szCs w:val="21"/>
                      <w:u w:val="single"/>
                      <w:lang w:val="en-US" w:eastAsia="zh-CN"/>
                    </w:rPr>
                    <w:t>12770</w:t>
                  </w:r>
                </w:p>
              </w:tc>
              <w:tc>
                <w:tcPr>
                  <w:tcW w:w="1007" w:type="dxa"/>
                  <w:tcBorders>
                    <w:tl2br w:val="nil"/>
                    <w:tr2bl w:val="nil"/>
                  </w:tcBorders>
                  <w:noWrap/>
                  <w:vAlign w:val="center"/>
                </w:tcPr>
                <w:p w14:paraId="469A17F6">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eastAsia" w:cs="Times New Roman"/>
                      <w:color w:val="auto"/>
                      <w:sz w:val="21"/>
                      <w:szCs w:val="21"/>
                      <w:u w:val="single"/>
                      <w:lang w:val="en-US" w:eastAsia="zh-CN"/>
                    </w:rPr>
                  </w:pPr>
                  <w:r>
                    <w:rPr>
                      <w:rFonts w:hint="eastAsia" w:cs="Times New Roman"/>
                      <w:color w:val="auto"/>
                      <w:sz w:val="21"/>
                      <w:szCs w:val="21"/>
                      <w:u w:val="single"/>
                      <w:lang w:val="en-US" w:eastAsia="zh-CN"/>
                    </w:rPr>
                    <w:t>塑料</w:t>
                  </w:r>
                </w:p>
              </w:tc>
              <w:tc>
                <w:tcPr>
                  <w:tcW w:w="1579" w:type="dxa"/>
                  <w:tcBorders>
                    <w:tl2br w:val="nil"/>
                    <w:tr2bl w:val="nil"/>
                  </w:tcBorders>
                  <w:noWrap/>
                  <w:vAlign w:val="center"/>
                </w:tcPr>
                <w:p w14:paraId="25B8CE23">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w:t>
                  </w:r>
                </w:p>
              </w:tc>
            </w:tr>
            <w:tr w14:paraId="1B7648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707" w:type="dxa"/>
                  <w:tcBorders>
                    <w:tl2br w:val="nil"/>
                    <w:tr2bl w:val="nil"/>
                  </w:tcBorders>
                  <w:noWrap/>
                  <w:vAlign w:val="center"/>
                </w:tcPr>
                <w:p w14:paraId="7ADF4394">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6</w:t>
                  </w:r>
                </w:p>
              </w:tc>
              <w:tc>
                <w:tcPr>
                  <w:tcW w:w="2332" w:type="dxa"/>
                  <w:tcBorders>
                    <w:tl2br w:val="nil"/>
                    <w:tr2bl w:val="nil"/>
                  </w:tcBorders>
                  <w:noWrap/>
                  <w:vAlign w:val="center"/>
                </w:tcPr>
                <w:p w14:paraId="7B575A58">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污水检查井</w:t>
                  </w:r>
                </w:p>
              </w:tc>
              <w:tc>
                <w:tcPr>
                  <w:tcW w:w="1377" w:type="dxa"/>
                  <w:tcBorders>
                    <w:tl2br w:val="nil"/>
                    <w:tr2bl w:val="nil"/>
                  </w:tcBorders>
                  <w:noWrap/>
                  <w:vAlign w:val="center"/>
                </w:tcPr>
                <w:p w14:paraId="075BF97A">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Φ1800</w:t>
                  </w:r>
                </w:p>
              </w:tc>
              <w:tc>
                <w:tcPr>
                  <w:tcW w:w="696" w:type="dxa"/>
                  <w:tcBorders>
                    <w:tl2br w:val="nil"/>
                    <w:tr2bl w:val="nil"/>
                  </w:tcBorders>
                  <w:noWrap/>
                  <w:vAlign w:val="center"/>
                </w:tcPr>
                <w:p w14:paraId="0FB89F34">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座</w:t>
                  </w:r>
                </w:p>
              </w:tc>
              <w:tc>
                <w:tcPr>
                  <w:tcW w:w="914" w:type="dxa"/>
                  <w:tcBorders>
                    <w:tl2br w:val="nil"/>
                    <w:tr2bl w:val="nil"/>
                  </w:tcBorders>
                  <w:noWrap/>
                  <w:vAlign w:val="center"/>
                </w:tcPr>
                <w:p w14:paraId="5AA5EE66">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50</w:t>
                  </w:r>
                </w:p>
              </w:tc>
              <w:tc>
                <w:tcPr>
                  <w:tcW w:w="1007" w:type="dxa"/>
                  <w:tcBorders>
                    <w:tl2br w:val="nil"/>
                    <w:tr2bl w:val="nil"/>
                  </w:tcBorders>
                  <w:noWrap/>
                  <w:vAlign w:val="center"/>
                </w:tcPr>
                <w:p w14:paraId="44DEC0B1">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钢筋混凝土</w:t>
                  </w:r>
                </w:p>
              </w:tc>
              <w:tc>
                <w:tcPr>
                  <w:tcW w:w="1579" w:type="dxa"/>
                  <w:tcBorders>
                    <w:tl2br w:val="nil"/>
                    <w:tr2bl w:val="nil"/>
                  </w:tcBorders>
                  <w:noWrap/>
                  <w:vAlign w:val="center"/>
                </w:tcPr>
                <w:p w14:paraId="76A4DBB4">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w:t>
                  </w:r>
                </w:p>
              </w:tc>
            </w:tr>
            <w:tr w14:paraId="4ED67F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707" w:type="dxa"/>
                  <w:tcBorders>
                    <w:tl2br w:val="nil"/>
                    <w:tr2bl w:val="nil"/>
                  </w:tcBorders>
                  <w:noWrap/>
                  <w:vAlign w:val="center"/>
                </w:tcPr>
                <w:p w14:paraId="3A9E6A35">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7</w:t>
                  </w:r>
                </w:p>
              </w:tc>
              <w:tc>
                <w:tcPr>
                  <w:tcW w:w="2332" w:type="dxa"/>
                  <w:tcBorders>
                    <w:tl2br w:val="nil"/>
                    <w:tr2bl w:val="nil"/>
                  </w:tcBorders>
                  <w:noWrap/>
                  <w:vAlign w:val="center"/>
                </w:tcPr>
                <w:p w14:paraId="5EEC59E7">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U</w:t>
                  </w:r>
                  <w:r>
                    <w:rPr>
                      <w:rFonts w:hint="default" w:ascii="Times New Roman" w:hAnsi="Times New Roman" w:cs="Times New Roman"/>
                      <w:color w:val="auto"/>
                      <w:sz w:val="21"/>
                      <w:szCs w:val="21"/>
                      <w:u w:val="single"/>
                      <w:lang w:val="en-US" w:eastAsia="zh-CN"/>
                    </w:rPr>
                    <w:t>PVC接户支管</w:t>
                  </w:r>
                </w:p>
              </w:tc>
              <w:tc>
                <w:tcPr>
                  <w:tcW w:w="1377" w:type="dxa"/>
                  <w:tcBorders>
                    <w:tl2br w:val="nil"/>
                    <w:tr2bl w:val="nil"/>
                  </w:tcBorders>
                  <w:noWrap/>
                  <w:vAlign w:val="center"/>
                </w:tcPr>
                <w:p w14:paraId="78C62C20">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DN</w:t>
                  </w:r>
                  <w:r>
                    <w:rPr>
                      <w:rFonts w:hint="eastAsia" w:cs="Times New Roman"/>
                      <w:color w:val="auto"/>
                      <w:sz w:val="21"/>
                      <w:szCs w:val="21"/>
                      <w:u w:val="single"/>
                      <w:lang w:val="en-US" w:eastAsia="zh-CN"/>
                    </w:rPr>
                    <w:t>110</w:t>
                  </w:r>
                </w:p>
              </w:tc>
              <w:tc>
                <w:tcPr>
                  <w:tcW w:w="696" w:type="dxa"/>
                  <w:tcBorders>
                    <w:tl2br w:val="nil"/>
                    <w:tr2bl w:val="nil"/>
                  </w:tcBorders>
                  <w:noWrap/>
                  <w:vAlign w:val="center"/>
                </w:tcPr>
                <w:p w14:paraId="340A1FBE">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m</w:t>
                  </w:r>
                </w:p>
              </w:tc>
              <w:tc>
                <w:tcPr>
                  <w:tcW w:w="914" w:type="dxa"/>
                  <w:tcBorders>
                    <w:tl2br w:val="nil"/>
                    <w:tr2bl w:val="nil"/>
                  </w:tcBorders>
                  <w:noWrap/>
                  <w:vAlign w:val="center"/>
                </w:tcPr>
                <w:p w14:paraId="209A2B05">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5090</w:t>
                  </w:r>
                </w:p>
              </w:tc>
              <w:tc>
                <w:tcPr>
                  <w:tcW w:w="1007" w:type="dxa"/>
                  <w:tcBorders>
                    <w:tl2br w:val="nil"/>
                    <w:tr2bl w:val="nil"/>
                  </w:tcBorders>
                  <w:noWrap/>
                  <w:vAlign w:val="center"/>
                </w:tcPr>
                <w:p w14:paraId="7A7A9767">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塑料</w:t>
                  </w:r>
                </w:p>
              </w:tc>
              <w:tc>
                <w:tcPr>
                  <w:tcW w:w="1579" w:type="dxa"/>
                  <w:tcBorders>
                    <w:tl2br w:val="nil"/>
                    <w:tr2bl w:val="nil"/>
                  </w:tcBorders>
                  <w:noWrap/>
                  <w:vAlign w:val="center"/>
                </w:tcPr>
                <w:p w14:paraId="27C087D1">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埋深1m</w:t>
                  </w:r>
                </w:p>
              </w:tc>
            </w:tr>
            <w:tr w14:paraId="47960B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5" w:hRule="atLeast"/>
              </w:trPr>
              <w:tc>
                <w:tcPr>
                  <w:tcW w:w="707" w:type="dxa"/>
                  <w:tcBorders>
                    <w:tl2br w:val="nil"/>
                    <w:tr2bl w:val="nil"/>
                  </w:tcBorders>
                  <w:noWrap/>
                  <w:vAlign w:val="center"/>
                </w:tcPr>
                <w:p w14:paraId="4A21E0DC">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8</w:t>
                  </w:r>
                </w:p>
              </w:tc>
              <w:tc>
                <w:tcPr>
                  <w:tcW w:w="2332" w:type="dxa"/>
                  <w:tcBorders>
                    <w:tl2br w:val="nil"/>
                    <w:tr2bl w:val="nil"/>
                  </w:tcBorders>
                  <w:noWrap/>
                  <w:vAlign w:val="center"/>
                </w:tcPr>
                <w:p w14:paraId="1067D68F">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玻璃钢夹砂管SN10（尾水管道）</w:t>
                  </w:r>
                </w:p>
              </w:tc>
              <w:tc>
                <w:tcPr>
                  <w:tcW w:w="1377" w:type="dxa"/>
                  <w:tcBorders>
                    <w:tl2br w:val="nil"/>
                    <w:tr2bl w:val="nil"/>
                  </w:tcBorders>
                  <w:noWrap/>
                  <w:vAlign w:val="center"/>
                </w:tcPr>
                <w:p w14:paraId="7C67C67B">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DN</w:t>
                  </w:r>
                  <w:r>
                    <w:rPr>
                      <w:rFonts w:hint="eastAsia" w:cs="Times New Roman"/>
                      <w:color w:val="auto"/>
                      <w:sz w:val="21"/>
                      <w:szCs w:val="21"/>
                      <w:u w:val="single"/>
                      <w:lang w:val="en-US" w:eastAsia="zh-CN"/>
                    </w:rPr>
                    <w:t>8</w:t>
                  </w:r>
                  <w:r>
                    <w:rPr>
                      <w:rFonts w:hint="default" w:ascii="Times New Roman" w:hAnsi="Times New Roman" w:cs="Times New Roman"/>
                      <w:color w:val="auto"/>
                      <w:sz w:val="21"/>
                      <w:szCs w:val="21"/>
                      <w:u w:val="single"/>
                      <w:lang w:val="en-US" w:eastAsia="zh-CN"/>
                    </w:rPr>
                    <w:t>00</w:t>
                  </w:r>
                </w:p>
              </w:tc>
              <w:tc>
                <w:tcPr>
                  <w:tcW w:w="696" w:type="dxa"/>
                  <w:tcBorders>
                    <w:tl2br w:val="nil"/>
                    <w:tr2bl w:val="nil"/>
                  </w:tcBorders>
                  <w:noWrap/>
                  <w:vAlign w:val="center"/>
                </w:tcPr>
                <w:p w14:paraId="2D9430BD">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default" w:ascii="Times New Roman" w:hAnsi="Times New Roman" w:cs="Times New Roman"/>
                      <w:color w:val="auto"/>
                      <w:sz w:val="21"/>
                      <w:szCs w:val="21"/>
                      <w:u w:val="single"/>
                      <w:lang w:val="en-US" w:eastAsia="zh-CN"/>
                    </w:rPr>
                    <w:t>m</w:t>
                  </w:r>
                </w:p>
              </w:tc>
              <w:tc>
                <w:tcPr>
                  <w:tcW w:w="914" w:type="dxa"/>
                  <w:tcBorders>
                    <w:tl2br w:val="nil"/>
                    <w:tr2bl w:val="nil"/>
                  </w:tcBorders>
                  <w:noWrap/>
                  <w:vAlign w:val="center"/>
                </w:tcPr>
                <w:p w14:paraId="47A9E908">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2140</w:t>
                  </w:r>
                </w:p>
              </w:tc>
              <w:tc>
                <w:tcPr>
                  <w:tcW w:w="1007" w:type="dxa"/>
                  <w:tcBorders>
                    <w:tl2br w:val="nil"/>
                    <w:tr2bl w:val="nil"/>
                  </w:tcBorders>
                  <w:noWrap/>
                  <w:vAlign w:val="center"/>
                </w:tcPr>
                <w:p w14:paraId="4BE84487">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塑料</w:t>
                  </w:r>
                </w:p>
              </w:tc>
              <w:tc>
                <w:tcPr>
                  <w:tcW w:w="1579" w:type="dxa"/>
                  <w:tcBorders>
                    <w:tl2br w:val="nil"/>
                    <w:tr2bl w:val="nil"/>
                  </w:tcBorders>
                  <w:noWrap/>
                  <w:vAlign w:val="center"/>
                </w:tcPr>
                <w:p w14:paraId="388793CF">
                  <w:pPr>
                    <w:keepNext w:val="0"/>
                    <w:keepLines w:val="0"/>
                    <w:pageBreakBefore w:val="0"/>
                    <w:widowControl w:val="0"/>
                    <w:kinsoku/>
                    <w:wordWrap/>
                    <w:overflowPunct/>
                    <w:topLinePunct w:val="0"/>
                    <w:autoSpaceDE/>
                    <w:autoSpaceDN/>
                    <w:bidi w:val="0"/>
                    <w:adjustRightInd/>
                    <w:snapToGrid/>
                    <w:ind w:left="0" w:leftChars="0" w:right="0" w:rightChars="0" w:firstLine="0" w:firstLineChars="0"/>
                    <w:jc w:val="center"/>
                    <w:textAlignment w:val="auto"/>
                    <w:rPr>
                      <w:rFonts w:hint="default" w:ascii="Times New Roman" w:hAnsi="Times New Roman" w:cs="Times New Roman"/>
                      <w:color w:val="auto"/>
                      <w:sz w:val="21"/>
                      <w:szCs w:val="21"/>
                      <w:u w:val="single"/>
                      <w:lang w:val="en-US" w:eastAsia="zh-CN"/>
                    </w:rPr>
                  </w:pPr>
                  <w:r>
                    <w:rPr>
                      <w:rFonts w:hint="eastAsia" w:cs="Times New Roman"/>
                      <w:color w:val="auto"/>
                      <w:sz w:val="21"/>
                      <w:szCs w:val="21"/>
                      <w:u w:val="single"/>
                      <w:lang w:val="en-US" w:eastAsia="zh-CN"/>
                    </w:rPr>
                    <w:t>覆土2.5m</w:t>
                  </w:r>
                </w:p>
              </w:tc>
            </w:tr>
          </w:tbl>
          <w:p w14:paraId="18D06D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b/>
                <w:bCs/>
                <w:color w:val="auto"/>
                <w:szCs w:val="21"/>
                <w:u w:val="single"/>
                <w:lang w:val="en-US" w:eastAsia="zh-CN"/>
              </w:rPr>
            </w:pPr>
            <w:r>
              <w:rPr>
                <w:b/>
                <w:bCs/>
                <w:color w:val="auto"/>
                <w:szCs w:val="21"/>
                <w:u w:val="single"/>
              </w:rPr>
              <w:t>表2-</w:t>
            </w:r>
            <w:r>
              <w:rPr>
                <w:rFonts w:hint="eastAsia"/>
                <w:b/>
                <w:bCs/>
                <w:color w:val="auto"/>
                <w:szCs w:val="21"/>
                <w:u w:val="single"/>
                <w:lang w:val="en-US" w:eastAsia="zh-CN"/>
              </w:rPr>
              <w:t>3</w:t>
            </w:r>
            <w:r>
              <w:rPr>
                <w:b/>
                <w:bCs/>
                <w:color w:val="auto"/>
                <w:szCs w:val="21"/>
                <w:u w:val="single"/>
              </w:rPr>
              <w:t xml:space="preserve"> </w:t>
            </w:r>
            <w:r>
              <w:rPr>
                <w:rFonts w:hint="eastAsia"/>
                <w:b/>
                <w:bCs/>
                <w:color w:val="auto"/>
                <w:szCs w:val="21"/>
                <w:u w:val="single"/>
                <w:lang w:val="en-US" w:eastAsia="zh-CN"/>
              </w:rPr>
              <w:t>主要经济技术指标表</w:t>
            </w:r>
          </w:p>
          <w:tbl>
            <w:tblPr>
              <w:tblStyle w:val="32"/>
              <w:tblW w:w="78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47"/>
              <w:gridCol w:w="3115"/>
              <w:gridCol w:w="2498"/>
              <w:gridCol w:w="1258"/>
            </w:tblGrid>
            <w:tr w14:paraId="35BFAA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77" w:hRule="atLeast"/>
                <w:tblHeader/>
                <w:jc w:val="center"/>
              </w:trPr>
              <w:tc>
                <w:tcPr>
                  <w:tcW w:w="947" w:type="dxa"/>
                  <w:tcBorders>
                    <w:tl2br w:val="nil"/>
                    <w:tr2bl w:val="nil"/>
                  </w:tcBorders>
                  <w:noWrap w:val="0"/>
                  <w:tcMar>
                    <w:top w:w="15" w:type="dxa"/>
                    <w:left w:w="15" w:type="dxa"/>
                    <w:right w:w="15" w:type="dxa"/>
                  </w:tcMar>
                  <w:vAlign w:val="center"/>
                </w:tcPr>
                <w:p w14:paraId="136A174D">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default" w:ascii="Times New Roman" w:hAnsi="Times New Roman" w:cs="Times New Roman"/>
                      <w:color w:val="auto"/>
                      <w:sz w:val="21"/>
                      <w:szCs w:val="21"/>
                      <w:u w:val="single"/>
                      <w:vertAlign w:val="baseline"/>
                      <w:lang w:val="en-US" w:eastAsia="zh-CN"/>
                    </w:rPr>
                    <w:t>序号</w:t>
                  </w:r>
                </w:p>
              </w:tc>
              <w:tc>
                <w:tcPr>
                  <w:tcW w:w="3115" w:type="dxa"/>
                  <w:tcBorders>
                    <w:tl2br w:val="nil"/>
                    <w:tr2bl w:val="nil"/>
                  </w:tcBorders>
                  <w:noWrap w:val="0"/>
                  <w:tcMar>
                    <w:top w:w="15" w:type="dxa"/>
                    <w:left w:w="15" w:type="dxa"/>
                    <w:right w:w="15" w:type="dxa"/>
                  </w:tcMar>
                  <w:vAlign w:val="center"/>
                </w:tcPr>
                <w:p w14:paraId="7B7A59C9">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default" w:ascii="Times New Roman" w:hAnsi="Times New Roman" w:cs="Times New Roman"/>
                      <w:color w:val="auto"/>
                      <w:sz w:val="21"/>
                      <w:szCs w:val="21"/>
                      <w:u w:val="single"/>
                      <w:vertAlign w:val="baseline"/>
                      <w:lang w:val="en-US" w:eastAsia="zh-CN"/>
                    </w:rPr>
                    <w:t>项目</w:t>
                  </w:r>
                </w:p>
              </w:tc>
              <w:tc>
                <w:tcPr>
                  <w:tcW w:w="3756" w:type="dxa"/>
                  <w:gridSpan w:val="2"/>
                  <w:tcBorders>
                    <w:tl2br w:val="nil"/>
                    <w:tr2bl w:val="nil"/>
                  </w:tcBorders>
                  <w:noWrap w:val="0"/>
                  <w:tcMar>
                    <w:top w:w="15" w:type="dxa"/>
                    <w:left w:w="15" w:type="dxa"/>
                    <w:right w:w="15" w:type="dxa"/>
                  </w:tcMar>
                  <w:vAlign w:val="center"/>
                </w:tcPr>
                <w:p w14:paraId="714E6C91">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default" w:ascii="Times New Roman" w:hAnsi="Times New Roman" w:cs="Times New Roman"/>
                      <w:color w:val="auto"/>
                      <w:sz w:val="21"/>
                      <w:szCs w:val="21"/>
                      <w:u w:val="single"/>
                      <w:vertAlign w:val="baseline"/>
                      <w:lang w:val="en-US" w:eastAsia="zh-CN"/>
                    </w:rPr>
                    <w:t>一期</w:t>
                  </w:r>
                </w:p>
              </w:tc>
            </w:tr>
            <w:tr w14:paraId="71FD50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61" w:hRule="atLeast"/>
                <w:jc w:val="center"/>
              </w:trPr>
              <w:tc>
                <w:tcPr>
                  <w:tcW w:w="947" w:type="dxa"/>
                  <w:tcBorders>
                    <w:tl2br w:val="nil"/>
                    <w:tr2bl w:val="nil"/>
                  </w:tcBorders>
                  <w:noWrap w:val="0"/>
                  <w:tcMar>
                    <w:top w:w="15" w:type="dxa"/>
                    <w:left w:w="15" w:type="dxa"/>
                    <w:right w:w="15" w:type="dxa"/>
                  </w:tcMar>
                  <w:vAlign w:val="center"/>
                </w:tcPr>
                <w:p w14:paraId="3CC6F706">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default" w:ascii="Times New Roman" w:hAnsi="Times New Roman" w:cs="Times New Roman"/>
                      <w:color w:val="auto"/>
                      <w:sz w:val="21"/>
                      <w:szCs w:val="21"/>
                      <w:u w:val="single"/>
                      <w:vertAlign w:val="baseline"/>
                      <w:lang w:val="en-US" w:eastAsia="zh-CN"/>
                    </w:rPr>
                    <w:t>1</w:t>
                  </w:r>
                </w:p>
              </w:tc>
              <w:tc>
                <w:tcPr>
                  <w:tcW w:w="3115" w:type="dxa"/>
                  <w:tcBorders>
                    <w:tl2br w:val="nil"/>
                    <w:tr2bl w:val="nil"/>
                  </w:tcBorders>
                  <w:noWrap w:val="0"/>
                  <w:tcMar>
                    <w:top w:w="15" w:type="dxa"/>
                    <w:left w:w="15" w:type="dxa"/>
                    <w:right w:w="15" w:type="dxa"/>
                  </w:tcMar>
                  <w:vAlign w:val="center"/>
                </w:tcPr>
                <w:p w14:paraId="7B37028B">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default" w:ascii="Times New Roman" w:hAnsi="Times New Roman" w:cs="Times New Roman"/>
                      <w:color w:val="auto"/>
                      <w:sz w:val="21"/>
                      <w:szCs w:val="21"/>
                      <w:u w:val="single"/>
                      <w:vertAlign w:val="baseline"/>
                      <w:lang w:val="en-US" w:eastAsia="zh-CN"/>
                    </w:rPr>
                    <w:t>红线面积</w:t>
                  </w:r>
                </w:p>
              </w:tc>
              <w:tc>
                <w:tcPr>
                  <w:tcW w:w="2498" w:type="dxa"/>
                  <w:tcBorders>
                    <w:tl2br w:val="nil"/>
                    <w:tr2bl w:val="nil"/>
                  </w:tcBorders>
                  <w:noWrap w:val="0"/>
                  <w:tcMar>
                    <w:top w:w="15" w:type="dxa"/>
                    <w:left w:w="15" w:type="dxa"/>
                    <w:right w:w="15" w:type="dxa"/>
                  </w:tcMar>
                  <w:vAlign w:val="center"/>
                </w:tcPr>
                <w:p w14:paraId="2C008035">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27057.35</w:t>
                  </w:r>
                  <w:r>
                    <w:rPr>
                      <w:rFonts w:hint="default" w:ascii="Times New Roman" w:hAnsi="Times New Roman" w:cs="Times New Roman"/>
                      <w:color w:val="auto"/>
                      <w:sz w:val="21"/>
                      <w:szCs w:val="21"/>
                      <w:u w:val="single"/>
                      <w:vertAlign w:val="baseline"/>
                      <w:lang w:val="en-US" w:eastAsia="zh-CN"/>
                    </w:rPr>
                    <w:t>m²</w:t>
                  </w:r>
                </w:p>
              </w:tc>
              <w:tc>
                <w:tcPr>
                  <w:tcW w:w="1258" w:type="dxa"/>
                  <w:tcBorders>
                    <w:tl2br w:val="nil"/>
                    <w:tr2bl w:val="nil"/>
                  </w:tcBorders>
                  <w:noWrap w:val="0"/>
                  <w:tcMar>
                    <w:top w:w="15" w:type="dxa"/>
                    <w:left w:w="15" w:type="dxa"/>
                    <w:right w:w="15" w:type="dxa"/>
                  </w:tcMar>
                  <w:vAlign w:val="center"/>
                </w:tcPr>
                <w:p w14:paraId="0289E11B">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40.59</w:t>
                  </w:r>
                  <w:r>
                    <w:rPr>
                      <w:rFonts w:hint="default" w:ascii="Times New Roman" w:hAnsi="Times New Roman" w:cs="Times New Roman"/>
                      <w:color w:val="auto"/>
                      <w:sz w:val="21"/>
                      <w:szCs w:val="21"/>
                      <w:u w:val="single"/>
                      <w:vertAlign w:val="baseline"/>
                      <w:lang w:val="en-US" w:eastAsia="zh-CN"/>
                    </w:rPr>
                    <w:t>亩</w:t>
                  </w:r>
                </w:p>
              </w:tc>
            </w:tr>
            <w:tr w14:paraId="4DB55A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61" w:hRule="atLeast"/>
                <w:jc w:val="center"/>
              </w:trPr>
              <w:tc>
                <w:tcPr>
                  <w:tcW w:w="947" w:type="dxa"/>
                  <w:tcBorders>
                    <w:tl2br w:val="nil"/>
                    <w:tr2bl w:val="nil"/>
                  </w:tcBorders>
                  <w:noWrap w:val="0"/>
                  <w:tcMar>
                    <w:top w:w="15" w:type="dxa"/>
                    <w:left w:w="15" w:type="dxa"/>
                    <w:right w:w="15" w:type="dxa"/>
                  </w:tcMar>
                  <w:vAlign w:val="center"/>
                </w:tcPr>
                <w:p w14:paraId="3DA98299">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default" w:ascii="Times New Roman" w:hAnsi="Times New Roman" w:cs="Times New Roman"/>
                      <w:color w:val="auto"/>
                      <w:sz w:val="21"/>
                      <w:szCs w:val="21"/>
                      <w:u w:val="single"/>
                      <w:vertAlign w:val="baseline"/>
                      <w:lang w:val="en-US" w:eastAsia="zh-CN"/>
                    </w:rPr>
                    <w:t>3</w:t>
                  </w:r>
                </w:p>
              </w:tc>
              <w:tc>
                <w:tcPr>
                  <w:tcW w:w="3115" w:type="dxa"/>
                  <w:tcBorders>
                    <w:tl2br w:val="nil"/>
                    <w:tr2bl w:val="nil"/>
                  </w:tcBorders>
                  <w:noWrap w:val="0"/>
                  <w:tcMar>
                    <w:top w:w="15" w:type="dxa"/>
                    <w:left w:w="15" w:type="dxa"/>
                    <w:right w:w="15" w:type="dxa"/>
                  </w:tcMar>
                  <w:vAlign w:val="center"/>
                </w:tcPr>
                <w:p w14:paraId="75806E92">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default" w:ascii="Times New Roman" w:hAnsi="Times New Roman" w:cs="Times New Roman"/>
                      <w:color w:val="auto"/>
                      <w:sz w:val="21"/>
                      <w:szCs w:val="21"/>
                      <w:u w:val="single"/>
                      <w:vertAlign w:val="baseline"/>
                      <w:lang w:val="en-US" w:eastAsia="zh-CN"/>
                    </w:rPr>
                    <w:t>构（建）筑物占地面积</w:t>
                  </w:r>
                </w:p>
              </w:tc>
              <w:tc>
                <w:tcPr>
                  <w:tcW w:w="2498" w:type="dxa"/>
                  <w:tcBorders>
                    <w:tl2br w:val="nil"/>
                    <w:tr2bl w:val="nil"/>
                  </w:tcBorders>
                  <w:noWrap w:val="0"/>
                  <w:tcMar>
                    <w:top w:w="15" w:type="dxa"/>
                    <w:left w:w="15" w:type="dxa"/>
                    <w:right w:w="15" w:type="dxa"/>
                  </w:tcMar>
                  <w:vAlign w:val="center"/>
                </w:tcPr>
                <w:p w14:paraId="7B0FAAB2">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7071.3</w:t>
                  </w:r>
                  <w:r>
                    <w:rPr>
                      <w:rFonts w:hint="default" w:ascii="Times New Roman" w:hAnsi="Times New Roman" w:cs="Times New Roman"/>
                      <w:color w:val="auto"/>
                      <w:sz w:val="21"/>
                      <w:szCs w:val="21"/>
                      <w:u w:val="single"/>
                      <w:vertAlign w:val="baseline"/>
                      <w:lang w:val="en-US" w:eastAsia="zh-CN"/>
                    </w:rPr>
                    <w:t>m²</w:t>
                  </w:r>
                </w:p>
              </w:tc>
              <w:tc>
                <w:tcPr>
                  <w:tcW w:w="1258" w:type="dxa"/>
                  <w:tcBorders>
                    <w:tl2br w:val="nil"/>
                    <w:tr2bl w:val="nil"/>
                  </w:tcBorders>
                  <w:noWrap w:val="0"/>
                  <w:tcMar>
                    <w:top w:w="15" w:type="dxa"/>
                    <w:left w:w="15" w:type="dxa"/>
                    <w:right w:w="15" w:type="dxa"/>
                  </w:tcMar>
                  <w:vAlign w:val="center"/>
                </w:tcPr>
                <w:p w14:paraId="672DDF4C">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10.61</w:t>
                  </w:r>
                  <w:r>
                    <w:rPr>
                      <w:rFonts w:hint="default" w:ascii="Times New Roman" w:hAnsi="Times New Roman" w:cs="Times New Roman"/>
                      <w:color w:val="auto"/>
                      <w:sz w:val="21"/>
                      <w:szCs w:val="21"/>
                      <w:u w:val="single"/>
                      <w:vertAlign w:val="baseline"/>
                      <w:lang w:val="en-US" w:eastAsia="zh-CN"/>
                    </w:rPr>
                    <w:t>亩</w:t>
                  </w:r>
                </w:p>
              </w:tc>
            </w:tr>
            <w:tr w14:paraId="23E1AA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61" w:hRule="atLeast"/>
                <w:jc w:val="center"/>
              </w:trPr>
              <w:tc>
                <w:tcPr>
                  <w:tcW w:w="947" w:type="dxa"/>
                  <w:tcBorders>
                    <w:tl2br w:val="nil"/>
                    <w:tr2bl w:val="nil"/>
                  </w:tcBorders>
                  <w:noWrap w:val="0"/>
                  <w:tcMar>
                    <w:top w:w="15" w:type="dxa"/>
                    <w:left w:w="15" w:type="dxa"/>
                    <w:right w:w="15" w:type="dxa"/>
                  </w:tcMar>
                  <w:vAlign w:val="center"/>
                </w:tcPr>
                <w:p w14:paraId="109C3A5C">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default" w:ascii="Times New Roman" w:hAnsi="Times New Roman" w:cs="Times New Roman"/>
                      <w:color w:val="auto"/>
                      <w:sz w:val="21"/>
                      <w:szCs w:val="21"/>
                      <w:u w:val="single"/>
                      <w:vertAlign w:val="baseline"/>
                      <w:lang w:val="en-US" w:eastAsia="zh-CN"/>
                    </w:rPr>
                    <w:t>4</w:t>
                  </w:r>
                </w:p>
              </w:tc>
              <w:tc>
                <w:tcPr>
                  <w:tcW w:w="3115" w:type="dxa"/>
                  <w:tcBorders>
                    <w:tl2br w:val="nil"/>
                    <w:tr2bl w:val="nil"/>
                  </w:tcBorders>
                  <w:noWrap w:val="0"/>
                  <w:tcMar>
                    <w:top w:w="15" w:type="dxa"/>
                    <w:left w:w="15" w:type="dxa"/>
                    <w:right w:w="15" w:type="dxa"/>
                  </w:tcMar>
                  <w:vAlign w:val="center"/>
                </w:tcPr>
                <w:p w14:paraId="5358207D">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default" w:ascii="Times New Roman" w:hAnsi="Times New Roman" w:cs="Times New Roman"/>
                      <w:color w:val="auto"/>
                      <w:sz w:val="21"/>
                      <w:szCs w:val="21"/>
                      <w:u w:val="single"/>
                      <w:vertAlign w:val="baseline"/>
                      <w:lang w:val="en-US" w:eastAsia="zh-CN"/>
                    </w:rPr>
                    <w:t>道路广场占地面积</w:t>
                  </w:r>
                </w:p>
              </w:tc>
              <w:tc>
                <w:tcPr>
                  <w:tcW w:w="2498" w:type="dxa"/>
                  <w:tcBorders>
                    <w:tl2br w:val="nil"/>
                    <w:tr2bl w:val="nil"/>
                  </w:tcBorders>
                  <w:noWrap w:val="0"/>
                  <w:tcMar>
                    <w:top w:w="15" w:type="dxa"/>
                    <w:left w:w="15" w:type="dxa"/>
                    <w:right w:w="15" w:type="dxa"/>
                  </w:tcMar>
                  <w:vAlign w:val="center"/>
                </w:tcPr>
                <w:p w14:paraId="1F2EC951">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4763.13</w:t>
                  </w:r>
                  <w:r>
                    <w:rPr>
                      <w:rFonts w:hint="default" w:ascii="Times New Roman" w:hAnsi="Times New Roman" w:cs="Times New Roman"/>
                      <w:color w:val="auto"/>
                      <w:sz w:val="21"/>
                      <w:szCs w:val="21"/>
                      <w:u w:val="single"/>
                      <w:vertAlign w:val="baseline"/>
                      <w:lang w:val="en-US" w:eastAsia="zh-CN"/>
                    </w:rPr>
                    <w:t xml:space="preserve">m²  </w:t>
                  </w:r>
                </w:p>
              </w:tc>
              <w:tc>
                <w:tcPr>
                  <w:tcW w:w="1258" w:type="dxa"/>
                  <w:tcBorders>
                    <w:tl2br w:val="nil"/>
                    <w:tr2bl w:val="nil"/>
                  </w:tcBorders>
                  <w:noWrap w:val="0"/>
                  <w:tcMar>
                    <w:top w:w="15" w:type="dxa"/>
                    <w:left w:w="15" w:type="dxa"/>
                    <w:right w:w="15" w:type="dxa"/>
                  </w:tcMar>
                  <w:vAlign w:val="center"/>
                </w:tcPr>
                <w:p w14:paraId="2ACD79FB">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7.14</w:t>
                  </w:r>
                  <w:r>
                    <w:rPr>
                      <w:rFonts w:hint="default" w:ascii="Times New Roman" w:hAnsi="Times New Roman" w:cs="Times New Roman"/>
                      <w:color w:val="auto"/>
                      <w:sz w:val="21"/>
                      <w:szCs w:val="21"/>
                      <w:u w:val="single"/>
                      <w:vertAlign w:val="baseline"/>
                      <w:lang w:val="en-US" w:eastAsia="zh-CN"/>
                    </w:rPr>
                    <w:t xml:space="preserve">亩   </w:t>
                  </w:r>
                </w:p>
              </w:tc>
            </w:tr>
            <w:tr w14:paraId="73AB7B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61" w:hRule="atLeast"/>
                <w:jc w:val="center"/>
              </w:trPr>
              <w:tc>
                <w:tcPr>
                  <w:tcW w:w="947" w:type="dxa"/>
                  <w:tcBorders>
                    <w:tl2br w:val="nil"/>
                    <w:tr2bl w:val="nil"/>
                  </w:tcBorders>
                  <w:noWrap w:val="0"/>
                  <w:tcMar>
                    <w:top w:w="15" w:type="dxa"/>
                    <w:left w:w="15" w:type="dxa"/>
                    <w:right w:w="15" w:type="dxa"/>
                  </w:tcMar>
                  <w:vAlign w:val="center"/>
                </w:tcPr>
                <w:p w14:paraId="3E0A5E80">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default" w:ascii="Times New Roman" w:hAnsi="Times New Roman" w:cs="Times New Roman"/>
                      <w:color w:val="auto"/>
                      <w:sz w:val="21"/>
                      <w:szCs w:val="21"/>
                      <w:u w:val="single"/>
                      <w:vertAlign w:val="baseline"/>
                      <w:lang w:val="en-US" w:eastAsia="zh-CN"/>
                    </w:rPr>
                    <w:t>5</w:t>
                  </w:r>
                </w:p>
              </w:tc>
              <w:tc>
                <w:tcPr>
                  <w:tcW w:w="3115" w:type="dxa"/>
                  <w:tcBorders>
                    <w:tl2br w:val="nil"/>
                    <w:tr2bl w:val="nil"/>
                  </w:tcBorders>
                  <w:noWrap w:val="0"/>
                  <w:tcMar>
                    <w:top w:w="15" w:type="dxa"/>
                    <w:left w:w="15" w:type="dxa"/>
                    <w:right w:w="15" w:type="dxa"/>
                  </w:tcMar>
                  <w:vAlign w:val="center"/>
                </w:tcPr>
                <w:p w14:paraId="26723B16">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远期预留</w:t>
                  </w:r>
                  <w:r>
                    <w:rPr>
                      <w:rFonts w:hint="default" w:ascii="Times New Roman" w:hAnsi="Times New Roman" w:cs="Times New Roman"/>
                      <w:color w:val="auto"/>
                      <w:sz w:val="21"/>
                      <w:szCs w:val="21"/>
                      <w:u w:val="single"/>
                      <w:vertAlign w:val="baseline"/>
                      <w:lang w:val="en-US" w:eastAsia="zh-CN"/>
                    </w:rPr>
                    <w:t>面积</w:t>
                  </w:r>
                </w:p>
              </w:tc>
              <w:tc>
                <w:tcPr>
                  <w:tcW w:w="2498" w:type="dxa"/>
                  <w:tcBorders>
                    <w:tl2br w:val="nil"/>
                    <w:tr2bl w:val="nil"/>
                  </w:tcBorders>
                  <w:noWrap w:val="0"/>
                  <w:tcMar>
                    <w:top w:w="15" w:type="dxa"/>
                    <w:left w:w="15" w:type="dxa"/>
                    <w:right w:w="15" w:type="dxa"/>
                  </w:tcMar>
                  <w:vAlign w:val="center"/>
                </w:tcPr>
                <w:p w14:paraId="333ED3A1">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7687.76</w:t>
                  </w:r>
                  <w:r>
                    <w:rPr>
                      <w:rFonts w:hint="default" w:ascii="Times New Roman" w:hAnsi="Times New Roman" w:cs="Times New Roman"/>
                      <w:color w:val="auto"/>
                      <w:sz w:val="21"/>
                      <w:szCs w:val="21"/>
                      <w:u w:val="single"/>
                      <w:vertAlign w:val="baseline"/>
                      <w:lang w:val="en-US" w:eastAsia="zh-CN"/>
                    </w:rPr>
                    <w:t xml:space="preserve">m²  </w:t>
                  </w:r>
                </w:p>
              </w:tc>
              <w:tc>
                <w:tcPr>
                  <w:tcW w:w="1258" w:type="dxa"/>
                  <w:tcBorders>
                    <w:tl2br w:val="nil"/>
                    <w:tr2bl w:val="nil"/>
                  </w:tcBorders>
                  <w:noWrap w:val="0"/>
                  <w:tcMar>
                    <w:top w:w="15" w:type="dxa"/>
                    <w:left w:w="15" w:type="dxa"/>
                    <w:right w:w="15" w:type="dxa"/>
                  </w:tcMar>
                  <w:vAlign w:val="center"/>
                </w:tcPr>
                <w:p w14:paraId="018420DD">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11.53</w:t>
                  </w:r>
                  <w:r>
                    <w:rPr>
                      <w:rFonts w:hint="default" w:ascii="Times New Roman" w:hAnsi="Times New Roman" w:cs="Times New Roman"/>
                      <w:color w:val="auto"/>
                      <w:sz w:val="21"/>
                      <w:szCs w:val="21"/>
                      <w:u w:val="single"/>
                      <w:vertAlign w:val="baseline"/>
                      <w:lang w:val="en-US" w:eastAsia="zh-CN"/>
                    </w:rPr>
                    <w:t xml:space="preserve">亩   </w:t>
                  </w:r>
                </w:p>
              </w:tc>
            </w:tr>
            <w:tr w14:paraId="114618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61" w:hRule="atLeast"/>
                <w:jc w:val="center"/>
              </w:trPr>
              <w:tc>
                <w:tcPr>
                  <w:tcW w:w="947" w:type="dxa"/>
                  <w:tcBorders>
                    <w:tl2br w:val="nil"/>
                    <w:tr2bl w:val="nil"/>
                  </w:tcBorders>
                  <w:noWrap w:val="0"/>
                  <w:tcMar>
                    <w:top w:w="15" w:type="dxa"/>
                    <w:left w:w="15" w:type="dxa"/>
                    <w:right w:w="15" w:type="dxa"/>
                  </w:tcMar>
                  <w:vAlign w:val="center"/>
                </w:tcPr>
                <w:p w14:paraId="61962B47">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default" w:ascii="Times New Roman" w:hAnsi="Times New Roman" w:cs="Times New Roman"/>
                      <w:color w:val="auto"/>
                      <w:sz w:val="21"/>
                      <w:szCs w:val="21"/>
                      <w:u w:val="single"/>
                      <w:vertAlign w:val="baseline"/>
                      <w:lang w:val="en-US" w:eastAsia="zh-CN"/>
                    </w:rPr>
                    <w:t>6</w:t>
                  </w:r>
                </w:p>
              </w:tc>
              <w:tc>
                <w:tcPr>
                  <w:tcW w:w="3115" w:type="dxa"/>
                  <w:tcBorders>
                    <w:tl2br w:val="nil"/>
                    <w:tr2bl w:val="nil"/>
                  </w:tcBorders>
                  <w:noWrap w:val="0"/>
                  <w:tcMar>
                    <w:top w:w="15" w:type="dxa"/>
                    <w:left w:w="15" w:type="dxa"/>
                    <w:right w:w="15" w:type="dxa"/>
                  </w:tcMar>
                  <w:vAlign w:val="center"/>
                </w:tcPr>
                <w:p w14:paraId="0ED6D223">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default" w:ascii="Times New Roman" w:hAnsi="Times New Roman" w:cs="Times New Roman"/>
                      <w:color w:val="auto"/>
                      <w:sz w:val="21"/>
                      <w:szCs w:val="21"/>
                      <w:u w:val="single"/>
                      <w:vertAlign w:val="baseline"/>
                      <w:lang w:val="en-US" w:eastAsia="zh-CN"/>
                    </w:rPr>
                    <w:t>绿地面积</w:t>
                  </w:r>
                </w:p>
              </w:tc>
              <w:tc>
                <w:tcPr>
                  <w:tcW w:w="2498" w:type="dxa"/>
                  <w:tcBorders>
                    <w:tl2br w:val="nil"/>
                    <w:tr2bl w:val="nil"/>
                  </w:tcBorders>
                  <w:noWrap w:val="0"/>
                  <w:tcMar>
                    <w:top w:w="15" w:type="dxa"/>
                    <w:left w:w="15" w:type="dxa"/>
                    <w:right w:w="15" w:type="dxa"/>
                  </w:tcMar>
                  <w:vAlign w:val="center"/>
                </w:tcPr>
                <w:p w14:paraId="7C8AD496">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7535.16</w:t>
                  </w:r>
                  <w:r>
                    <w:rPr>
                      <w:rFonts w:hint="default" w:ascii="Times New Roman" w:hAnsi="Times New Roman" w:cs="Times New Roman"/>
                      <w:color w:val="auto"/>
                      <w:sz w:val="21"/>
                      <w:szCs w:val="21"/>
                      <w:u w:val="single"/>
                      <w:vertAlign w:val="baseline"/>
                      <w:lang w:val="en-US" w:eastAsia="zh-CN"/>
                    </w:rPr>
                    <w:t xml:space="preserve">m²  </w:t>
                  </w:r>
                </w:p>
              </w:tc>
              <w:tc>
                <w:tcPr>
                  <w:tcW w:w="1258" w:type="dxa"/>
                  <w:tcBorders>
                    <w:tl2br w:val="nil"/>
                    <w:tr2bl w:val="nil"/>
                  </w:tcBorders>
                  <w:noWrap w:val="0"/>
                  <w:tcMar>
                    <w:top w:w="15" w:type="dxa"/>
                    <w:left w:w="15" w:type="dxa"/>
                    <w:right w:w="15" w:type="dxa"/>
                  </w:tcMar>
                  <w:vAlign w:val="center"/>
                </w:tcPr>
                <w:p w14:paraId="45ED41EA">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11.31</w:t>
                  </w:r>
                  <w:r>
                    <w:rPr>
                      <w:rFonts w:hint="default" w:ascii="Times New Roman" w:hAnsi="Times New Roman" w:cs="Times New Roman"/>
                      <w:color w:val="auto"/>
                      <w:sz w:val="21"/>
                      <w:szCs w:val="21"/>
                      <w:u w:val="single"/>
                      <w:vertAlign w:val="baseline"/>
                      <w:lang w:val="en-US" w:eastAsia="zh-CN"/>
                    </w:rPr>
                    <w:t xml:space="preserve">亩   </w:t>
                  </w:r>
                </w:p>
              </w:tc>
            </w:tr>
            <w:tr w14:paraId="0A07B8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61" w:hRule="atLeast"/>
                <w:jc w:val="center"/>
              </w:trPr>
              <w:tc>
                <w:tcPr>
                  <w:tcW w:w="947" w:type="dxa"/>
                  <w:tcBorders>
                    <w:tl2br w:val="nil"/>
                    <w:tr2bl w:val="nil"/>
                  </w:tcBorders>
                  <w:noWrap w:val="0"/>
                  <w:tcMar>
                    <w:top w:w="15" w:type="dxa"/>
                    <w:left w:w="15" w:type="dxa"/>
                    <w:right w:w="15" w:type="dxa"/>
                  </w:tcMar>
                  <w:vAlign w:val="center"/>
                </w:tcPr>
                <w:p w14:paraId="3C2AE343">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7</w:t>
                  </w:r>
                </w:p>
              </w:tc>
              <w:tc>
                <w:tcPr>
                  <w:tcW w:w="3115" w:type="dxa"/>
                  <w:tcBorders>
                    <w:tl2br w:val="nil"/>
                    <w:tr2bl w:val="nil"/>
                  </w:tcBorders>
                  <w:noWrap w:val="0"/>
                  <w:tcMar>
                    <w:top w:w="15" w:type="dxa"/>
                    <w:left w:w="15" w:type="dxa"/>
                    <w:right w:w="15" w:type="dxa"/>
                  </w:tcMar>
                  <w:vAlign w:val="center"/>
                </w:tcPr>
                <w:p w14:paraId="4D0B5C73">
                  <w:pPr>
                    <w:spacing w:line="240" w:lineRule="auto"/>
                    <w:jc w:val="center"/>
                    <w:rPr>
                      <w:rFonts w:hint="default" w:ascii="Times New Roman" w:hAnsi="Times New Roman"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厂区建筑面积</w:t>
                  </w:r>
                </w:p>
              </w:tc>
              <w:tc>
                <w:tcPr>
                  <w:tcW w:w="2498" w:type="dxa"/>
                  <w:tcBorders>
                    <w:tl2br w:val="nil"/>
                    <w:tr2bl w:val="nil"/>
                  </w:tcBorders>
                  <w:noWrap w:val="0"/>
                  <w:tcMar>
                    <w:top w:w="15" w:type="dxa"/>
                    <w:left w:w="15" w:type="dxa"/>
                    <w:right w:w="15" w:type="dxa"/>
                  </w:tcMar>
                  <w:vAlign w:val="center"/>
                </w:tcPr>
                <w:p w14:paraId="3C073759">
                  <w:pPr>
                    <w:spacing w:line="240" w:lineRule="auto"/>
                    <w:jc w:val="center"/>
                    <w:rPr>
                      <w:rFonts w:hint="default"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3560.92</w:t>
                  </w:r>
                  <w:r>
                    <w:rPr>
                      <w:rFonts w:hint="default" w:ascii="Times New Roman" w:hAnsi="Times New Roman" w:cs="Times New Roman"/>
                      <w:color w:val="auto"/>
                      <w:sz w:val="21"/>
                      <w:szCs w:val="21"/>
                      <w:u w:val="single"/>
                      <w:vertAlign w:val="baseline"/>
                      <w:lang w:val="en-US" w:eastAsia="zh-CN"/>
                    </w:rPr>
                    <w:t xml:space="preserve">m² </w:t>
                  </w:r>
                </w:p>
              </w:tc>
              <w:tc>
                <w:tcPr>
                  <w:tcW w:w="1258" w:type="dxa"/>
                  <w:tcBorders>
                    <w:tl2br w:val="nil"/>
                    <w:tr2bl w:val="nil"/>
                  </w:tcBorders>
                  <w:noWrap w:val="0"/>
                  <w:tcMar>
                    <w:top w:w="15" w:type="dxa"/>
                    <w:left w:w="15" w:type="dxa"/>
                    <w:right w:w="15" w:type="dxa"/>
                  </w:tcMar>
                  <w:vAlign w:val="center"/>
                </w:tcPr>
                <w:p w14:paraId="00211BA2">
                  <w:pPr>
                    <w:spacing w:line="240" w:lineRule="auto"/>
                    <w:jc w:val="center"/>
                    <w:rPr>
                      <w:rFonts w:hint="default" w:cs="Times New Roman"/>
                      <w:color w:val="auto"/>
                      <w:sz w:val="21"/>
                      <w:szCs w:val="21"/>
                      <w:u w:val="single"/>
                      <w:vertAlign w:val="baseline"/>
                      <w:lang w:val="en-US" w:eastAsia="zh-CN"/>
                    </w:rPr>
                  </w:pPr>
                  <w:r>
                    <w:rPr>
                      <w:rFonts w:hint="eastAsia" w:cs="Times New Roman"/>
                      <w:color w:val="auto"/>
                      <w:sz w:val="21"/>
                      <w:szCs w:val="21"/>
                      <w:u w:val="single"/>
                      <w:vertAlign w:val="baseline"/>
                      <w:lang w:val="en-US" w:eastAsia="zh-CN"/>
                    </w:rPr>
                    <w:t>/</w:t>
                  </w:r>
                </w:p>
              </w:tc>
            </w:tr>
            <w:tr w14:paraId="3C540C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61" w:hRule="atLeast"/>
                <w:jc w:val="center"/>
              </w:trPr>
              <w:tc>
                <w:tcPr>
                  <w:tcW w:w="947" w:type="dxa"/>
                  <w:tcBorders>
                    <w:tl2br w:val="nil"/>
                    <w:tr2bl w:val="nil"/>
                  </w:tcBorders>
                  <w:noWrap w:val="0"/>
                  <w:tcMar>
                    <w:top w:w="15" w:type="dxa"/>
                    <w:left w:w="15" w:type="dxa"/>
                    <w:right w:w="15" w:type="dxa"/>
                  </w:tcMar>
                  <w:vAlign w:val="center"/>
                </w:tcPr>
                <w:p w14:paraId="210F2AFD">
                  <w:pPr>
                    <w:spacing w:line="240" w:lineRule="auto"/>
                    <w:jc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8</w:t>
                  </w:r>
                </w:p>
              </w:tc>
              <w:tc>
                <w:tcPr>
                  <w:tcW w:w="3115" w:type="dxa"/>
                  <w:tcBorders>
                    <w:tl2br w:val="nil"/>
                    <w:tr2bl w:val="nil"/>
                  </w:tcBorders>
                  <w:noWrap w:val="0"/>
                  <w:tcMar>
                    <w:top w:w="15" w:type="dxa"/>
                    <w:left w:w="15" w:type="dxa"/>
                    <w:right w:w="15" w:type="dxa"/>
                  </w:tcMar>
                  <w:vAlign w:val="center"/>
                </w:tcPr>
                <w:p w14:paraId="24473B4F">
                  <w:pPr>
                    <w:spacing w:line="240" w:lineRule="auto"/>
                    <w:jc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容积率</w:t>
                  </w:r>
                </w:p>
              </w:tc>
              <w:tc>
                <w:tcPr>
                  <w:tcW w:w="2498" w:type="dxa"/>
                  <w:tcBorders>
                    <w:tl2br w:val="nil"/>
                    <w:tr2bl w:val="nil"/>
                  </w:tcBorders>
                  <w:noWrap w:val="0"/>
                  <w:tcMar>
                    <w:top w:w="15" w:type="dxa"/>
                    <w:left w:w="15" w:type="dxa"/>
                    <w:right w:w="15" w:type="dxa"/>
                  </w:tcMar>
                  <w:vAlign w:val="center"/>
                </w:tcPr>
                <w:p w14:paraId="25FB942C">
                  <w:pPr>
                    <w:spacing w:line="240" w:lineRule="auto"/>
                    <w:jc w:val="center"/>
                    <w:rPr>
                      <w:rFonts w:hint="default" w:cs="Times New Roman"/>
                      <w:color w:val="auto"/>
                      <w:sz w:val="21"/>
                      <w:szCs w:val="21"/>
                      <w:vertAlign w:val="baseline"/>
                      <w:lang w:val="en-US" w:eastAsia="zh-CN"/>
                    </w:rPr>
                  </w:pPr>
                  <w:r>
                    <w:rPr>
                      <w:rFonts w:hint="eastAsia" w:cs="Times New Roman"/>
                      <w:color w:val="auto"/>
                      <w:sz w:val="21"/>
                      <w:szCs w:val="21"/>
                      <w:vertAlign w:val="baseline"/>
                      <w:lang w:val="en-US" w:eastAsia="zh-CN"/>
                    </w:rPr>
                    <w:t>0.132%</w:t>
                  </w:r>
                </w:p>
              </w:tc>
              <w:tc>
                <w:tcPr>
                  <w:tcW w:w="1258" w:type="dxa"/>
                  <w:tcBorders>
                    <w:tl2br w:val="nil"/>
                    <w:tr2bl w:val="nil"/>
                  </w:tcBorders>
                  <w:noWrap w:val="0"/>
                  <w:tcMar>
                    <w:top w:w="15" w:type="dxa"/>
                    <w:left w:w="15" w:type="dxa"/>
                    <w:right w:w="15" w:type="dxa"/>
                  </w:tcMar>
                  <w:vAlign w:val="center"/>
                </w:tcPr>
                <w:p w14:paraId="033B2386">
                  <w:pPr>
                    <w:spacing w:line="240" w:lineRule="auto"/>
                    <w:jc w:val="center"/>
                    <w:rPr>
                      <w:rFonts w:hint="default" w:cs="Times New Roman"/>
                      <w:color w:val="auto"/>
                      <w:sz w:val="21"/>
                      <w:szCs w:val="21"/>
                      <w:vertAlign w:val="baseline"/>
                      <w:lang w:val="en-US" w:eastAsia="zh-CN"/>
                    </w:rPr>
                  </w:pPr>
                  <w:r>
                    <w:rPr>
                      <w:rFonts w:hint="eastAsia" w:cs="Times New Roman"/>
                      <w:color w:val="auto"/>
                      <w:sz w:val="21"/>
                      <w:szCs w:val="21"/>
                      <w:vertAlign w:val="baseline"/>
                      <w:lang w:val="en-US" w:eastAsia="zh-CN"/>
                    </w:rPr>
                    <w:t>/</w:t>
                  </w:r>
                </w:p>
              </w:tc>
            </w:tr>
            <w:tr w14:paraId="1092FF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61" w:hRule="atLeast"/>
                <w:jc w:val="center"/>
              </w:trPr>
              <w:tc>
                <w:tcPr>
                  <w:tcW w:w="947" w:type="dxa"/>
                  <w:tcBorders>
                    <w:tl2br w:val="nil"/>
                    <w:tr2bl w:val="nil"/>
                  </w:tcBorders>
                  <w:noWrap w:val="0"/>
                  <w:tcMar>
                    <w:top w:w="15" w:type="dxa"/>
                    <w:left w:w="15" w:type="dxa"/>
                    <w:right w:w="15" w:type="dxa"/>
                  </w:tcMar>
                  <w:vAlign w:val="center"/>
                </w:tcPr>
                <w:p w14:paraId="483A33BD">
                  <w:pPr>
                    <w:spacing w:line="240" w:lineRule="auto"/>
                    <w:jc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9</w:t>
                  </w:r>
                </w:p>
              </w:tc>
              <w:tc>
                <w:tcPr>
                  <w:tcW w:w="3115" w:type="dxa"/>
                  <w:tcBorders>
                    <w:tl2br w:val="nil"/>
                    <w:tr2bl w:val="nil"/>
                  </w:tcBorders>
                  <w:noWrap w:val="0"/>
                  <w:tcMar>
                    <w:top w:w="15" w:type="dxa"/>
                    <w:left w:w="15" w:type="dxa"/>
                    <w:right w:w="15" w:type="dxa"/>
                  </w:tcMar>
                  <w:vAlign w:val="center"/>
                </w:tcPr>
                <w:p w14:paraId="659FA8AA">
                  <w:pPr>
                    <w:spacing w:line="240" w:lineRule="auto"/>
                    <w:jc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绿地率</w:t>
                  </w:r>
                </w:p>
              </w:tc>
              <w:tc>
                <w:tcPr>
                  <w:tcW w:w="2498" w:type="dxa"/>
                  <w:tcBorders>
                    <w:tl2br w:val="nil"/>
                    <w:tr2bl w:val="nil"/>
                  </w:tcBorders>
                  <w:noWrap w:val="0"/>
                  <w:tcMar>
                    <w:top w:w="15" w:type="dxa"/>
                    <w:left w:w="15" w:type="dxa"/>
                    <w:right w:w="15" w:type="dxa"/>
                  </w:tcMar>
                  <w:vAlign w:val="center"/>
                </w:tcPr>
                <w:p w14:paraId="0EE939C4">
                  <w:pPr>
                    <w:spacing w:line="240" w:lineRule="auto"/>
                    <w:jc w:val="center"/>
                    <w:rPr>
                      <w:rFonts w:hint="default" w:cs="Times New Roman"/>
                      <w:color w:val="auto"/>
                      <w:sz w:val="21"/>
                      <w:szCs w:val="21"/>
                      <w:vertAlign w:val="baseline"/>
                      <w:lang w:val="en-US" w:eastAsia="zh-CN"/>
                    </w:rPr>
                  </w:pPr>
                  <w:r>
                    <w:rPr>
                      <w:rFonts w:hint="eastAsia" w:cs="Times New Roman"/>
                      <w:color w:val="auto"/>
                      <w:sz w:val="21"/>
                      <w:szCs w:val="21"/>
                      <w:vertAlign w:val="baseline"/>
                      <w:lang w:val="en-US" w:eastAsia="zh-CN"/>
                    </w:rPr>
                    <w:t>27.85%</w:t>
                  </w:r>
                </w:p>
              </w:tc>
              <w:tc>
                <w:tcPr>
                  <w:tcW w:w="1258" w:type="dxa"/>
                  <w:tcBorders>
                    <w:tl2br w:val="nil"/>
                    <w:tr2bl w:val="nil"/>
                  </w:tcBorders>
                  <w:noWrap w:val="0"/>
                  <w:tcMar>
                    <w:top w:w="15" w:type="dxa"/>
                    <w:left w:w="15" w:type="dxa"/>
                    <w:right w:w="15" w:type="dxa"/>
                  </w:tcMar>
                  <w:vAlign w:val="center"/>
                </w:tcPr>
                <w:p w14:paraId="49F0D9B1">
                  <w:pPr>
                    <w:spacing w:line="240" w:lineRule="auto"/>
                    <w:jc w:val="center"/>
                    <w:rPr>
                      <w:rFonts w:hint="default" w:cs="Times New Roman"/>
                      <w:color w:val="auto"/>
                      <w:sz w:val="21"/>
                      <w:szCs w:val="21"/>
                      <w:vertAlign w:val="baseline"/>
                      <w:lang w:val="en-US" w:eastAsia="zh-CN"/>
                    </w:rPr>
                  </w:pPr>
                  <w:r>
                    <w:rPr>
                      <w:rFonts w:hint="eastAsia" w:cs="Times New Roman"/>
                      <w:color w:val="auto"/>
                      <w:sz w:val="21"/>
                      <w:szCs w:val="21"/>
                      <w:vertAlign w:val="baseline"/>
                      <w:lang w:val="en-US" w:eastAsia="zh-CN"/>
                    </w:rPr>
                    <w:t>/</w:t>
                  </w:r>
                </w:p>
              </w:tc>
            </w:tr>
            <w:tr w14:paraId="3F1343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61" w:hRule="atLeast"/>
                <w:jc w:val="center"/>
              </w:trPr>
              <w:tc>
                <w:tcPr>
                  <w:tcW w:w="947" w:type="dxa"/>
                  <w:tcBorders>
                    <w:tl2br w:val="nil"/>
                    <w:tr2bl w:val="nil"/>
                  </w:tcBorders>
                  <w:noWrap w:val="0"/>
                  <w:tcMar>
                    <w:top w:w="15" w:type="dxa"/>
                    <w:left w:w="15" w:type="dxa"/>
                    <w:right w:w="15" w:type="dxa"/>
                  </w:tcMar>
                  <w:vAlign w:val="center"/>
                </w:tcPr>
                <w:p w14:paraId="392163CA">
                  <w:pPr>
                    <w:spacing w:line="240" w:lineRule="auto"/>
                    <w:jc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10</w:t>
                  </w:r>
                </w:p>
              </w:tc>
              <w:tc>
                <w:tcPr>
                  <w:tcW w:w="3115" w:type="dxa"/>
                  <w:tcBorders>
                    <w:tl2br w:val="nil"/>
                    <w:tr2bl w:val="nil"/>
                  </w:tcBorders>
                  <w:noWrap w:val="0"/>
                  <w:tcMar>
                    <w:top w:w="15" w:type="dxa"/>
                    <w:left w:w="15" w:type="dxa"/>
                    <w:right w:w="15" w:type="dxa"/>
                  </w:tcMar>
                  <w:vAlign w:val="center"/>
                </w:tcPr>
                <w:p w14:paraId="0712A420">
                  <w:pPr>
                    <w:spacing w:line="240" w:lineRule="auto"/>
                    <w:jc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围墙长度</w:t>
                  </w:r>
                </w:p>
              </w:tc>
              <w:tc>
                <w:tcPr>
                  <w:tcW w:w="2498" w:type="dxa"/>
                  <w:tcBorders>
                    <w:tl2br w:val="nil"/>
                    <w:tr2bl w:val="nil"/>
                  </w:tcBorders>
                  <w:noWrap w:val="0"/>
                  <w:tcMar>
                    <w:top w:w="15" w:type="dxa"/>
                    <w:left w:w="15" w:type="dxa"/>
                    <w:right w:w="15" w:type="dxa"/>
                  </w:tcMar>
                  <w:vAlign w:val="center"/>
                </w:tcPr>
                <w:p w14:paraId="6E3362F6">
                  <w:pPr>
                    <w:spacing w:line="240" w:lineRule="auto"/>
                    <w:jc w:val="center"/>
                    <w:rPr>
                      <w:rFonts w:hint="default" w:cs="Times New Roman"/>
                      <w:color w:val="auto"/>
                      <w:sz w:val="21"/>
                      <w:szCs w:val="21"/>
                      <w:vertAlign w:val="baseline"/>
                      <w:lang w:val="en-US" w:eastAsia="zh-CN"/>
                    </w:rPr>
                  </w:pPr>
                  <w:r>
                    <w:rPr>
                      <w:rFonts w:hint="eastAsia" w:cs="Times New Roman"/>
                      <w:color w:val="auto"/>
                      <w:sz w:val="21"/>
                      <w:szCs w:val="21"/>
                      <w:vertAlign w:val="baseline"/>
                      <w:lang w:val="en-US" w:eastAsia="zh-CN"/>
                    </w:rPr>
                    <w:t>650m</w:t>
                  </w:r>
                </w:p>
              </w:tc>
              <w:tc>
                <w:tcPr>
                  <w:tcW w:w="1258" w:type="dxa"/>
                  <w:tcBorders>
                    <w:tl2br w:val="nil"/>
                    <w:tr2bl w:val="nil"/>
                  </w:tcBorders>
                  <w:noWrap w:val="0"/>
                  <w:tcMar>
                    <w:top w:w="15" w:type="dxa"/>
                    <w:left w:w="15" w:type="dxa"/>
                    <w:right w:w="15" w:type="dxa"/>
                  </w:tcMar>
                  <w:vAlign w:val="center"/>
                </w:tcPr>
                <w:p w14:paraId="72365578">
                  <w:pPr>
                    <w:spacing w:line="240" w:lineRule="auto"/>
                    <w:jc w:val="center"/>
                    <w:rPr>
                      <w:rFonts w:hint="default" w:cs="Times New Roman"/>
                      <w:color w:val="auto"/>
                      <w:sz w:val="21"/>
                      <w:szCs w:val="21"/>
                      <w:vertAlign w:val="baseline"/>
                      <w:lang w:val="en-US" w:eastAsia="zh-CN"/>
                    </w:rPr>
                  </w:pPr>
                  <w:r>
                    <w:rPr>
                      <w:rFonts w:hint="eastAsia" w:cs="Times New Roman"/>
                      <w:color w:val="auto"/>
                      <w:sz w:val="21"/>
                      <w:szCs w:val="21"/>
                      <w:vertAlign w:val="baseline"/>
                      <w:lang w:val="en-US" w:eastAsia="zh-CN"/>
                    </w:rPr>
                    <w:t>/</w:t>
                  </w:r>
                </w:p>
              </w:tc>
            </w:tr>
            <w:tr w14:paraId="6E15C9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61" w:hRule="atLeast"/>
                <w:jc w:val="center"/>
              </w:trPr>
              <w:tc>
                <w:tcPr>
                  <w:tcW w:w="947" w:type="dxa"/>
                  <w:vMerge w:val="restart"/>
                  <w:tcBorders>
                    <w:tl2br w:val="nil"/>
                    <w:tr2bl w:val="nil"/>
                  </w:tcBorders>
                  <w:noWrap w:val="0"/>
                  <w:tcMar>
                    <w:top w:w="15" w:type="dxa"/>
                    <w:left w:w="15" w:type="dxa"/>
                    <w:right w:w="15" w:type="dxa"/>
                  </w:tcMar>
                  <w:vAlign w:val="center"/>
                </w:tcPr>
                <w:p w14:paraId="7834F726">
                  <w:pPr>
                    <w:spacing w:line="240" w:lineRule="auto"/>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w:t>
                  </w:r>
                  <w:r>
                    <w:rPr>
                      <w:rFonts w:hint="eastAsia" w:cs="Times New Roman"/>
                      <w:color w:val="auto"/>
                      <w:sz w:val="21"/>
                      <w:szCs w:val="21"/>
                      <w:vertAlign w:val="baseline"/>
                      <w:lang w:val="en-US" w:eastAsia="zh-CN"/>
                    </w:rPr>
                    <w:t>1</w:t>
                  </w:r>
                </w:p>
              </w:tc>
              <w:tc>
                <w:tcPr>
                  <w:tcW w:w="3115" w:type="dxa"/>
                  <w:tcBorders>
                    <w:tl2br w:val="nil"/>
                    <w:tr2bl w:val="nil"/>
                  </w:tcBorders>
                  <w:noWrap w:val="0"/>
                  <w:tcMar>
                    <w:top w:w="15" w:type="dxa"/>
                    <w:left w:w="15" w:type="dxa"/>
                    <w:right w:w="15" w:type="dxa"/>
                  </w:tcMar>
                  <w:vAlign w:val="center"/>
                </w:tcPr>
                <w:p w14:paraId="389D4D58">
                  <w:pPr>
                    <w:spacing w:line="240" w:lineRule="auto"/>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挖方量</w:t>
                  </w:r>
                </w:p>
              </w:tc>
              <w:tc>
                <w:tcPr>
                  <w:tcW w:w="2498" w:type="dxa"/>
                  <w:tcBorders>
                    <w:tl2br w:val="nil"/>
                    <w:tr2bl w:val="nil"/>
                  </w:tcBorders>
                  <w:noWrap w:val="0"/>
                  <w:tcMar>
                    <w:top w:w="15" w:type="dxa"/>
                    <w:left w:w="15" w:type="dxa"/>
                    <w:right w:w="15" w:type="dxa"/>
                  </w:tcMar>
                  <w:vAlign w:val="center"/>
                </w:tcPr>
                <w:p w14:paraId="05A1AEBC">
                  <w:pPr>
                    <w:spacing w:line="240" w:lineRule="auto"/>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17500.00m³</w:t>
                  </w:r>
                </w:p>
              </w:tc>
              <w:tc>
                <w:tcPr>
                  <w:tcW w:w="1258" w:type="dxa"/>
                  <w:tcBorders>
                    <w:tl2br w:val="nil"/>
                    <w:tr2bl w:val="nil"/>
                  </w:tcBorders>
                  <w:noWrap w:val="0"/>
                  <w:tcMar>
                    <w:top w:w="15" w:type="dxa"/>
                    <w:left w:w="15" w:type="dxa"/>
                    <w:right w:w="15" w:type="dxa"/>
                  </w:tcMar>
                  <w:vAlign w:val="center"/>
                </w:tcPr>
                <w:p w14:paraId="5FA69C4A">
                  <w:pPr>
                    <w:spacing w:line="240" w:lineRule="auto"/>
                    <w:jc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w:t>
                  </w:r>
                </w:p>
              </w:tc>
            </w:tr>
            <w:tr w14:paraId="274261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84" w:hRule="atLeast"/>
                <w:jc w:val="center"/>
              </w:trPr>
              <w:tc>
                <w:tcPr>
                  <w:tcW w:w="947" w:type="dxa"/>
                  <w:vMerge w:val="continue"/>
                  <w:tcBorders>
                    <w:tl2br w:val="nil"/>
                    <w:tr2bl w:val="nil"/>
                  </w:tcBorders>
                  <w:noWrap w:val="0"/>
                  <w:tcMar>
                    <w:top w:w="15" w:type="dxa"/>
                    <w:left w:w="15" w:type="dxa"/>
                    <w:right w:w="15" w:type="dxa"/>
                  </w:tcMar>
                  <w:vAlign w:val="center"/>
                </w:tcPr>
                <w:p w14:paraId="559AA39B">
                  <w:pPr>
                    <w:spacing w:line="240" w:lineRule="auto"/>
                    <w:jc w:val="center"/>
                    <w:rPr>
                      <w:rFonts w:hint="default" w:ascii="Times New Roman" w:hAnsi="Times New Roman" w:cs="Times New Roman"/>
                      <w:color w:val="auto"/>
                      <w:sz w:val="21"/>
                      <w:szCs w:val="21"/>
                      <w:vertAlign w:val="baseline"/>
                      <w:lang w:val="en-US" w:eastAsia="zh-CN"/>
                    </w:rPr>
                  </w:pPr>
                </w:p>
              </w:tc>
              <w:tc>
                <w:tcPr>
                  <w:tcW w:w="3115" w:type="dxa"/>
                  <w:tcBorders>
                    <w:tl2br w:val="nil"/>
                    <w:tr2bl w:val="nil"/>
                  </w:tcBorders>
                  <w:noWrap w:val="0"/>
                  <w:tcMar>
                    <w:top w:w="15" w:type="dxa"/>
                    <w:left w:w="15" w:type="dxa"/>
                    <w:right w:w="15" w:type="dxa"/>
                  </w:tcMar>
                  <w:vAlign w:val="center"/>
                </w:tcPr>
                <w:p w14:paraId="14C8CA51">
                  <w:pPr>
                    <w:spacing w:line="240" w:lineRule="auto"/>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填方量</w:t>
                  </w:r>
                </w:p>
              </w:tc>
              <w:tc>
                <w:tcPr>
                  <w:tcW w:w="2498" w:type="dxa"/>
                  <w:tcBorders>
                    <w:tl2br w:val="nil"/>
                    <w:tr2bl w:val="nil"/>
                  </w:tcBorders>
                  <w:noWrap w:val="0"/>
                  <w:tcMar>
                    <w:top w:w="15" w:type="dxa"/>
                    <w:left w:w="15" w:type="dxa"/>
                    <w:right w:w="15" w:type="dxa"/>
                  </w:tcMar>
                  <w:vAlign w:val="center"/>
                </w:tcPr>
                <w:p w14:paraId="0044F1B1">
                  <w:pPr>
                    <w:spacing w:line="240" w:lineRule="auto"/>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12538.00m³</w:t>
                  </w:r>
                </w:p>
              </w:tc>
              <w:tc>
                <w:tcPr>
                  <w:tcW w:w="1258" w:type="dxa"/>
                  <w:tcBorders>
                    <w:tl2br w:val="nil"/>
                    <w:tr2bl w:val="nil"/>
                  </w:tcBorders>
                  <w:noWrap w:val="0"/>
                  <w:tcMar>
                    <w:top w:w="15" w:type="dxa"/>
                    <w:left w:w="15" w:type="dxa"/>
                    <w:right w:w="15" w:type="dxa"/>
                  </w:tcMar>
                  <w:vAlign w:val="center"/>
                </w:tcPr>
                <w:p w14:paraId="466701FE">
                  <w:pPr>
                    <w:spacing w:line="240" w:lineRule="auto"/>
                    <w:jc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w:t>
                  </w:r>
                </w:p>
              </w:tc>
            </w:tr>
          </w:tbl>
          <w:p w14:paraId="746C5D81">
            <w:pPr>
              <w:spacing w:line="360" w:lineRule="auto"/>
              <w:ind w:firstLine="482" w:firstLineChars="200"/>
              <w:jc w:val="left"/>
              <w:rPr>
                <w:rFonts w:hint="default"/>
                <w:b/>
                <w:bCs/>
                <w:color w:val="auto"/>
                <w:sz w:val="24"/>
                <w:lang w:val="en-US" w:eastAsia="zh-CN"/>
              </w:rPr>
            </w:pPr>
            <w:r>
              <w:rPr>
                <w:rFonts w:hint="eastAsia"/>
                <w:b/>
                <w:bCs/>
                <w:color w:val="auto"/>
                <w:sz w:val="24"/>
                <w:lang w:val="en-US" w:eastAsia="zh-CN"/>
              </w:rPr>
              <w:t>3、污水量预测</w:t>
            </w:r>
          </w:p>
          <w:p w14:paraId="262279B7">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eastAsia"/>
                <w:b w:val="0"/>
                <w:bCs w:val="0"/>
                <w:color w:val="auto"/>
                <w:sz w:val="24"/>
                <w:lang w:val="en-US" w:eastAsia="zh-CN"/>
              </w:rPr>
            </w:pPr>
            <w:r>
              <w:rPr>
                <w:rFonts w:hint="eastAsia"/>
                <w:b w:val="0"/>
                <w:bCs w:val="0"/>
                <w:color w:val="auto"/>
                <w:sz w:val="24"/>
                <w:lang w:val="en-US" w:eastAsia="zh-CN"/>
              </w:rPr>
              <w:t>高铁新城污水处理厂主要处理高铁新城片区居民生活污水，根据调研，依据县城人口调查数据显示，目前高铁新城片区常住人口约2.0万人，新城区目前正在大力发展中，考虑目前人口发展态势，预测高铁新城片区2028年人口约6.0万人，2035年人口约10万人。</w:t>
            </w:r>
          </w:p>
          <w:p w14:paraId="67562EE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b w:val="0"/>
                <w:bCs w:val="0"/>
                <w:color w:val="auto"/>
                <w:sz w:val="24"/>
                <w:lang w:val="en-US" w:eastAsia="zh-CN"/>
              </w:rPr>
            </w:pPr>
            <w:r>
              <w:rPr>
                <w:rFonts w:hint="eastAsia"/>
                <w:b w:val="0"/>
                <w:bCs w:val="0"/>
                <w:color w:val="auto"/>
                <w:sz w:val="24"/>
                <w:lang w:val="en-US" w:eastAsia="zh-CN"/>
              </w:rPr>
              <w:t>根据《城市给水工程规划规范》（GB50282-2016），龙山县属于规划Ⅱ型小城市，取龙山县城平均日综合生活用水量指标如下：</w:t>
            </w:r>
          </w:p>
          <w:p w14:paraId="5D5A4D5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b w:val="0"/>
                <w:bCs w:val="0"/>
                <w:color w:val="auto"/>
                <w:sz w:val="24"/>
                <w:lang w:val="en-US" w:eastAsia="zh-CN"/>
              </w:rPr>
            </w:pPr>
            <w:r>
              <w:rPr>
                <w:rFonts w:hint="eastAsia"/>
                <w:b w:val="0"/>
                <w:bCs w:val="0"/>
                <w:color w:val="auto"/>
                <w:sz w:val="24"/>
                <w:lang w:val="en-US" w:eastAsia="zh-CN"/>
              </w:rPr>
              <w:t>2028年：220L/（cap·d）；2035年：230L/（cap·d）。按照《城市排水工程规划规范》（GB50318-2017），近远期污水排放系数取0.90，近期市政管网收集率按90%考虑，远期市政管网收集率按95%考虑，地下水入渗率取15%。则高铁新城片区预测近期（2028年）生活污水量为1.23万m³/d，远期（2035年）生活污水量为2.26万m³/d。</w:t>
            </w:r>
          </w:p>
          <w:p w14:paraId="20A9769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b w:val="0"/>
                <w:bCs w:val="0"/>
                <w:color w:val="auto"/>
                <w:sz w:val="24"/>
                <w:lang w:val="en-US" w:eastAsia="zh-CN"/>
              </w:rPr>
            </w:pPr>
            <w:r>
              <w:rPr>
                <w:rFonts w:hint="eastAsia"/>
                <w:b w:val="0"/>
                <w:bCs w:val="0"/>
                <w:color w:val="auto"/>
                <w:sz w:val="24"/>
                <w:lang w:val="en-US" w:eastAsia="zh-CN"/>
              </w:rPr>
              <w:t>根据上述污水量预测及项目可研及初步设计文件， 近期污水处理规模如下表所示：</w:t>
            </w:r>
          </w:p>
          <w:p w14:paraId="3F43DB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4"/>
              </w:rPr>
            </w:pPr>
            <w:r>
              <w:rPr>
                <w:b/>
                <w:bCs/>
                <w:color w:val="auto"/>
                <w:szCs w:val="21"/>
              </w:rPr>
              <w:t>表2-</w:t>
            </w:r>
            <w:r>
              <w:rPr>
                <w:rFonts w:hint="eastAsia"/>
                <w:b/>
                <w:bCs/>
                <w:color w:val="auto"/>
                <w:szCs w:val="21"/>
                <w:lang w:val="en-US" w:eastAsia="zh-CN"/>
              </w:rPr>
              <w:t>4</w:t>
            </w:r>
            <w:r>
              <w:rPr>
                <w:b/>
                <w:bCs/>
                <w:color w:val="auto"/>
                <w:szCs w:val="21"/>
              </w:rPr>
              <w:t xml:space="preserve"> </w:t>
            </w:r>
            <w:r>
              <w:rPr>
                <w:rFonts w:hint="eastAsia"/>
                <w:b/>
                <w:bCs/>
                <w:color w:val="auto"/>
                <w:szCs w:val="21"/>
                <w:lang w:val="en-US" w:eastAsia="zh-CN"/>
              </w:rPr>
              <w:t>污水厂建设规模</w:t>
            </w:r>
          </w:p>
          <w:tbl>
            <w:tblPr>
              <w:tblStyle w:val="33"/>
              <w:tblW w:w="80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98"/>
              <w:gridCol w:w="2912"/>
              <w:gridCol w:w="3288"/>
            </w:tblGrid>
            <w:tr w14:paraId="11EBBC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1898" w:type="dxa"/>
                  <w:tcBorders>
                    <w:tl2br w:val="nil"/>
                    <w:tr2bl w:val="nil"/>
                  </w:tcBorders>
                  <w:vAlign w:val="center"/>
                </w:tcPr>
                <w:p w14:paraId="291C6231">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人口数量（人）</w:t>
                  </w:r>
                </w:p>
              </w:tc>
              <w:tc>
                <w:tcPr>
                  <w:tcW w:w="2912" w:type="dxa"/>
                  <w:tcBorders>
                    <w:tl2br w:val="nil"/>
                    <w:tr2bl w:val="nil"/>
                  </w:tcBorders>
                  <w:vAlign w:val="center"/>
                </w:tcPr>
                <w:p w14:paraId="665DBEC7">
                  <w:pPr>
                    <w:spacing w:line="240" w:lineRule="auto"/>
                    <w:jc w:val="center"/>
                    <w:rPr>
                      <w:rFonts w:hint="default" w:eastAsia="宋体"/>
                      <w:color w:val="auto"/>
                      <w:sz w:val="21"/>
                      <w:szCs w:val="21"/>
                      <w:vertAlign w:val="baseline"/>
                      <w:lang w:val="en-US" w:eastAsia="zh-CN"/>
                    </w:rPr>
                  </w:pPr>
                  <w:r>
                    <w:rPr>
                      <w:rFonts w:hint="default" w:eastAsia="宋体"/>
                      <w:color w:val="auto"/>
                      <w:sz w:val="21"/>
                      <w:szCs w:val="21"/>
                      <w:vertAlign w:val="baseline"/>
                      <w:lang w:val="en-US" w:eastAsia="zh-CN"/>
                    </w:rPr>
                    <w:t>预测污水量近期 （</w:t>
                  </w:r>
                  <w:r>
                    <w:rPr>
                      <w:rFonts w:hint="eastAsia"/>
                      <w:color w:val="auto"/>
                      <w:sz w:val="21"/>
                      <w:szCs w:val="21"/>
                      <w:vertAlign w:val="baseline"/>
                      <w:lang w:val="en-US" w:eastAsia="zh-CN"/>
                    </w:rPr>
                    <w:t>万</w:t>
                  </w:r>
                  <w:r>
                    <w:rPr>
                      <w:rFonts w:hint="default" w:eastAsia="宋体"/>
                      <w:color w:val="auto"/>
                      <w:sz w:val="21"/>
                      <w:szCs w:val="21"/>
                      <w:vertAlign w:val="baseline"/>
                      <w:lang w:val="en-US" w:eastAsia="zh-CN"/>
                    </w:rPr>
                    <w:t>m</w:t>
                  </w:r>
                  <w:r>
                    <w:rPr>
                      <w:rFonts w:hint="default" w:eastAsia="宋体"/>
                      <w:color w:val="auto"/>
                      <w:sz w:val="21"/>
                      <w:szCs w:val="21"/>
                      <w:vertAlign w:val="superscript"/>
                      <w:lang w:val="en-US" w:eastAsia="zh-CN"/>
                    </w:rPr>
                    <w:t>3</w:t>
                  </w:r>
                  <w:r>
                    <w:rPr>
                      <w:rFonts w:hint="default" w:eastAsia="宋体"/>
                      <w:color w:val="auto"/>
                      <w:sz w:val="21"/>
                      <w:szCs w:val="21"/>
                      <w:vertAlign w:val="baseline"/>
                      <w:lang w:val="en-US" w:eastAsia="zh-CN"/>
                    </w:rPr>
                    <w:t>/d）</w:t>
                  </w:r>
                </w:p>
              </w:tc>
              <w:tc>
                <w:tcPr>
                  <w:tcW w:w="3288" w:type="dxa"/>
                  <w:tcBorders>
                    <w:tl2br w:val="nil"/>
                    <w:tr2bl w:val="nil"/>
                  </w:tcBorders>
                  <w:vAlign w:val="center"/>
                </w:tcPr>
                <w:p w14:paraId="146CDC1C">
                  <w:pPr>
                    <w:spacing w:line="240" w:lineRule="auto"/>
                    <w:jc w:val="center"/>
                    <w:rPr>
                      <w:rFonts w:hint="default" w:eastAsia="宋体"/>
                      <w:color w:val="auto"/>
                      <w:sz w:val="21"/>
                      <w:szCs w:val="21"/>
                      <w:vertAlign w:val="baseline"/>
                      <w:lang w:val="en-US" w:eastAsia="zh-CN"/>
                    </w:rPr>
                  </w:pPr>
                  <w:r>
                    <w:rPr>
                      <w:rFonts w:hint="default" w:eastAsia="宋体"/>
                      <w:color w:val="auto"/>
                      <w:sz w:val="21"/>
                      <w:szCs w:val="21"/>
                      <w:vertAlign w:val="baseline"/>
                      <w:lang w:val="en-US" w:eastAsia="zh-CN"/>
                    </w:rPr>
                    <w:t>污水厂处理规模 （</w:t>
                  </w:r>
                  <w:r>
                    <w:rPr>
                      <w:rFonts w:hint="eastAsia"/>
                      <w:color w:val="auto"/>
                      <w:sz w:val="21"/>
                      <w:szCs w:val="21"/>
                      <w:vertAlign w:val="baseline"/>
                      <w:lang w:val="en-US" w:eastAsia="zh-CN"/>
                    </w:rPr>
                    <w:t>万</w:t>
                  </w:r>
                  <w:r>
                    <w:rPr>
                      <w:rFonts w:hint="default" w:eastAsia="宋体"/>
                      <w:color w:val="auto"/>
                      <w:sz w:val="21"/>
                      <w:szCs w:val="21"/>
                      <w:vertAlign w:val="baseline"/>
                      <w:lang w:val="en-US" w:eastAsia="zh-CN"/>
                    </w:rPr>
                    <w:t>m</w:t>
                  </w:r>
                  <w:r>
                    <w:rPr>
                      <w:rFonts w:hint="default" w:eastAsia="宋体"/>
                      <w:color w:val="auto"/>
                      <w:sz w:val="21"/>
                      <w:szCs w:val="21"/>
                      <w:vertAlign w:val="superscript"/>
                      <w:lang w:val="en-US" w:eastAsia="zh-CN"/>
                    </w:rPr>
                    <w:t>3</w:t>
                  </w:r>
                  <w:r>
                    <w:rPr>
                      <w:rFonts w:hint="default" w:eastAsia="宋体"/>
                      <w:color w:val="auto"/>
                      <w:sz w:val="21"/>
                      <w:szCs w:val="21"/>
                      <w:vertAlign w:val="baseline"/>
                      <w:lang w:val="en-US" w:eastAsia="zh-CN"/>
                    </w:rPr>
                    <w:t>/d）</w:t>
                  </w:r>
                </w:p>
              </w:tc>
            </w:tr>
            <w:tr w14:paraId="023827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1898" w:type="dxa"/>
                  <w:tcBorders>
                    <w:tl2br w:val="nil"/>
                    <w:tr2bl w:val="nil"/>
                  </w:tcBorders>
                  <w:vAlign w:val="center"/>
                </w:tcPr>
                <w:p w14:paraId="2D3E5209">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60000</w:t>
                  </w:r>
                </w:p>
              </w:tc>
              <w:tc>
                <w:tcPr>
                  <w:tcW w:w="2912" w:type="dxa"/>
                  <w:tcBorders>
                    <w:tl2br w:val="nil"/>
                    <w:tr2bl w:val="nil"/>
                  </w:tcBorders>
                  <w:vAlign w:val="center"/>
                </w:tcPr>
                <w:p w14:paraId="32EE61FA">
                  <w:pPr>
                    <w:spacing w:line="240" w:lineRule="auto"/>
                    <w:jc w:val="center"/>
                    <w:rPr>
                      <w:rFonts w:hint="default" w:eastAsia="宋体"/>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1.23</w:t>
                  </w:r>
                </w:p>
              </w:tc>
              <w:tc>
                <w:tcPr>
                  <w:tcW w:w="3288" w:type="dxa"/>
                  <w:tcBorders>
                    <w:tl2br w:val="nil"/>
                    <w:tr2bl w:val="nil"/>
                  </w:tcBorders>
                  <w:vAlign w:val="center"/>
                </w:tcPr>
                <w:p w14:paraId="59EECADC">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1.5</w:t>
                  </w:r>
                </w:p>
              </w:tc>
            </w:tr>
            <w:tr w14:paraId="166CF8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1898" w:type="dxa"/>
                  <w:tcBorders>
                    <w:tl2br w:val="nil"/>
                    <w:tr2bl w:val="nil"/>
                  </w:tcBorders>
                  <w:vAlign w:val="center"/>
                </w:tcPr>
                <w:p w14:paraId="0E30CE4A">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100000</w:t>
                  </w:r>
                </w:p>
              </w:tc>
              <w:tc>
                <w:tcPr>
                  <w:tcW w:w="2912" w:type="dxa"/>
                  <w:tcBorders>
                    <w:tl2br w:val="nil"/>
                    <w:tr2bl w:val="nil"/>
                  </w:tcBorders>
                  <w:vAlign w:val="center"/>
                </w:tcPr>
                <w:p w14:paraId="525B1DBB">
                  <w:pPr>
                    <w:spacing w:line="240" w:lineRule="auto"/>
                    <w:jc w:val="center"/>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2.26</w:t>
                  </w:r>
                </w:p>
              </w:tc>
              <w:tc>
                <w:tcPr>
                  <w:tcW w:w="3288" w:type="dxa"/>
                  <w:tcBorders>
                    <w:tl2br w:val="nil"/>
                    <w:tr2bl w:val="nil"/>
                  </w:tcBorders>
                  <w:vAlign w:val="center"/>
                </w:tcPr>
                <w:p w14:paraId="0F9FAE53">
                  <w:pPr>
                    <w:spacing w:line="240" w:lineRule="auto"/>
                    <w:jc w:val="center"/>
                    <w:rPr>
                      <w:rFonts w:hint="default"/>
                      <w:color w:val="auto"/>
                      <w:sz w:val="21"/>
                      <w:szCs w:val="21"/>
                      <w:vertAlign w:val="baseline"/>
                      <w:lang w:val="en-US" w:eastAsia="zh-CN"/>
                    </w:rPr>
                  </w:pPr>
                  <w:r>
                    <w:rPr>
                      <w:rFonts w:hint="eastAsia"/>
                      <w:color w:val="auto"/>
                      <w:sz w:val="21"/>
                      <w:szCs w:val="21"/>
                      <w:vertAlign w:val="baseline"/>
                      <w:lang w:val="en-US" w:eastAsia="zh-CN"/>
                    </w:rPr>
                    <w:t>2.5</w:t>
                  </w:r>
                </w:p>
              </w:tc>
            </w:tr>
          </w:tbl>
          <w:p w14:paraId="377ED0DE">
            <w:pPr>
              <w:spacing w:line="360" w:lineRule="auto"/>
              <w:ind w:firstLine="482" w:firstLineChars="200"/>
              <w:jc w:val="left"/>
              <w:rPr>
                <w:rFonts w:hint="default" w:eastAsia="宋体"/>
                <w:b/>
                <w:bCs/>
                <w:color w:val="auto"/>
                <w:sz w:val="24"/>
                <w:lang w:val="en-US" w:eastAsia="zh-CN"/>
              </w:rPr>
            </w:pPr>
            <w:r>
              <w:rPr>
                <w:rFonts w:hint="eastAsia"/>
                <w:b/>
                <w:bCs/>
                <w:color w:val="auto"/>
                <w:sz w:val="24"/>
                <w:lang w:val="en-US" w:eastAsia="zh-CN"/>
              </w:rPr>
              <w:t>4</w:t>
            </w:r>
            <w:r>
              <w:rPr>
                <w:b/>
                <w:bCs/>
                <w:color w:val="auto"/>
                <w:sz w:val="24"/>
              </w:rPr>
              <w:t>、</w:t>
            </w:r>
            <w:r>
              <w:rPr>
                <w:rFonts w:hint="eastAsia"/>
                <w:b/>
                <w:bCs/>
                <w:color w:val="auto"/>
                <w:sz w:val="24"/>
                <w:lang w:val="en-US" w:eastAsia="zh-CN"/>
              </w:rPr>
              <w:t>设计进出水水质</w:t>
            </w:r>
          </w:p>
          <w:p w14:paraId="2DC66F91">
            <w:pPr>
              <w:spacing w:line="360" w:lineRule="auto"/>
              <w:ind w:firstLine="600" w:firstLineChars="250"/>
              <w:jc w:val="left"/>
              <w:rPr>
                <w:rFonts w:hint="default"/>
                <w:color w:val="auto"/>
                <w:sz w:val="24"/>
                <w:lang w:val="en-US" w:eastAsia="zh-CN"/>
              </w:rPr>
            </w:pPr>
            <w:r>
              <w:rPr>
                <w:rFonts w:hint="eastAsia"/>
                <w:color w:val="auto"/>
                <w:sz w:val="24"/>
                <w:lang w:val="en-US" w:eastAsia="zh-CN"/>
              </w:rPr>
              <w:t>根据项目可研报告可知，项目不接受高铁新区工业废水，本项目收纳废水为生活污水，根据湖南省生态环境厅湘环函[2019]33号公告，湖南省县级以上新建城镇污水处理厂涉及生态环境敏感区内新建的城镇污水处理厂，主要水污染物排放按《湖南省城镇污水处理厂主要水污染物排放标准》（DB43/T 1546-2018）表1一级标准执行，其他区域新建污水处理厂，其主要水污染物按《湖南省城镇污水处理厂主要水污染物排放标准》（DB43/T 1546-2018）表1二级标准执行，其余指标按《城镇污水处理厂污染物排放标准》（GB18918-2002）一级标准的A标准执行，本项目出水水质中COD、NH</w:t>
            </w:r>
            <w:r>
              <w:rPr>
                <w:rFonts w:hint="eastAsia"/>
                <w:color w:val="auto"/>
                <w:sz w:val="24"/>
                <w:vertAlign w:val="subscript"/>
                <w:lang w:val="en-US" w:eastAsia="zh-CN"/>
              </w:rPr>
              <w:t>3</w:t>
            </w:r>
            <w:r>
              <w:rPr>
                <w:rFonts w:hint="eastAsia"/>
                <w:color w:val="auto"/>
                <w:sz w:val="24"/>
                <w:lang w:val="en-US" w:eastAsia="zh-CN"/>
              </w:rPr>
              <w:t>-N、TP、TN按《湖南省城镇污水处理厂主要水污染物排放标准》（DB43/T 1546-2018）表1二级标准执行，其余指标按《城镇污水处理厂污染物排放标准》（GB18918-2002）一级标准的A标准执行。污水处理厂进出水水质见下表：</w:t>
            </w:r>
          </w:p>
          <w:p w14:paraId="4E0730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4"/>
              </w:rPr>
            </w:pPr>
            <w:r>
              <w:rPr>
                <w:b/>
                <w:bCs/>
                <w:color w:val="auto"/>
                <w:szCs w:val="21"/>
              </w:rPr>
              <w:t>表2-</w:t>
            </w:r>
            <w:r>
              <w:rPr>
                <w:rFonts w:hint="eastAsia"/>
                <w:b/>
                <w:bCs/>
                <w:color w:val="auto"/>
                <w:szCs w:val="21"/>
                <w:lang w:val="en-US" w:eastAsia="zh-CN"/>
              </w:rPr>
              <w:t>5</w:t>
            </w:r>
            <w:r>
              <w:rPr>
                <w:b/>
                <w:bCs/>
                <w:color w:val="auto"/>
                <w:szCs w:val="21"/>
              </w:rPr>
              <w:t xml:space="preserve">  </w:t>
            </w:r>
            <w:r>
              <w:rPr>
                <w:rFonts w:hint="eastAsia"/>
                <w:b/>
                <w:bCs/>
                <w:color w:val="auto"/>
                <w:szCs w:val="21"/>
                <w:lang w:val="en-US" w:eastAsia="zh-CN"/>
              </w:rPr>
              <w:t xml:space="preserve"> 污水处理厂进出水水质（单位：除pH、大肠杆菌外均为mg/L）</w:t>
            </w:r>
          </w:p>
          <w:tbl>
            <w:tblPr>
              <w:tblStyle w:val="33"/>
              <w:tblW w:w="860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5"/>
              <w:gridCol w:w="874"/>
              <w:gridCol w:w="874"/>
              <w:gridCol w:w="874"/>
              <w:gridCol w:w="874"/>
              <w:gridCol w:w="874"/>
              <w:gridCol w:w="874"/>
              <w:gridCol w:w="875"/>
              <w:gridCol w:w="1337"/>
            </w:tblGrid>
            <w:tr w14:paraId="6264B6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5" w:type="dxa"/>
                  <w:tcBorders>
                    <w:tl2br w:val="nil"/>
                    <w:tr2bl w:val="nil"/>
                  </w:tcBorders>
                  <w:vAlign w:val="center"/>
                </w:tcPr>
                <w:p w14:paraId="40456DEE">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项目</w:t>
                  </w:r>
                </w:p>
              </w:tc>
              <w:tc>
                <w:tcPr>
                  <w:tcW w:w="874" w:type="dxa"/>
                  <w:tcBorders>
                    <w:tl2br w:val="nil"/>
                    <w:tr2bl w:val="nil"/>
                  </w:tcBorders>
                  <w:vAlign w:val="center"/>
                </w:tcPr>
                <w:p w14:paraId="5625DFF0">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COD</w:t>
                  </w:r>
                  <w:r>
                    <w:rPr>
                      <w:rFonts w:hint="eastAsia"/>
                      <w:color w:val="auto"/>
                      <w:sz w:val="21"/>
                      <w:szCs w:val="21"/>
                      <w:vertAlign w:val="subscript"/>
                      <w:lang w:val="en-US" w:eastAsia="zh-CN"/>
                    </w:rPr>
                    <w:t>Cr</w:t>
                  </w:r>
                </w:p>
              </w:tc>
              <w:tc>
                <w:tcPr>
                  <w:tcW w:w="874" w:type="dxa"/>
                  <w:tcBorders>
                    <w:tl2br w:val="nil"/>
                    <w:tr2bl w:val="nil"/>
                  </w:tcBorders>
                  <w:vAlign w:val="center"/>
                </w:tcPr>
                <w:p w14:paraId="7B96D02D">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BOD</w:t>
                  </w:r>
                  <w:r>
                    <w:rPr>
                      <w:rFonts w:hint="eastAsia"/>
                      <w:color w:val="auto"/>
                      <w:sz w:val="21"/>
                      <w:szCs w:val="21"/>
                      <w:vertAlign w:val="subscript"/>
                      <w:lang w:val="en-US" w:eastAsia="zh-CN"/>
                    </w:rPr>
                    <w:t>5</w:t>
                  </w:r>
                </w:p>
              </w:tc>
              <w:tc>
                <w:tcPr>
                  <w:tcW w:w="874" w:type="dxa"/>
                  <w:tcBorders>
                    <w:tl2br w:val="nil"/>
                    <w:tr2bl w:val="nil"/>
                  </w:tcBorders>
                  <w:vAlign w:val="center"/>
                </w:tcPr>
                <w:p w14:paraId="3791674A">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SS</w:t>
                  </w:r>
                </w:p>
              </w:tc>
              <w:tc>
                <w:tcPr>
                  <w:tcW w:w="874" w:type="dxa"/>
                  <w:tcBorders>
                    <w:tl2br w:val="nil"/>
                    <w:tr2bl w:val="nil"/>
                  </w:tcBorders>
                  <w:vAlign w:val="center"/>
                </w:tcPr>
                <w:p w14:paraId="2BF4AF9D">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TN</w:t>
                  </w:r>
                </w:p>
              </w:tc>
              <w:tc>
                <w:tcPr>
                  <w:tcW w:w="874" w:type="dxa"/>
                  <w:tcBorders>
                    <w:tl2br w:val="nil"/>
                    <w:tr2bl w:val="nil"/>
                  </w:tcBorders>
                  <w:vAlign w:val="center"/>
                </w:tcPr>
                <w:p w14:paraId="5C7684CD">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NH</w:t>
                  </w:r>
                  <w:r>
                    <w:rPr>
                      <w:rFonts w:hint="eastAsia"/>
                      <w:color w:val="auto"/>
                      <w:sz w:val="21"/>
                      <w:szCs w:val="21"/>
                      <w:vertAlign w:val="subscript"/>
                      <w:lang w:val="en-US" w:eastAsia="zh-CN"/>
                    </w:rPr>
                    <w:t>3</w:t>
                  </w:r>
                  <w:r>
                    <w:rPr>
                      <w:rFonts w:hint="eastAsia"/>
                      <w:color w:val="auto"/>
                      <w:sz w:val="21"/>
                      <w:szCs w:val="21"/>
                      <w:vertAlign w:val="baseline"/>
                      <w:lang w:val="en-US" w:eastAsia="zh-CN"/>
                    </w:rPr>
                    <w:t>-N</w:t>
                  </w:r>
                </w:p>
              </w:tc>
              <w:tc>
                <w:tcPr>
                  <w:tcW w:w="874" w:type="dxa"/>
                  <w:tcBorders>
                    <w:tl2br w:val="nil"/>
                    <w:tr2bl w:val="nil"/>
                  </w:tcBorders>
                  <w:vAlign w:val="center"/>
                </w:tcPr>
                <w:p w14:paraId="1D075867">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TP</w:t>
                  </w:r>
                </w:p>
              </w:tc>
              <w:tc>
                <w:tcPr>
                  <w:tcW w:w="875" w:type="dxa"/>
                  <w:tcBorders>
                    <w:tl2br w:val="nil"/>
                    <w:tr2bl w:val="nil"/>
                  </w:tcBorders>
                  <w:vAlign w:val="center"/>
                </w:tcPr>
                <w:p w14:paraId="52304EDA">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pH</w:t>
                  </w:r>
                </w:p>
              </w:tc>
              <w:tc>
                <w:tcPr>
                  <w:tcW w:w="1337" w:type="dxa"/>
                  <w:tcBorders>
                    <w:tl2br w:val="nil"/>
                    <w:tr2bl w:val="nil"/>
                  </w:tcBorders>
                  <w:vAlign w:val="center"/>
                </w:tcPr>
                <w:p w14:paraId="79F662D5">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大肠杆菌数</w:t>
                  </w:r>
                </w:p>
              </w:tc>
            </w:tr>
            <w:tr w14:paraId="01A442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5" w:type="dxa"/>
                  <w:tcBorders>
                    <w:tl2br w:val="nil"/>
                    <w:tr2bl w:val="nil"/>
                  </w:tcBorders>
                  <w:vAlign w:val="center"/>
                </w:tcPr>
                <w:p w14:paraId="22E37E24">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进水</w:t>
                  </w:r>
                </w:p>
              </w:tc>
              <w:tc>
                <w:tcPr>
                  <w:tcW w:w="874" w:type="dxa"/>
                  <w:tcBorders>
                    <w:tl2br w:val="nil"/>
                    <w:tr2bl w:val="nil"/>
                  </w:tcBorders>
                  <w:vAlign w:val="center"/>
                </w:tcPr>
                <w:p w14:paraId="1185D845">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250</w:t>
                  </w:r>
                </w:p>
              </w:tc>
              <w:tc>
                <w:tcPr>
                  <w:tcW w:w="874" w:type="dxa"/>
                  <w:tcBorders>
                    <w:tl2br w:val="nil"/>
                    <w:tr2bl w:val="nil"/>
                  </w:tcBorders>
                  <w:vAlign w:val="center"/>
                </w:tcPr>
                <w:p w14:paraId="2B86C088">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130</w:t>
                  </w:r>
                </w:p>
              </w:tc>
              <w:tc>
                <w:tcPr>
                  <w:tcW w:w="874" w:type="dxa"/>
                  <w:tcBorders>
                    <w:tl2br w:val="nil"/>
                    <w:tr2bl w:val="nil"/>
                  </w:tcBorders>
                  <w:vAlign w:val="center"/>
                </w:tcPr>
                <w:p w14:paraId="4655402F">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180</w:t>
                  </w:r>
                </w:p>
              </w:tc>
              <w:tc>
                <w:tcPr>
                  <w:tcW w:w="874" w:type="dxa"/>
                  <w:tcBorders>
                    <w:tl2br w:val="nil"/>
                    <w:tr2bl w:val="nil"/>
                  </w:tcBorders>
                  <w:vAlign w:val="center"/>
                </w:tcPr>
                <w:p w14:paraId="119B40C2">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40</w:t>
                  </w:r>
                </w:p>
              </w:tc>
              <w:tc>
                <w:tcPr>
                  <w:tcW w:w="874" w:type="dxa"/>
                  <w:tcBorders>
                    <w:tl2br w:val="nil"/>
                    <w:tr2bl w:val="nil"/>
                  </w:tcBorders>
                  <w:vAlign w:val="center"/>
                </w:tcPr>
                <w:p w14:paraId="5D31175A">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30</w:t>
                  </w:r>
                </w:p>
              </w:tc>
              <w:tc>
                <w:tcPr>
                  <w:tcW w:w="874" w:type="dxa"/>
                  <w:tcBorders>
                    <w:tl2br w:val="nil"/>
                    <w:tr2bl w:val="nil"/>
                  </w:tcBorders>
                  <w:vAlign w:val="center"/>
                </w:tcPr>
                <w:p w14:paraId="4F0C26AF">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3.5</w:t>
                  </w:r>
                </w:p>
              </w:tc>
              <w:tc>
                <w:tcPr>
                  <w:tcW w:w="875" w:type="dxa"/>
                  <w:tcBorders>
                    <w:tl2br w:val="nil"/>
                    <w:tr2bl w:val="nil"/>
                  </w:tcBorders>
                  <w:vAlign w:val="center"/>
                </w:tcPr>
                <w:p w14:paraId="7E39B316">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w:t>
                  </w:r>
                </w:p>
              </w:tc>
              <w:tc>
                <w:tcPr>
                  <w:tcW w:w="1337" w:type="dxa"/>
                  <w:tcBorders>
                    <w:tl2br w:val="nil"/>
                    <w:tr2bl w:val="nil"/>
                  </w:tcBorders>
                  <w:vAlign w:val="center"/>
                </w:tcPr>
                <w:p w14:paraId="70870458">
                  <w:pPr>
                    <w:spacing w:line="240" w:lineRule="auto"/>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w:t>
                  </w:r>
                </w:p>
              </w:tc>
            </w:tr>
            <w:tr w14:paraId="4622FA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5" w:type="dxa"/>
                  <w:tcBorders>
                    <w:tl2br w:val="nil"/>
                    <w:tr2bl w:val="nil"/>
                  </w:tcBorders>
                  <w:vAlign w:val="center"/>
                </w:tcPr>
                <w:p w14:paraId="055EE91A">
                  <w:pPr>
                    <w:spacing w:line="240" w:lineRule="auto"/>
                    <w:jc w:val="center"/>
                    <w:rPr>
                      <w:rFonts w:hint="default"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出水</w:t>
                  </w:r>
                </w:p>
              </w:tc>
              <w:tc>
                <w:tcPr>
                  <w:tcW w:w="874" w:type="dxa"/>
                  <w:tcBorders>
                    <w:tl2br w:val="nil"/>
                    <w:tr2bl w:val="nil"/>
                  </w:tcBorders>
                  <w:vAlign w:val="center"/>
                </w:tcPr>
                <w:p w14:paraId="5501F69B">
                  <w:pPr>
                    <w:spacing w:line="240" w:lineRule="auto"/>
                    <w:jc w:val="center"/>
                    <w:rPr>
                      <w:rFonts w:hint="default" w:eastAsia="宋体"/>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w:t>
                  </w:r>
                  <w:r>
                    <w:rPr>
                      <w:rFonts w:hint="eastAsia"/>
                      <w:color w:val="auto"/>
                      <w:sz w:val="21"/>
                      <w:szCs w:val="21"/>
                      <w:highlight w:val="none"/>
                      <w:vertAlign w:val="baseline"/>
                      <w:lang w:val="en-US" w:eastAsia="zh-CN"/>
                    </w:rPr>
                    <w:t>40</w:t>
                  </w:r>
                </w:p>
              </w:tc>
              <w:tc>
                <w:tcPr>
                  <w:tcW w:w="874" w:type="dxa"/>
                  <w:tcBorders>
                    <w:tl2br w:val="nil"/>
                    <w:tr2bl w:val="nil"/>
                  </w:tcBorders>
                  <w:vAlign w:val="center"/>
                </w:tcPr>
                <w:p w14:paraId="7CBD1A10">
                  <w:pPr>
                    <w:spacing w:line="240" w:lineRule="auto"/>
                    <w:jc w:val="center"/>
                    <w:rPr>
                      <w:rFonts w:hint="default" w:eastAsia="宋体"/>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w:t>
                  </w:r>
                  <w:r>
                    <w:rPr>
                      <w:rFonts w:hint="eastAsia"/>
                      <w:color w:val="auto"/>
                      <w:sz w:val="21"/>
                      <w:szCs w:val="21"/>
                      <w:highlight w:val="none"/>
                      <w:vertAlign w:val="baseline"/>
                      <w:lang w:val="en-US" w:eastAsia="zh-CN"/>
                    </w:rPr>
                    <w:t>10</w:t>
                  </w:r>
                </w:p>
              </w:tc>
              <w:tc>
                <w:tcPr>
                  <w:tcW w:w="874" w:type="dxa"/>
                  <w:tcBorders>
                    <w:tl2br w:val="nil"/>
                    <w:tr2bl w:val="nil"/>
                  </w:tcBorders>
                  <w:vAlign w:val="center"/>
                </w:tcPr>
                <w:p w14:paraId="485A65D6">
                  <w:pPr>
                    <w:spacing w:line="240" w:lineRule="auto"/>
                    <w:jc w:val="center"/>
                    <w:rPr>
                      <w:rFonts w:hint="default" w:eastAsia="宋体"/>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w:t>
                  </w:r>
                  <w:r>
                    <w:rPr>
                      <w:rFonts w:hint="eastAsia"/>
                      <w:color w:val="auto"/>
                      <w:sz w:val="21"/>
                      <w:szCs w:val="21"/>
                      <w:highlight w:val="none"/>
                      <w:vertAlign w:val="baseline"/>
                      <w:lang w:val="en-US" w:eastAsia="zh-CN"/>
                    </w:rPr>
                    <w:t>10</w:t>
                  </w:r>
                </w:p>
              </w:tc>
              <w:tc>
                <w:tcPr>
                  <w:tcW w:w="874" w:type="dxa"/>
                  <w:tcBorders>
                    <w:tl2br w:val="nil"/>
                    <w:tr2bl w:val="nil"/>
                  </w:tcBorders>
                  <w:vAlign w:val="center"/>
                </w:tcPr>
                <w:p w14:paraId="1E2B0E10">
                  <w:pPr>
                    <w:spacing w:line="240" w:lineRule="auto"/>
                    <w:jc w:val="center"/>
                    <w:rPr>
                      <w:rFonts w:hint="default" w:eastAsia="宋体"/>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w:t>
                  </w:r>
                  <w:r>
                    <w:rPr>
                      <w:rFonts w:hint="eastAsia"/>
                      <w:color w:val="auto"/>
                      <w:sz w:val="21"/>
                      <w:szCs w:val="21"/>
                      <w:highlight w:val="none"/>
                      <w:vertAlign w:val="baseline"/>
                      <w:lang w:val="en-US" w:eastAsia="zh-CN"/>
                    </w:rPr>
                    <w:t>15</w:t>
                  </w:r>
                </w:p>
              </w:tc>
              <w:tc>
                <w:tcPr>
                  <w:tcW w:w="874" w:type="dxa"/>
                  <w:tcBorders>
                    <w:tl2br w:val="nil"/>
                    <w:tr2bl w:val="nil"/>
                  </w:tcBorders>
                  <w:vAlign w:val="center"/>
                </w:tcPr>
                <w:p w14:paraId="623AB506">
                  <w:pPr>
                    <w:spacing w:line="240" w:lineRule="auto"/>
                    <w:jc w:val="center"/>
                    <w:rPr>
                      <w:rFonts w:hint="default" w:eastAsia="宋体"/>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w:t>
                  </w:r>
                  <w:r>
                    <w:rPr>
                      <w:rFonts w:hint="eastAsia"/>
                      <w:color w:val="auto"/>
                      <w:sz w:val="21"/>
                      <w:szCs w:val="21"/>
                      <w:highlight w:val="none"/>
                      <w:vertAlign w:val="baseline"/>
                      <w:lang w:val="en-US" w:eastAsia="zh-CN"/>
                    </w:rPr>
                    <w:t>3（5）</w:t>
                  </w:r>
                </w:p>
              </w:tc>
              <w:tc>
                <w:tcPr>
                  <w:tcW w:w="874" w:type="dxa"/>
                  <w:tcBorders>
                    <w:tl2br w:val="nil"/>
                    <w:tr2bl w:val="nil"/>
                  </w:tcBorders>
                  <w:vAlign w:val="center"/>
                </w:tcPr>
                <w:p w14:paraId="4E3C2B42">
                  <w:pPr>
                    <w:spacing w:line="240" w:lineRule="auto"/>
                    <w:jc w:val="center"/>
                    <w:rPr>
                      <w:rFonts w:hint="default" w:eastAsia="宋体"/>
                      <w:color w:val="auto"/>
                      <w:sz w:val="21"/>
                      <w:szCs w:val="21"/>
                      <w:highlight w:val="none"/>
                      <w:vertAlign w:val="baseline"/>
                      <w:lang w:val="en-US" w:eastAsia="zh-CN"/>
                    </w:rPr>
                  </w:pPr>
                  <w:r>
                    <w:rPr>
                      <w:rFonts w:hint="default" w:ascii="Times New Roman" w:hAnsi="Times New Roman" w:cs="Times New Roman"/>
                      <w:color w:val="auto"/>
                      <w:sz w:val="21"/>
                      <w:szCs w:val="21"/>
                      <w:highlight w:val="none"/>
                      <w:vertAlign w:val="baseline"/>
                      <w:lang w:val="en-US" w:eastAsia="zh-CN"/>
                    </w:rPr>
                    <w:t>≤</w:t>
                  </w:r>
                  <w:r>
                    <w:rPr>
                      <w:rFonts w:hint="eastAsia"/>
                      <w:color w:val="auto"/>
                      <w:sz w:val="21"/>
                      <w:szCs w:val="21"/>
                      <w:highlight w:val="none"/>
                      <w:vertAlign w:val="baseline"/>
                      <w:lang w:val="en-US" w:eastAsia="zh-CN"/>
                    </w:rPr>
                    <w:t>0.5</w:t>
                  </w:r>
                </w:p>
              </w:tc>
              <w:tc>
                <w:tcPr>
                  <w:tcW w:w="875" w:type="dxa"/>
                  <w:tcBorders>
                    <w:tl2br w:val="nil"/>
                    <w:tr2bl w:val="nil"/>
                  </w:tcBorders>
                  <w:vAlign w:val="center"/>
                </w:tcPr>
                <w:p w14:paraId="0C204C91">
                  <w:pPr>
                    <w:spacing w:line="240" w:lineRule="auto"/>
                    <w:jc w:val="center"/>
                    <w:rPr>
                      <w:rFonts w:hint="default"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6-9</w:t>
                  </w:r>
                </w:p>
              </w:tc>
              <w:tc>
                <w:tcPr>
                  <w:tcW w:w="1337" w:type="dxa"/>
                  <w:tcBorders>
                    <w:tl2br w:val="nil"/>
                    <w:tr2bl w:val="nil"/>
                  </w:tcBorders>
                  <w:vAlign w:val="center"/>
                </w:tcPr>
                <w:p w14:paraId="6F18C2AF">
                  <w:pPr>
                    <w:spacing w:line="240" w:lineRule="auto"/>
                    <w:jc w:val="center"/>
                    <w:rPr>
                      <w:rFonts w:hint="default"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10000个/升</w:t>
                  </w:r>
                </w:p>
              </w:tc>
            </w:tr>
          </w:tbl>
          <w:p w14:paraId="62D88889">
            <w:pPr>
              <w:spacing w:line="360" w:lineRule="auto"/>
              <w:ind w:firstLine="482" w:firstLineChars="200"/>
              <w:jc w:val="left"/>
              <w:rPr>
                <w:b/>
                <w:bCs/>
                <w:color w:val="auto"/>
                <w:sz w:val="24"/>
              </w:rPr>
            </w:pPr>
            <w:r>
              <w:rPr>
                <w:rFonts w:hint="eastAsia"/>
                <w:b/>
                <w:bCs/>
                <w:color w:val="auto"/>
                <w:sz w:val="24"/>
                <w:lang w:val="en-US" w:eastAsia="zh-CN"/>
              </w:rPr>
              <w:t>5</w:t>
            </w:r>
            <w:r>
              <w:rPr>
                <w:b/>
                <w:bCs/>
                <w:color w:val="auto"/>
                <w:sz w:val="24"/>
              </w:rPr>
              <w:t>、主要</w:t>
            </w:r>
            <w:r>
              <w:rPr>
                <w:rFonts w:hint="eastAsia"/>
                <w:b/>
                <w:bCs/>
                <w:color w:val="auto"/>
                <w:sz w:val="24"/>
                <w:lang w:val="en-US" w:eastAsia="zh-CN"/>
              </w:rPr>
              <w:t>污水处理构筑物设计参数及相关</w:t>
            </w:r>
            <w:r>
              <w:rPr>
                <w:b/>
                <w:bCs/>
                <w:color w:val="auto"/>
                <w:sz w:val="24"/>
              </w:rPr>
              <w:t>设备</w:t>
            </w:r>
          </w:p>
          <w:p w14:paraId="66DD54E2">
            <w:pPr>
              <w:pStyle w:val="25"/>
              <w:spacing w:after="0" w:line="360" w:lineRule="auto"/>
              <w:ind w:left="0" w:leftChars="0" w:firstLine="465"/>
              <w:jc w:val="left"/>
              <w:rPr>
                <w:rFonts w:hint="eastAsia" w:eastAsia="宋体"/>
                <w:color w:val="auto"/>
                <w:sz w:val="24"/>
                <w:szCs w:val="24"/>
                <w:lang w:eastAsia="zh-CN"/>
              </w:rPr>
            </w:pPr>
            <w:r>
              <w:rPr>
                <w:color w:val="auto"/>
                <w:sz w:val="24"/>
                <w:szCs w:val="24"/>
              </w:rPr>
              <w:t>项目</w:t>
            </w:r>
            <w:r>
              <w:rPr>
                <w:rFonts w:hint="eastAsia"/>
                <w:color w:val="auto"/>
                <w:sz w:val="24"/>
                <w:szCs w:val="24"/>
              </w:rPr>
              <w:t>主要污水处理构筑物设计参数及相关设备</w:t>
            </w:r>
            <w:r>
              <w:rPr>
                <w:color w:val="auto"/>
                <w:sz w:val="24"/>
                <w:szCs w:val="24"/>
              </w:rPr>
              <w:t>见</w:t>
            </w:r>
            <w:r>
              <w:rPr>
                <w:rFonts w:hint="eastAsia"/>
                <w:color w:val="auto"/>
                <w:sz w:val="24"/>
                <w:szCs w:val="24"/>
                <w:lang w:val="en-US" w:eastAsia="zh-CN"/>
              </w:rPr>
              <w:t>下</w:t>
            </w:r>
            <w:r>
              <w:rPr>
                <w:color w:val="auto"/>
                <w:sz w:val="24"/>
                <w:szCs w:val="24"/>
              </w:rPr>
              <w:t>表</w:t>
            </w:r>
            <w:r>
              <w:rPr>
                <w:rFonts w:hint="eastAsia"/>
                <w:color w:val="auto"/>
                <w:sz w:val="24"/>
                <w:szCs w:val="24"/>
                <w:lang w:eastAsia="zh-CN"/>
              </w:rPr>
              <w:t>：</w:t>
            </w:r>
          </w:p>
          <w:p w14:paraId="6EAEFE24">
            <w:pPr>
              <w:jc w:val="center"/>
              <w:rPr>
                <w:rFonts w:hint="eastAsia"/>
                <w:b/>
                <w:bCs/>
                <w:color w:val="auto"/>
                <w:szCs w:val="21"/>
                <w:highlight w:val="none"/>
              </w:rPr>
            </w:pPr>
            <w:r>
              <w:rPr>
                <w:b/>
                <w:bCs/>
                <w:color w:val="auto"/>
                <w:szCs w:val="21"/>
                <w:highlight w:val="none"/>
              </w:rPr>
              <w:t>表2-</w:t>
            </w:r>
            <w:r>
              <w:rPr>
                <w:rFonts w:hint="eastAsia"/>
                <w:b/>
                <w:bCs/>
                <w:color w:val="auto"/>
                <w:szCs w:val="21"/>
                <w:highlight w:val="none"/>
                <w:lang w:val="en-US" w:eastAsia="zh-CN"/>
              </w:rPr>
              <w:t>6</w:t>
            </w:r>
            <w:r>
              <w:rPr>
                <w:b/>
                <w:bCs/>
                <w:color w:val="auto"/>
                <w:szCs w:val="21"/>
                <w:highlight w:val="none"/>
              </w:rPr>
              <w:t xml:space="preserve"> </w:t>
            </w:r>
            <w:r>
              <w:rPr>
                <w:rFonts w:hint="eastAsia"/>
                <w:b/>
                <w:bCs/>
                <w:color w:val="auto"/>
                <w:szCs w:val="21"/>
                <w:highlight w:val="none"/>
              </w:rPr>
              <w:t>主要污水处理构筑物设计参数及相关设备</w:t>
            </w:r>
            <w:r>
              <w:rPr>
                <w:b/>
                <w:bCs/>
                <w:color w:val="auto"/>
                <w:szCs w:val="21"/>
                <w:highlight w:val="none"/>
              </w:rPr>
              <w:t>一览</w:t>
            </w:r>
            <w:r>
              <w:rPr>
                <w:rFonts w:hint="eastAsia"/>
                <w:b/>
                <w:bCs/>
                <w:color w:val="auto"/>
                <w:szCs w:val="21"/>
                <w:highlight w:val="none"/>
              </w:rPr>
              <w:t>表</w:t>
            </w:r>
          </w:p>
          <w:tbl>
            <w:tblPr>
              <w:tblStyle w:val="32"/>
              <w:tblW w:w="4997" w:type="pct"/>
              <w:jc w:val="center"/>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92"/>
              <w:gridCol w:w="1013"/>
              <w:gridCol w:w="4416"/>
              <w:gridCol w:w="691"/>
              <w:gridCol w:w="605"/>
              <w:gridCol w:w="1295"/>
            </w:tblGrid>
            <w:tr w14:paraId="7D921AD1">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2" w:hRule="atLeast"/>
                <w:jc w:val="center"/>
              </w:trPr>
              <w:tc>
                <w:tcPr>
                  <w:tcW w:w="344" w:type="pct"/>
                  <w:noWrap w:val="0"/>
                  <w:vAlign w:val="center"/>
                </w:tcPr>
                <w:p w14:paraId="5C151CF1">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序号</w:t>
                  </w:r>
                </w:p>
              </w:tc>
              <w:tc>
                <w:tcPr>
                  <w:tcW w:w="588" w:type="pct"/>
                  <w:noWrap w:val="0"/>
                  <w:vAlign w:val="center"/>
                </w:tcPr>
                <w:p w14:paraId="2AC06C60">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名称</w:t>
                  </w:r>
                </w:p>
              </w:tc>
              <w:tc>
                <w:tcPr>
                  <w:tcW w:w="2564" w:type="pct"/>
                  <w:noWrap w:val="0"/>
                  <w:vAlign w:val="center"/>
                </w:tcPr>
                <w:p w14:paraId="19796D19">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型号及规格</w:t>
                  </w:r>
                </w:p>
              </w:tc>
              <w:tc>
                <w:tcPr>
                  <w:tcW w:w="401" w:type="pct"/>
                  <w:noWrap w:val="0"/>
                  <w:vAlign w:val="center"/>
                </w:tcPr>
                <w:p w14:paraId="5F39026A">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单位</w:t>
                  </w:r>
                </w:p>
              </w:tc>
              <w:tc>
                <w:tcPr>
                  <w:tcW w:w="351" w:type="pct"/>
                  <w:noWrap w:val="0"/>
                  <w:vAlign w:val="center"/>
                </w:tcPr>
                <w:p w14:paraId="474BEDAB">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数量</w:t>
                  </w:r>
                </w:p>
              </w:tc>
              <w:tc>
                <w:tcPr>
                  <w:tcW w:w="751" w:type="pct"/>
                  <w:noWrap w:val="0"/>
                  <w:vAlign w:val="center"/>
                </w:tcPr>
                <w:p w14:paraId="315EBD11">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bCs/>
                      <w:color w:val="auto"/>
                      <w:sz w:val="21"/>
                      <w:szCs w:val="21"/>
                      <w:highlight w:val="none"/>
                      <w:vertAlign w:val="baseline"/>
                      <w:lang w:val="en-US" w:eastAsia="zh-CN"/>
                    </w:rPr>
                  </w:pPr>
                  <w:r>
                    <w:rPr>
                      <w:rFonts w:hint="eastAsia" w:ascii="Times New Roman" w:hAnsi="Times New Roman" w:cs="Times New Roman"/>
                      <w:b/>
                      <w:bCs/>
                      <w:color w:val="auto"/>
                      <w:sz w:val="21"/>
                      <w:szCs w:val="21"/>
                      <w:highlight w:val="none"/>
                      <w:vertAlign w:val="baseline"/>
                      <w:lang w:val="en-US" w:eastAsia="zh-CN"/>
                    </w:rPr>
                    <w:t>备注</w:t>
                  </w:r>
                </w:p>
              </w:tc>
            </w:tr>
            <w:tr w14:paraId="607A2B4D">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08" w:hRule="atLeast"/>
                <w:jc w:val="center"/>
              </w:trPr>
              <w:tc>
                <w:tcPr>
                  <w:tcW w:w="5000" w:type="pct"/>
                  <w:gridSpan w:val="6"/>
                  <w:noWrap w:val="0"/>
                  <w:vAlign w:val="center"/>
                </w:tcPr>
                <w:p w14:paraId="4A31B5D7">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预处理（粗格栅井、污水提升泵站、细格栅井、沉砂池）</w:t>
                  </w:r>
                </w:p>
              </w:tc>
            </w:tr>
            <w:tr w14:paraId="3319D9BC">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00" w:hRule="atLeast"/>
                <w:jc w:val="center"/>
              </w:trPr>
              <w:tc>
                <w:tcPr>
                  <w:tcW w:w="344" w:type="pct"/>
                  <w:noWrap w:val="0"/>
                  <w:vAlign w:val="center"/>
                </w:tcPr>
                <w:p w14:paraId="639E0D67">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w:t>
                  </w:r>
                </w:p>
              </w:tc>
              <w:tc>
                <w:tcPr>
                  <w:tcW w:w="588" w:type="pct"/>
                  <w:noWrap w:val="0"/>
                  <w:vAlign w:val="center"/>
                </w:tcPr>
                <w:p w14:paraId="5980597D">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highlight w:val="none"/>
                    </w:rPr>
                    <w:t>粗格栅间</w:t>
                  </w:r>
                </w:p>
              </w:tc>
              <w:tc>
                <w:tcPr>
                  <w:tcW w:w="2564" w:type="pct"/>
                  <w:noWrap w:val="0"/>
                  <w:vAlign w:val="center"/>
                </w:tcPr>
                <w:p w14:paraId="763D1467">
                  <w:pPr>
                    <w:pStyle w:val="26"/>
                    <w:keepNext w:val="0"/>
                    <w:keepLines w:val="0"/>
                    <w:pageBreakBefore w:val="0"/>
                    <w:widowControl w:val="0"/>
                    <w:kinsoku/>
                    <w:wordWrap/>
                    <w:overflowPunct/>
                    <w:topLinePunct w:val="0"/>
                    <w:autoSpaceDE/>
                    <w:autoSpaceDN/>
                    <w:bidi w:val="0"/>
                    <w:adjustRightInd/>
                    <w:snapToGrid w:val="0"/>
                    <w:spacing w:line="240" w:lineRule="auto"/>
                    <w:ind w:left="420" w:leftChars="20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土建规模：</w:t>
                  </w:r>
                  <w:r>
                    <w:rPr>
                      <w:rFonts w:hint="default" w:ascii="Times New Roman" w:hAnsi="Times New Roman" w:eastAsia="宋体"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rPr>
                    <w:t xml:space="preserve">万 </w:t>
                  </w:r>
                  <w:r>
                    <w:rPr>
                      <w:rFonts w:hint="default" w:ascii="Times New Roman" w:hAnsi="Times New Roman" w:eastAsia="宋体" w:cs="Times New Roman"/>
                      <w:color w:val="auto"/>
                      <w:sz w:val="21"/>
                      <w:szCs w:val="21"/>
                      <w:highlight w:val="none"/>
                      <w:lang w:eastAsia="zh-CN"/>
                    </w:rPr>
                    <w:t>m³</w:t>
                  </w:r>
                  <w:r>
                    <w:rPr>
                      <w:rFonts w:hint="default" w:ascii="Times New Roman" w:hAnsi="Times New Roman" w:eastAsia="宋体" w:cs="Times New Roman"/>
                      <w:color w:val="auto"/>
                      <w:sz w:val="21"/>
                      <w:szCs w:val="21"/>
                      <w:highlight w:val="none"/>
                    </w:rPr>
                    <w:t>/d，Kz=</w:t>
                  </w:r>
                  <w:r>
                    <w:rPr>
                      <w:rFonts w:hint="default" w:ascii="Times New Roman" w:hAnsi="Times New Roman" w:eastAsia="宋体" w:cs="Times New Roman"/>
                      <w:color w:val="auto"/>
                      <w:sz w:val="21"/>
                      <w:szCs w:val="21"/>
                      <w:highlight w:val="none"/>
                      <w:lang w:val="en-US" w:eastAsia="zh-CN"/>
                    </w:rPr>
                    <w:t>1.74</w:t>
                  </w:r>
                  <w:r>
                    <w:rPr>
                      <w:rFonts w:hint="default" w:ascii="Times New Roman" w:hAnsi="Times New Roman" w:eastAsia="宋体" w:cs="Times New Roman"/>
                      <w:color w:val="auto"/>
                      <w:sz w:val="21"/>
                      <w:szCs w:val="21"/>
                      <w:highlight w:val="none"/>
                    </w:rPr>
                    <w:t>；</w:t>
                  </w:r>
                </w:p>
                <w:p w14:paraId="06EA08A0">
                  <w:pPr>
                    <w:pStyle w:val="26"/>
                    <w:keepNext w:val="0"/>
                    <w:keepLines w:val="0"/>
                    <w:pageBreakBefore w:val="0"/>
                    <w:widowControl w:val="0"/>
                    <w:kinsoku/>
                    <w:wordWrap/>
                    <w:overflowPunct/>
                    <w:topLinePunct w:val="0"/>
                    <w:autoSpaceDE/>
                    <w:autoSpaceDN/>
                    <w:bidi w:val="0"/>
                    <w:adjustRightInd/>
                    <w:snapToGrid w:val="0"/>
                    <w:spacing w:line="240" w:lineRule="auto"/>
                    <w:ind w:left="420" w:leftChars="20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设备安装规模：</w:t>
                  </w:r>
                  <w:r>
                    <w:rPr>
                      <w:rFonts w:hint="default" w:ascii="Times New Roman" w:hAnsi="Times New Roman" w:eastAsia="宋体"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rPr>
                    <w:t>万</w:t>
                  </w:r>
                  <w:r>
                    <w:rPr>
                      <w:rFonts w:hint="default" w:ascii="Times New Roman" w:hAnsi="Times New Roman" w:eastAsia="宋体" w:cs="Times New Roman"/>
                      <w:color w:val="auto"/>
                      <w:sz w:val="21"/>
                      <w:szCs w:val="21"/>
                      <w:highlight w:val="none"/>
                      <w:lang w:eastAsia="zh-CN"/>
                    </w:rPr>
                    <w:t>m³</w:t>
                  </w:r>
                  <w:r>
                    <w:rPr>
                      <w:rFonts w:hint="default" w:ascii="Times New Roman" w:hAnsi="Times New Roman" w:eastAsia="宋体" w:cs="Times New Roman"/>
                      <w:color w:val="auto"/>
                      <w:sz w:val="21"/>
                      <w:szCs w:val="21"/>
                      <w:highlight w:val="none"/>
                    </w:rPr>
                    <w:t>/d，Kz=</w:t>
                  </w:r>
                  <w:r>
                    <w:rPr>
                      <w:rFonts w:hint="default" w:ascii="Times New Roman" w:hAnsi="Times New Roman" w:eastAsia="宋体" w:cs="Times New Roman"/>
                      <w:color w:val="auto"/>
                      <w:sz w:val="21"/>
                      <w:szCs w:val="21"/>
                      <w:highlight w:val="none"/>
                      <w:lang w:val="en-US" w:eastAsia="zh-CN"/>
                    </w:rPr>
                    <w:t>1.74</w:t>
                  </w:r>
                  <w:r>
                    <w:rPr>
                      <w:rFonts w:hint="default" w:ascii="Times New Roman" w:hAnsi="Times New Roman" w:eastAsia="宋体" w:cs="Times New Roman"/>
                      <w:color w:val="auto"/>
                      <w:sz w:val="21"/>
                      <w:szCs w:val="21"/>
                      <w:highlight w:val="none"/>
                    </w:rPr>
                    <w:t>；</w:t>
                  </w:r>
                </w:p>
                <w:p w14:paraId="70D37C9F">
                  <w:pPr>
                    <w:pStyle w:val="26"/>
                    <w:keepNext w:val="0"/>
                    <w:keepLines w:val="0"/>
                    <w:pageBreakBefore w:val="0"/>
                    <w:widowControl w:val="0"/>
                    <w:kinsoku/>
                    <w:wordWrap/>
                    <w:overflowPunct/>
                    <w:topLinePunct w:val="0"/>
                    <w:autoSpaceDE/>
                    <w:autoSpaceDN/>
                    <w:bidi w:val="0"/>
                    <w:adjustRightInd/>
                    <w:snapToGrid w:val="0"/>
                    <w:spacing w:line="240" w:lineRule="auto"/>
                    <w:ind w:left="420" w:leftChars="20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进水渠数量：2组</w:t>
                  </w:r>
                </w:p>
                <w:p w14:paraId="46F22DF4">
                  <w:pPr>
                    <w:pStyle w:val="26"/>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渠宽：</w:t>
                  </w:r>
                  <w:r>
                    <w:rPr>
                      <w:rFonts w:hint="default" w:ascii="Times New Roman" w:hAnsi="Times New Roman" w:cs="Times New Roman"/>
                      <w:color w:val="auto"/>
                      <w:sz w:val="21"/>
                      <w:szCs w:val="21"/>
                      <w:highlight w:val="none"/>
                      <w:lang w:val="en-US" w:eastAsia="zh-CN"/>
                    </w:rPr>
                    <w:t>0.8</w:t>
                  </w:r>
                  <w:r>
                    <w:rPr>
                      <w:rFonts w:hint="default" w:ascii="Times New Roman" w:hAnsi="Times New Roman" w:eastAsia="宋体" w:cs="Times New Roman"/>
                      <w:color w:val="auto"/>
                      <w:sz w:val="21"/>
                      <w:szCs w:val="21"/>
                      <w:highlight w:val="none"/>
                    </w:rPr>
                    <w:t>m</w:t>
                  </w:r>
                </w:p>
                <w:p w14:paraId="0F76C8A8">
                  <w:pPr>
                    <w:pStyle w:val="26"/>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栅条间隙</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20mm</w:t>
                  </w:r>
                </w:p>
                <w:p w14:paraId="14ACF91B">
                  <w:pPr>
                    <w:pStyle w:val="26"/>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格栅倾角</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75º</w:t>
                  </w:r>
                </w:p>
                <w:p w14:paraId="2A519032">
                  <w:pPr>
                    <w:pStyle w:val="26"/>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格栅类型</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回转式机械格栅</w:t>
                  </w:r>
                </w:p>
                <w:p w14:paraId="42B3733C">
                  <w:pPr>
                    <w:pStyle w:val="26"/>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格栅数量</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 台，平时运行1台</w:t>
                  </w:r>
                </w:p>
                <w:p w14:paraId="6E089378">
                  <w:pPr>
                    <w:pStyle w:val="26"/>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电机功率：1.1kW×2</w:t>
                  </w:r>
                </w:p>
                <w:p w14:paraId="7A8D54FE">
                  <w:pPr>
                    <w:pStyle w:val="26"/>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格栅材质</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机架不锈钢；</w:t>
                  </w:r>
                </w:p>
                <w:p w14:paraId="113C8D8D">
                  <w:pPr>
                    <w:pStyle w:val="26"/>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耙齿</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尼龙66</w:t>
                  </w:r>
                </w:p>
                <w:p w14:paraId="2BC39749">
                  <w:pPr>
                    <w:pStyle w:val="26"/>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ascii="Times New Roman" w:hAnsi="Times New Roman"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highlight w:val="none"/>
                    </w:rPr>
                    <w:t>配套设备</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皮带输送机1台</w:t>
                  </w:r>
                </w:p>
              </w:tc>
              <w:tc>
                <w:tcPr>
                  <w:tcW w:w="401" w:type="pct"/>
                  <w:noWrap w:val="0"/>
                  <w:vAlign w:val="center"/>
                </w:tcPr>
                <w:p w14:paraId="21063791">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台</w:t>
                  </w:r>
                </w:p>
              </w:tc>
              <w:tc>
                <w:tcPr>
                  <w:tcW w:w="351" w:type="pct"/>
                  <w:noWrap w:val="0"/>
                  <w:vAlign w:val="center"/>
                </w:tcPr>
                <w:p w14:paraId="62F0D662">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w:t>
                  </w:r>
                </w:p>
              </w:tc>
              <w:tc>
                <w:tcPr>
                  <w:tcW w:w="751" w:type="pct"/>
                  <w:noWrap w:val="0"/>
                  <w:vAlign w:val="center"/>
                </w:tcPr>
                <w:p w14:paraId="08AF87B6">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1用1备</w:t>
                  </w:r>
                </w:p>
              </w:tc>
            </w:tr>
            <w:tr w14:paraId="7800527C">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9" w:hRule="atLeast"/>
                <w:jc w:val="center"/>
              </w:trPr>
              <w:tc>
                <w:tcPr>
                  <w:tcW w:w="344" w:type="pct"/>
                  <w:noWrap w:val="0"/>
                  <w:vAlign w:val="center"/>
                </w:tcPr>
                <w:p w14:paraId="0A8D6111">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w:t>
                  </w:r>
                </w:p>
              </w:tc>
              <w:tc>
                <w:tcPr>
                  <w:tcW w:w="588" w:type="pct"/>
                  <w:noWrap w:val="0"/>
                  <w:vAlign w:val="center"/>
                </w:tcPr>
                <w:p w14:paraId="4D3982DF">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提升泵站</w:t>
                  </w:r>
                </w:p>
              </w:tc>
              <w:tc>
                <w:tcPr>
                  <w:tcW w:w="2564" w:type="pct"/>
                  <w:noWrap w:val="0"/>
                  <w:vAlign w:val="center"/>
                </w:tcPr>
                <w:p w14:paraId="1D98DD17">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土建规模：2.5万m³/d，Kz=1.74；</w:t>
                  </w:r>
                </w:p>
                <w:p w14:paraId="6EB6897A">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设备配套：1.5万m³/d，Kz=1.83；</w:t>
                  </w:r>
                </w:p>
                <w:p w14:paraId="1A4C2F31">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设备数量：3台，2用1备</w:t>
                  </w:r>
                </w:p>
                <w:p w14:paraId="5A52CF4B">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单台流量：570m³/h</w:t>
                  </w:r>
                </w:p>
                <w:p w14:paraId="53D6A213">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设计扬程：15m</w:t>
                  </w:r>
                </w:p>
                <w:p w14:paraId="7C668EEE">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配套电机功率：45kW</w:t>
                  </w:r>
                </w:p>
                <w:p w14:paraId="6660305B">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电动单轨起重机1t，N=2.2 kW，1台</w:t>
                  </w:r>
                </w:p>
              </w:tc>
              <w:tc>
                <w:tcPr>
                  <w:tcW w:w="401" w:type="pct"/>
                  <w:noWrap w:val="0"/>
                  <w:vAlign w:val="center"/>
                </w:tcPr>
                <w:p w14:paraId="6405CEC6">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台</w:t>
                  </w:r>
                </w:p>
              </w:tc>
              <w:tc>
                <w:tcPr>
                  <w:tcW w:w="351" w:type="pct"/>
                  <w:noWrap w:val="0"/>
                  <w:vAlign w:val="center"/>
                </w:tcPr>
                <w:p w14:paraId="25261248">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3</w:t>
                  </w:r>
                </w:p>
              </w:tc>
              <w:tc>
                <w:tcPr>
                  <w:tcW w:w="751" w:type="pct"/>
                  <w:noWrap w:val="0"/>
                  <w:vAlign w:val="center"/>
                </w:tcPr>
                <w:p w14:paraId="375EAD1E">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2用1备</w:t>
                  </w:r>
                </w:p>
              </w:tc>
            </w:tr>
            <w:tr w14:paraId="517B63E4">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3" w:hRule="atLeast"/>
                <w:jc w:val="center"/>
              </w:trPr>
              <w:tc>
                <w:tcPr>
                  <w:tcW w:w="344" w:type="pct"/>
                  <w:noWrap w:val="0"/>
                  <w:vAlign w:val="center"/>
                </w:tcPr>
                <w:p w14:paraId="2BAFEFBE">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3</w:t>
                  </w:r>
                </w:p>
              </w:tc>
              <w:tc>
                <w:tcPr>
                  <w:tcW w:w="588" w:type="pct"/>
                  <w:noWrap w:val="0"/>
                  <w:vAlign w:val="center"/>
                </w:tcPr>
                <w:p w14:paraId="402DC5FE">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细格栅</w:t>
                  </w:r>
                </w:p>
              </w:tc>
              <w:tc>
                <w:tcPr>
                  <w:tcW w:w="2564" w:type="pct"/>
                  <w:noWrap w:val="0"/>
                  <w:vAlign w:val="center"/>
                </w:tcPr>
                <w:p w14:paraId="3F0C0935">
                  <w:pPr>
                    <w:pStyle w:val="26"/>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土建规模：</w:t>
                  </w:r>
                  <w:r>
                    <w:rPr>
                      <w:rFonts w:hint="default" w:ascii="Times New Roman" w:hAnsi="Times New Roman" w:eastAsia="宋体"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rPr>
                    <w:t>万</w:t>
                  </w:r>
                  <w:r>
                    <w:rPr>
                      <w:rFonts w:hint="default" w:ascii="Times New Roman" w:hAnsi="Times New Roman" w:eastAsia="宋体" w:cs="Times New Roman"/>
                      <w:color w:val="auto"/>
                      <w:sz w:val="21"/>
                      <w:szCs w:val="21"/>
                      <w:highlight w:val="none"/>
                      <w:lang w:eastAsia="zh-CN"/>
                    </w:rPr>
                    <w:t>m³</w:t>
                  </w:r>
                  <w:r>
                    <w:rPr>
                      <w:rFonts w:hint="default" w:ascii="Times New Roman" w:hAnsi="Times New Roman" w:eastAsia="宋体" w:cs="Times New Roman"/>
                      <w:color w:val="auto"/>
                      <w:sz w:val="21"/>
                      <w:szCs w:val="21"/>
                      <w:highlight w:val="none"/>
                    </w:rPr>
                    <w:t>/d，Kz=1.</w:t>
                  </w:r>
                  <w:r>
                    <w:rPr>
                      <w:rFonts w:hint="default" w:ascii="Times New Roman" w:hAnsi="Times New Roman" w:eastAsia="宋体" w:cs="Times New Roman"/>
                      <w:color w:val="auto"/>
                      <w:sz w:val="21"/>
                      <w:szCs w:val="21"/>
                      <w:highlight w:val="none"/>
                      <w:lang w:val="en-US" w:eastAsia="zh-CN"/>
                    </w:rPr>
                    <w:t>74</w:t>
                  </w:r>
                  <w:r>
                    <w:rPr>
                      <w:rFonts w:hint="default" w:ascii="Times New Roman" w:hAnsi="Times New Roman" w:eastAsia="宋体" w:cs="Times New Roman"/>
                      <w:color w:val="auto"/>
                      <w:sz w:val="21"/>
                      <w:szCs w:val="21"/>
                      <w:highlight w:val="none"/>
                    </w:rPr>
                    <w:t>；</w:t>
                  </w:r>
                </w:p>
                <w:p w14:paraId="71692638">
                  <w:pPr>
                    <w:pStyle w:val="26"/>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设备配套：</w:t>
                  </w:r>
                  <w:r>
                    <w:rPr>
                      <w:rFonts w:hint="default" w:ascii="Times New Roman" w:hAnsi="Times New Roman" w:eastAsia="宋体"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rPr>
                    <w:t>万</w:t>
                  </w:r>
                  <w:r>
                    <w:rPr>
                      <w:rFonts w:hint="default" w:ascii="Times New Roman" w:hAnsi="Times New Roman" w:eastAsia="宋体" w:cs="Times New Roman"/>
                      <w:color w:val="auto"/>
                      <w:sz w:val="21"/>
                      <w:szCs w:val="21"/>
                      <w:highlight w:val="none"/>
                      <w:lang w:eastAsia="zh-CN"/>
                    </w:rPr>
                    <w:t>m³</w:t>
                  </w:r>
                  <w:r>
                    <w:rPr>
                      <w:rFonts w:hint="default" w:ascii="Times New Roman" w:hAnsi="Times New Roman" w:eastAsia="宋体" w:cs="Times New Roman"/>
                      <w:color w:val="auto"/>
                      <w:sz w:val="21"/>
                      <w:szCs w:val="21"/>
                      <w:highlight w:val="none"/>
                    </w:rPr>
                    <w:t>/d；</w:t>
                  </w:r>
                </w:p>
                <w:p w14:paraId="34000B30">
                  <w:pPr>
                    <w:pStyle w:val="26"/>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栅条间隙：5 mm</w:t>
                  </w:r>
                </w:p>
                <w:p w14:paraId="70561F03">
                  <w:pPr>
                    <w:pStyle w:val="26"/>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进水渠数：</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道</w:t>
                  </w:r>
                </w:p>
                <w:p w14:paraId="7AD68628">
                  <w:pPr>
                    <w:pStyle w:val="26"/>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渠宽：</w:t>
                  </w:r>
                  <w:r>
                    <w:rPr>
                      <w:rFonts w:hint="default" w:ascii="Times New Roman" w:hAnsi="Times New Roman" w:cs="Times New Roman"/>
                      <w:color w:val="auto"/>
                      <w:sz w:val="21"/>
                      <w:szCs w:val="21"/>
                      <w:highlight w:val="none"/>
                      <w:lang w:val="en-US" w:eastAsia="zh-CN"/>
                    </w:rPr>
                    <w:t>0.9</w:t>
                  </w:r>
                  <w:r>
                    <w:rPr>
                      <w:rFonts w:hint="default" w:ascii="Times New Roman" w:hAnsi="Times New Roman" w:eastAsia="宋体" w:cs="Times New Roman"/>
                      <w:color w:val="auto"/>
                      <w:sz w:val="21"/>
                      <w:szCs w:val="21"/>
                      <w:highlight w:val="none"/>
                    </w:rPr>
                    <w:t>m</w:t>
                  </w:r>
                </w:p>
                <w:p w14:paraId="127B365A">
                  <w:pPr>
                    <w:pStyle w:val="26"/>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栅前水深</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0.8m</w:t>
                  </w:r>
                </w:p>
                <w:p w14:paraId="35DF5535">
                  <w:pPr>
                    <w:pStyle w:val="26"/>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格栅倾角</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75º</w:t>
                  </w:r>
                </w:p>
                <w:p w14:paraId="5C6A92EC">
                  <w:pPr>
                    <w:pStyle w:val="26"/>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设备类型</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回转式细格栅除污机</w:t>
                  </w:r>
                </w:p>
                <w:p w14:paraId="47E62AAC">
                  <w:pPr>
                    <w:pStyle w:val="26"/>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功率：2.2 kW×2</w:t>
                  </w:r>
                </w:p>
                <w:p w14:paraId="1B24FC50">
                  <w:pPr>
                    <w:pStyle w:val="26"/>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设备数量</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2台</w:t>
                  </w:r>
                </w:p>
                <w:p w14:paraId="0330B68D">
                  <w:pPr>
                    <w:pStyle w:val="26"/>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配套设备</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无轴螺旋输送机台</w:t>
                  </w:r>
                </w:p>
                <w:p w14:paraId="5703F0A5">
                  <w:pPr>
                    <w:pStyle w:val="26"/>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rPr>
                      <w:rFonts w:hint="eastAsia" w:ascii="Times New Roman" w:hAnsi="Times New Roman"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highlight w:val="none"/>
                    </w:rPr>
                    <w:t>功率</w:t>
                  </w:r>
                  <w:r>
                    <w:rPr>
                      <w:rFonts w:hint="eastAsia"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1.5kW×2</w:t>
                  </w:r>
                </w:p>
              </w:tc>
              <w:tc>
                <w:tcPr>
                  <w:tcW w:w="401" w:type="pct"/>
                  <w:noWrap w:val="0"/>
                  <w:vAlign w:val="center"/>
                </w:tcPr>
                <w:p w14:paraId="2D15B60A">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台</w:t>
                  </w:r>
                </w:p>
              </w:tc>
              <w:tc>
                <w:tcPr>
                  <w:tcW w:w="351" w:type="pct"/>
                  <w:noWrap w:val="0"/>
                  <w:vAlign w:val="center"/>
                </w:tcPr>
                <w:p w14:paraId="00E8210F">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w:t>
                  </w:r>
                </w:p>
              </w:tc>
              <w:tc>
                <w:tcPr>
                  <w:tcW w:w="751" w:type="pct"/>
                  <w:noWrap w:val="0"/>
                  <w:vAlign w:val="center"/>
                </w:tcPr>
                <w:p w14:paraId="700A33B7">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p>
              </w:tc>
            </w:tr>
            <w:tr w14:paraId="21825CE6">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3" w:hRule="atLeast"/>
                <w:jc w:val="center"/>
              </w:trPr>
              <w:tc>
                <w:tcPr>
                  <w:tcW w:w="344" w:type="pct"/>
                  <w:noWrap w:val="0"/>
                  <w:vAlign w:val="center"/>
                </w:tcPr>
                <w:p w14:paraId="304D6979">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4</w:t>
                  </w:r>
                </w:p>
              </w:tc>
              <w:tc>
                <w:tcPr>
                  <w:tcW w:w="588" w:type="pct"/>
                  <w:noWrap w:val="0"/>
                  <w:vAlign w:val="center"/>
                </w:tcPr>
                <w:p w14:paraId="78681C15">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沉砂池</w:t>
                  </w:r>
                </w:p>
              </w:tc>
              <w:tc>
                <w:tcPr>
                  <w:tcW w:w="2564" w:type="pct"/>
                  <w:noWrap w:val="0"/>
                  <w:vAlign w:val="center"/>
                </w:tcPr>
                <w:p w14:paraId="574D603C">
                  <w:pPr>
                    <w:pStyle w:val="26"/>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土建规模：</w:t>
                  </w:r>
                  <w:r>
                    <w:rPr>
                      <w:rFonts w:hint="default" w:ascii="Times New Roman" w:hAnsi="Times New Roman" w:eastAsia="宋体"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rPr>
                    <w:t>万</w:t>
                  </w:r>
                  <w:r>
                    <w:rPr>
                      <w:rFonts w:hint="default" w:ascii="Times New Roman" w:hAnsi="Times New Roman" w:eastAsia="宋体" w:cs="Times New Roman"/>
                      <w:color w:val="auto"/>
                      <w:sz w:val="21"/>
                      <w:szCs w:val="21"/>
                      <w:highlight w:val="none"/>
                      <w:lang w:eastAsia="zh-CN"/>
                    </w:rPr>
                    <w:t>m³</w:t>
                  </w:r>
                  <w:r>
                    <w:rPr>
                      <w:rFonts w:hint="default" w:ascii="Times New Roman" w:hAnsi="Times New Roman" w:eastAsia="宋体" w:cs="Times New Roman"/>
                      <w:color w:val="auto"/>
                      <w:sz w:val="21"/>
                      <w:szCs w:val="21"/>
                      <w:highlight w:val="none"/>
                    </w:rPr>
                    <w:t>/d，Kz=1.</w:t>
                  </w:r>
                  <w:r>
                    <w:rPr>
                      <w:rFonts w:hint="default" w:ascii="Times New Roman" w:hAnsi="Times New Roman" w:eastAsia="宋体" w:cs="Times New Roman"/>
                      <w:color w:val="auto"/>
                      <w:sz w:val="21"/>
                      <w:szCs w:val="21"/>
                      <w:highlight w:val="none"/>
                      <w:lang w:val="en-US" w:eastAsia="zh-CN"/>
                    </w:rPr>
                    <w:t>74</w:t>
                  </w:r>
                  <w:r>
                    <w:rPr>
                      <w:rFonts w:hint="default" w:ascii="Times New Roman" w:hAnsi="Times New Roman" w:eastAsia="宋体" w:cs="Times New Roman"/>
                      <w:color w:val="auto"/>
                      <w:sz w:val="21"/>
                      <w:szCs w:val="21"/>
                      <w:highlight w:val="none"/>
                    </w:rPr>
                    <w:t>；</w:t>
                  </w:r>
                </w:p>
                <w:p w14:paraId="79778013">
                  <w:pPr>
                    <w:pStyle w:val="26"/>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设备配套：</w:t>
                  </w:r>
                  <w:r>
                    <w:rPr>
                      <w:rFonts w:hint="default" w:ascii="Times New Roman" w:hAnsi="Times New Roman" w:eastAsia="宋体"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rPr>
                    <w:t>万</w:t>
                  </w:r>
                  <w:r>
                    <w:rPr>
                      <w:rFonts w:hint="default" w:ascii="Times New Roman" w:hAnsi="Times New Roman" w:eastAsia="宋体" w:cs="Times New Roman"/>
                      <w:color w:val="auto"/>
                      <w:sz w:val="21"/>
                      <w:szCs w:val="21"/>
                      <w:highlight w:val="none"/>
                      <w:lang w:eastAsia="zh-CN"/>
                    </w:rPr>
                    <w:t>m³</w:t>
                  </w:r>
                  <w:r>
                    <w:rPr>
                      <w:rFonts w:hint="default" w:ascii="Times New Roman" w:hAnsi="Times New Roman" w:eastAsia="宋体" w:cs="Times New Roman"/>
                      <w:color w:val="auto"/>
                      <w:sz w:val="21"/>
                      <w:szCs w:val="21"/>
                      <w:highlight w:val="none"/>
                    </w:rPr>
                    <w:t>/d，Kz=1.</w:t>
                  </w:r>
                  <w:r>
                    <w:rPr>
                      <w:rFonts w:hint="default" w:ascii="Times New Roman" w:hAnsi="Times New Roman" w:eastAsia="宋体" w:cs="Times New Roman"/>
                      <w:color w:val="auto"/>
                      <w:sz w:val="21"/>
                      <w:szCs w:val="21"/>
                      <w:highlight w:val="none"/>
                      <w:lang w:val="en-US" w:eastAsia="zh-CN"/>
                    </w:rPr>
                    <w:t>74</w:t>
                  </w:r>
                  <w:r>
                    <w:rPr>
                      <w:rFonts w:hint="default" w:ascii="Times New Roman" w:hAnsi="Times New Roman" w:eastAsia="宋体" w:cs="Times New Roman"/>
                      <w:color w:val="auto"/>
                      <w:sz w:val="21"/>
                      <w:szCs w:val="21"/>
                      <w:highlight w:val="none"/>
                    </w:rPr>
                    <w:t>；</w:t>
                  </w:r>
                </w:p>
                <w:p w14:paraId="72C8B379">
                  <w:pPr>
                    <w:pStyle w:val="26"/>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单座</w:t>
                  </w:r>
                  <w:r>
                    <w:rPr>
                      <w:rFonts w:hint="default" w:ascii="Times New Roman" w:hAnsi="Times New Roman" w:eastAsia="宋体" w:cs="Times New Roman"/>
                      <w:color w:val="auto"/>
                      <w:sz w:val="21"/>
                      <w:szCs w:val="21"/>
                      <w:highlight w:val="none"/>
                    </w:rPr>
                    <w:t>最大设计流量：</w:t>
                  </w:r>
                  <w:r>
                    <w:rPr>
                      <w:rFonts w:hint="default" w:ascii="Times New Roman" w:hAnsi="Times New Roman" w:eastAsia="宋体" w:cs="Times New Roman"/>
                      <w:color w:val="auto"/>
                      <w:sz w:val="21"/>
                      <w:szCs w:val="21"/>
                      <w:highlight w:val="none"/>
                      <w:lang w:val="en-US" w:eastAsia="zh-CN"/>
                    </w:rPr>
                    <w:t>1080</w:t>
                  </w:r>
                  <w:r>
                    <w:rPr>
                      <w:rFonts w:hint="default" w:ascii="Times New Roman" w:hAnsi="Times New Roman" w:eastAsia="宋体" w:cs="Times New Roman"/>
                      <w:color w:val="auto"/>
                      <w:sz w:val="21"/>
                      <w:szCs w:val="21"/>
                      <w:highlight w:val="none"/>
                      <w:lang w:eastAsia="zh-CN"/>
                    </w:rPr>
                    <w:t>m³</w:t>
                  </w:r>
                  <w:r>
                    <w:rPr>
                      <w:rFonts w:hint="default" w:ascii="Times New Roman" w:hAnsi="Times New Roman" w:eastAsia="宋体" w:cs="Times New Roman"/>
                      <w:color w:val="auto"/>
                      <w:sz w:val="21"/>
                      <w:szCs w:val="21"/>
                      <w:highlight w:val="none"/>
                    </w:rPr>
                    <w:t>/h</w:t>
                  </w:r>
                </w:p>
                <w:p w14:paraId="1ECAE769">
                  <w:pPr>
                    <w:pStyle w:val="26"/>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座数：2座</w:t>
                  </w:r>
                </w:p>
                <w:p w14:paraId="54BF6235">
                  <w:pPr>
                    <w:pStyle w:val="26"/>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沉砂池直径：3.1m</w:t>
                  </w:r>
                </w:p>
                <w:p w14:paraId="62A56967">
                  <w:pPr>
                    <w:pStyle w:val="26"/>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池深：2.75 m</w:t>
                  </w:r>
                </w:p>
                <w:p w14:paraId="54566A48">
                  <w:pPr>
                    <w:pStyle w:val="26"/>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停留时间：50.86s</w:t>
                  </w:r>
                </w:p>
                <w:p w14:paraId="137CA942">
                  <w:pPr>
                    <w:pStyle w:val="26"/>
                    <w:keepNext w:val="0"/>
                    <w:keepLines w:val="0"/>
                    <w:pageBreakBefore w:val="0"/>
                    <w:widowControl w:val="0"/>
                    <w:kinsoku/>
                    <w:wordWrap/>
                    <w:overflowPunct/>
                    <w:topLinePunct w:val="0"/>
                    <w:autoSpaceDE/>
                    <w:autoSpaceDN/>
                    <w:bidi w:val="0"/>
                    <w:adjustRightInd/>
                    <w:snapToGrid w:val="0"/>
                    <w:spacing w:line="240" w:lineRule="auto"/>
                    <w:ind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配套设备：旋流搅拌机2台(1.1 kW) 砂水分离器1台(0.</w:t>
                  </w:r>
                  <w:r>
                    <w:rPr>
                      <w:rFonts w:hint="default" w:ascii="Times New Roman" w:hAnsi="Times New Roman" w:eastAsia="宋体" w:cs="Times New Roman"/>
                      <w:color w:val="auto"/>
                      <w:sz w:val="21"/>
                      <w:szCs w:val="21"/>
                      <w:highlight w:val="none"/>
                      <w:lang w:val="en-US" w:eastAsia="zh-CN"/>
                    </w:rPr>
                    <w:t>55</w:t>
                  </w:r>
                  <w:r>
                    <w:rPr>
                      <w:rFonts w:hint="default" w:ascii="Times New Roman" w:hAnsi="Times New Roman" w:eastAsia="宋体" w:cs="Times New Roman"/>
                      <w:color w:val="auto"/>
                      <w:sz w:val="21"/>
                      <w:szCs w:val="21"/>
                      <w:highlight w:val="none"/>
                    </w:rPr>
                    <w:t>kW)</w:t>
                  </w:r>
                </w:p>
              </w:tc>
              <w:tc>
                <w:tcPr>
                  <w:tcW w:w="401" w:type="pct"/>
                  <w:noWrap w:val="0"/>
                  <w:vAlign w:val="center"/>
                </w:tcPr>
                <w:p w14:paraId="74F64F05">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座</w:t>
                  </w:r>
                </w:p>
              </w:tc>
              <w:tc>
                <w:tcPr>
                  <w:tcW w:w="351" w:type="pct"/>
                  <w:noWrap w:val="0"/>
                  <w:vAlign w:val="center"/>
                </w:tcPr>
                <w:p w14:paraId="2BF5A070">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w:t>
                  </w:r>
                </w:p>
              </w:tc>
              <w:tc>
                <w:tcPr>
                  <w:tcW w:w="751" w:type="pct"/>
                  <w:noWrap w:val="0"/>
                  <w:vAlign w:val="center"/>
                </w:tcPr>
                <w:p w14:paraId="09BCD0A0">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p>
              </w:tc>
            </w:tr>
            <w:tr w14:paraId="18B24EED">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3" w:hRule="atLeast"/>
                <w:jc w:val="center"/>
              </w:trPr>
              <w:tc>
                <w:tcPr>
                  <w:tcW w:w="344" w:type="pct"/>
                  <w:noWrap w:val="0"/>
                  <w:vAlign w:val="center"/>
                </w:tcPr>
                <w:p w14:paraId="212768B3">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5</w:t>
                  </w:r>
                </w:p>
              </w:tc>
              <w:tc>
                <w:tcPr>
                  <w:tcW w:w="588" w:type="pct"/>
                  <w:noWrap w:val="0"/>
                  <w:vAlign w:val="center"/>
                </w:tcPr>
                <w:p w14:paraId="16413CFE">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AAO生化池</w:t>
                  </w:r>
                </w:p>
              </w:tc>
              <w:tc>
                <w:tcPr>
                  <w:tcW w:w="2564" w:type="pct"/>
                  <w:noWrap w:val="0"/>
                  <w:vAlign w:val="center"/>
                </w:tcPr>
                <w:p w14:paraId="577556EC">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单池</w:t>
                  </w:r>
                  <w:r>
                    <w:rPr>
                      <w:rFonts w:hint="default" w:ascii="Times New Roman" w:hAnsi="Times New Roman" w:cs="Times New Roman"/>
                      <w:color w:val="auto"/>
                      <w:sz w:val="21"/>
                      <w:szCs w:val="21"/>
                      <w:highlight w:val="none"/>
                      <w:lang w:val="en-US" w:eastAsia="zh-CN"/>
                    </w:rPr>
                    <w:t>最大</w:t>
                  </w:r>
                  <w:r>
                    <w:rPr>
                      <w:rFonts w:hint="default" w:ascii="Times New Roman" w:hAnsi="Times New Roman" w:eastAsia="宋体" w:cs="Times New Roman"/>
                      <w:color w:val="auto"/>
                      <w:sz w:val="21"/>
                      <w:szCs w:val="21"/>
                      <w:highlight w:val="none"/>
                    </w:rPr>
                    <w:t>设计流量Q＝</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71.875</w:t>
                  </w:r>
                  <w:r>
                    <w:rPr>
                      <w:rFonts w:hint="default" w:ascii="Times New Roman" w:hAnsi="Times New Roman" w:eastAsia="宋体" w:cs="Times New Roman"/>
                      <w:color w:val="auto"/>
                      <w:sz w:val="21"/>
                      <w:szCs w:val="21"/>
                      <w:highlight w:val="none"/>
                      <w:lang w:eastAsia="zh-CN"/>
                    </w:rPr>
                    <w:t>m³</w:t>
                  </w:r>
                  <w:r>
                    <w:rPr>
                      <w:rFonts w:hint="default" w:ascii="Times New Roman" w:hAnsi="Times New Roman" w:eastAsia="宋体" w:cs="Times New Roman"/>
                      <w:color w:val="auto"/>
                      <w:sz w:val="21"/>
                      <w:szCs w:val="21"/>
                      <w:highlight w:val="none"/>
                    </w:rPr>
                    <w:t>/h</w:t>
                  </w:r>
                </w:p>
                <w:p w14:paraId="5ECAA4FB">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平面尺寸</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7.7</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val="en-US" w:eastAsia="zh-CN"/>
                    </w:rPr>
                    <w:t>1.6</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m</w:t>
                  </w:r>
                </w:p>
                <w:p w14:paraId="5C078C51">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污泥负荷Fw＝0.0</w:t>
                  </w:r>
                  <w:r>
                    <w:rPr>
                      <w:rFonts w:hint="default" w:ascii="Times New Roman" w:hAnsi="Times New Roman" w:eastAsia="宋体" w:cs="Times New Roman"/>
                      <w:color w:val="auto"/>
                      <w:sz w:val="21"/>
                      <w:szCs w:val="21"/>
                      <w:highlight w:val="none"/>
                      <w:lang w:val="en-US" w:eastAsia="zh-CN"/>
                    </w:rPr>
                    <w:t>60</w:t>
                  </w:r>
                  <w:r>
                    <w:rPr>
                      <w:rFonts w:hint="default" w:ascii="Times New Roman" w:hAnsi="Times New Roman" w:eastAsia="宋体" w:cs="Times New Roman"/>
                      <w:color w:val="auto"/>
                      <w:sz w:val="21"/>
                      <w:szCs w:val="21"/>
                      <w:highlight w:val="none"/>
                    </w:rPr>
                    <w:t>kgBOD</w:t>
                  </w:r>
                  <w:r>
                    <w:rPr>
                      <w:rFonts w:hint="default" w:ascii="Times New Roman" w:hAnsi="Times New Roman" w:eastAsia="宋体" w:cs="Times New Roman"/>
                      <w:color w:val="auto"/>
                      <w:sz w:val="21"/>
                      <w:szCs w:val="21"/>
                      <w:highlight w:val="none"/>
                      <w:vertAlign w:val="subscript"/>
                    </w:rPr>
                    <w:t>5</w:t>
                  </w:r>
                  <w:r>
                    <w:rPr>
                      <w:rFonts w:hint="default" w:ascii="Times New Roman" w:hAnsi="Times New Roman" w:eastAsia="宋体" w:cs="Times New Roman"/>
                      <w:color w:val="auto"/>
                      <w:sz w:val="21"/>
                      <w:szCs w:val="21"/>
                      <w:highlight w:val="none"/>
                    </w:rPr>
                    <w:t>/kgMLSS·d</w:t>
                  </w:r>
                </w:p>
                <w:p w14:paraId="399ECCD9">
                  <w:pPr>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悬浮固体浓度MLSS＝</w:t>
                  </w:r>
                  <w:r>
                    <w:rPr>
                      <w:rFonts w:hint="default" w:ascii="Times New Roman" w:hAnsi="Times New Roman" w:cs="Times New Roman"/>
                      <w:color w:val="auto"/>
                      <w:sz w:val="21"/>
                      <w:szCs w:val="21"/>
                      <w:highlight w:val="none"/>
                      <w:lang w:val="en-US" w:eastAsia="zh-CN"/>
                    </w:rPr>
                    <w:t>35</w:t>
                  </w:r>
                  <w:r>
                    <w:rPr>
                      <w:rFonts w:hint="default" w:ascii="Times New Roman" w:hAnsi="Times New Roman" w:eastAsia="宋体" w:cs="Times New Roman"/>
                      <w:color w:val="auto"/>
                      <w:sz w:val="21"/>
                      <w:szCs w:val="21"/>
                      <w:highlight w:val="none"/>
                    </w:rPr>
                    <w:t>00mg/</w:t>
                  </w:r>
                  <w:r>
                    <w:rPr>
                      <w:rFonts w:hint="default" w:ascii="Times New Roman" w:hAnsi="Times New Roman" w:eastAsia="宋体" w:cs="Times New Roman"/>
                      <w:color w:val="auto"/>
                      <w:sz w:val="21"/>
                      <w:szCs w:val="21"/>
                      <w:highlight w:val="none"/>
                      <w:lang w:val="en-US" w:eastAsia="zh-CN"/>
                    </w:rPr>
                    <w:t>L</w:t>
                  </w:r>
                </w:p>
                <w:p w14:paraId="48CFDC12">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泥龄tD＝</w:t>
                  </w:r>
                  <w:r>
                    <w:rPr>
                      <w:rFonts w:hint="default" w:ascii="Times New Roman" w:hAnsi="Times New Roman" w:cs="Times New Roman"/>
                      <w:color w:val="auto"/>
                      <w:sz w:val="21"/>
                      <w:szCs w:val="21"/>
                      <w:highlight w:val="none"/>
                      <w:lang w:val="en-US" w:eastAsia="zh-CN"/>
                    </w:rPr>
                    <w:t>12.0</w:t>
                  </w:r>
                  <w:r>
                    <w:rPr>
                      <w:rFonts w:hint="default" w:ascii="Times New Roman" w:hAnsi="Times New Roman" w:eastAsia="宋体" w:cs="Times New Roman"/>
                      <w:color w:val="auto"/>
                      <w:sz w:val="21"/>
                      <w:szCs w:val="21"/>
                      <w:highlight w:val="none"/>
                    </w:rPr>
                    <w:t>d</w:t>
                  </w:r>
                </w:p>
                <w:p w14:paraId="379B367D">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污泥总产率系数</w:t>
                  </w:r>
                  <w:r>
                    <w:rPr>
                      <w:rFonts w:hint="default" w:ascii="Times New Roman" w:hAnsi="Times New Roman" w:eastAsia="宋体" w:cs="Times New Roman"/>
                      <w:color w:val="auto"/>
                      <w:sz w:val="21"/>
                      <w:szCs w:val="21"/>
                      <w:highlight w:val="none"/>
                    </w:rPr>
                    <w:t>Y＝</w:t>
                  </w:r>
                  <w:r>
                    <w:rPr>
                      <w:rFonts w:hint="default" w:ascii="Times New Roman" w:hAnsi="Times New Roman" w:eastAsia="宋体" w:cs="Times New Roman"/>
                      <w:color w:val="auto"/>
                      <w:sz w:val="21"/>
                      <w:szCs w:val="21"/>
                      <w:highlight w:val="none"/>
                      <w:lang w:val="en-US" w:eastAsia="zh-CN"/>
                    </w:rPr>
                    <w:t>1.0</w:t>
                  </w:r>
                  <w:r>
                    <w:rPr>
                      <w:rFonts w:hint="default" w:ascii="Times New Roman" w:hAnsi="Times New Roman" w:eastAsia="宋体" w:cs="Times New Roman"/>
                      <w:color w:val="auto"/>
                      <w:sz w:val="21"/>
                      <w:szCs w:val="21"/>
                      <w:highlight w:val="none"/>
                    </w:rPr>
                    <w:t>KgMLSS/KgBOD</w:t>
                  </w:r>
                  <w:r>
                    <w:rPr>
                      <w:rFonts w:hint="default" w:ascii="Times New Roman" w:hAnsi="Times New Roman" w:eastAsia="宋体" w:cs="Times New Roman"/>
                      <w:color w:val="auto"/>
                      <w:sz w:val="21"/>
                      <w:szCs w:val="21"/>
                      <w:highlight w:val="none"/>
                      <w:vertAlign w:val="subscript"/>
                    </w:rPr>
                    <w:t>5</w:t>
                  </w:r>
                </w:p>
                <w:p w14:paraId="7FBE7A3C">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预缺氧池</w:t>
                  </w:r>
                  <w:r>
                    <w:rPr>
                      <w:rFonts w:hint="default" w:ascii="Times New Roman" w:hAnsi="Times New Roman" w:eastAsia="宋体" w:cs="Times New Roman"/>
                      <w:color w:val="auto"/>
                      <w:sz w:val="21"/>
                      <w:szCs w:val="21"/>
                      <w:highlight w:val="none"/>
                      <w:lang w:val="en-US" w:eastAsia="zh-CN"/>
                    </w:rPr>
                    <w:t>平均时</w:t>
                  </w:r>
                  <w:r>
                    <w:rPr>
                      <w:rFonts w:hint="default" w:ascii="Times New Roman" w:hAnsi="Times New Roman" w:eastAsia="宋体" w:cs="Times New Roman"/>
                      <w:color w:val="auto"/>
                      <w:sz w:val="21"/>
                      <w:szCs w:val="21"/>
                      <w:highlight w:val="none"/>
                    </w:rPr>
                    <w:t>停留时间t＝</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hr</w:t>
                  </w:r>
                </w:p>
                <w:p w14:paraId="1AE0CD66">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厌氧池</w:t>
                  </w:r>
                  <w:r>
                    <w:rPr>
                      <w:rFonts w:hint="default" w:ascii="Times New Roman" w:hAnsi="Times New Roman" w:eastAsia="宋体" w:cs="Times New Roman"/>
                      <w:color w:val="auto"/>
                      <w:sz w:val="21"/>
                      <w:szCs w:val="21"/>
                      <w:highlight w:val="none"/>
                      <w:lang w:val="en-US" w:eastAsia="zh-CN"/>
                    </w:rPr>
                    <w:t>平均时</w:t>
                  </w:r>
                  <w:r>
                    <w:rPr>
                      <w:rFonts w:hint="default" w:ascii="Times New Roman" w:hAnsi="Times New Roman" w:eastAsia="宋体" w:cs="Times New Roman"/>
                      <w:color w:val="auto"/>
                      <w:sz w:val="21"/>
                      <w:szCs w:val="21"/>
                      <w:highlight w:val="none"/>
                    </w:rPr>
                    <w:t>停留时间t＝</w:t>
                  </w:r>
                  <w:r>
                    <w:rPr>
                      <w:rFonts w:hint="default" w:ascii="Times New Roman" w:hAnsi="Times New Roman" w:cs="Times New Roman"/>
                      <w:color w:val="auto"/>
                      <w:sz w:val="21"/>
                      <w:szCs w:val="21"/>
                      <w:highlight w:val="none"/>
                      <w:lang w:val="en-US" w:eastAsia="zh-CN"/>
                    </w:rPr>
                    <w:t>2.44</w:t>
                  </w:r>
                  <w:r>
                    <w:rPr>
                      <w:rFonts w:hint="default" w:ascii="Times New Roman" w:hAnsi="Times New Roman" w:eastAsia="宋体" w:cs="Times New Roman"/>
                      <w:color w:val="auto"/>
                      <w:sz w:val="21"/>
                      <w:szCs w:val="21"/>
                      <w:highlight w:val="none"/>
                    </w:rPr>
                    <w:t>hr</w:t>
                  </w:r>
                </w:p>
                <w:p w14:paraId="1F5FE792">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缺氧池</w:t>
                  </w:r>
                  <w:r>
                    <w:rPr>
                      <w:rFonts w:hint="default" w:ascii="Times New Roman" w:hAnsi="Times New Roman" w:eastAsia="宋体" w:cs="Times New Roman"/>
                      <w:color w:val="auto"/>
                      <w:sz w:val="21"/>
                      <w:szCs w:val="21"/>
                      <w:highlight w:val="none"/>
                      <w:lang w:val="en-US" w:eastAsia="zh-CN"/>
                    </w:rPr>
                    <w:t>平均时</w:t>
                  </w:r>
                  <w:r>
                    <w:rPr>
                      <w:rFonts w:hint="default" w:ascii="Times New Roman" w:hAnsi="Times New Roman" w:eastAsia="宋体" w:cs="Times New Roman"/>
                      <w:color w:val="auto"/>
                      <w:sz w:val="21"/>
                      <w:szCs w:val="21"/>
                      <w:highlight w:val="none"/>
                    </w:rPr>
                    <w:t>停留时间t＝</w:t>
                  </w:r>
                  <w:r>
                    <w:rPr>
                      <w:rFonts w:hint="default" w:ascii="Times New Roman" w:hAnsi="Times New Roman" w:cs="Times New Roman"/>
                      <w:color w:val="auto"/>
                      <w:sz w:val="21"/>
                      <w:szCs w:val="21"/>
                      <w:highlight w:val="none"/>
                      <w:lang w:val="en-US" w:eastAsia="zh-CN"/>
                    </w:rPr>
                    <w:t>5.02</w:t>
                  </w:r>
                  <w:r>
                    <w:rPr>
                      <w:rFonts w:hint="default" w:ascii="Times New Roman" w:hAnsi="Times New Roman" w:eastAsia="宋体" w:cs="Times New Roman"/>
                      <w:color w:val="auto"/>
                      <w:sz w:val="21"/>
                      <w:szCs w:val="21"/>
                      <w:highlight w:val="none"/>
                    </w:rPr>
                    <w:t>hr</w:t>
                  </w:r>
                </w:p>
                <w:p w14:paraId="312E6E94">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好氧池</w:t>
                  </w:r>
                  <w:r>
                    <w:rPr>
                      <w:rFonts w:hint="default" w:ascii="Times New Roman" w:hAnsi="Times New Roman" w:eastAsia="宋体" w:cs="Times New Roman"/>
                      <w:color w:val="auto"/>
                      <w:sz w:val="21"/>
                      <w:szCs w:val="21"/>
                      <w:highlight w:val="none"/>
                      <w:lang w:val="en-US" w:eastAsia="zh-CN"/>
                    </w:rPr>
                    <w:t>平均时</w:t>
                  </w:r>
                  <w:r>
                    <w:rPr>
                      <w:rFonts w:hint="default" w:ascii="Times New Roman" w:hAnsi="Times New Roman" w:eastAsia="宋体" w:cs="Times New Roman"/>
                      <w:color w:val="auto"/>
                      <w:sz w:val="21"/>
                      <w:szCs w:val="21"/>
                      <w:highlight w:val="none"/>
                    </w:rPr>
                    <w:t>停留时间t＝</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en-US" w:eastAsia="zh-CN"/>
                    </w:rPr>
                    <w:t>1.62</w:t>
                  </w:r>
                  <w:r>
                    <w:rPr>
                      <w:rFonts w:hint="default" w:ascii="Times New Roman" w:hAnsi="Times New Roman" w:eastAsia="宋体" w:cs="Times New Roman"/>
                      <w:color w:val="auto"/>
                      <w:sz w:val="21"/>
                      <w:szCs w:val="21"/>
                      <w:highlight w:val="none"/>
                    </w:rPr>
                    <w:t>hr</w:t>
                  </w:r>
                </w:p>
                <w:p w14:paraId="1B0297AC">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平均时</w:t>
                  </w:r>
                  <w:r>
                    <w:rPr>
                      <w:rFonts w:hint="default" w:ascii="Times New Roman" w:hAnsi="Times New Roman" w:eastAsia="宋体" w:cs="Times New Roman"/>
                      <w:color w:val="auto"/>
                      <w:sz w:val="21"/>
                      <w:szCs w:val="21"/>
                      <w:highlight w:val="none"/>
                    </w:rPr>
                    <w:t>总水力停留时间t＝</w:t>
                  </w:r>
                  <w:r>
                    <w:rPr>
                      <w:rFonts w:hint="default" w:ascii="Times New Roman" w:hAnsi="Times New Roman" w:cs="Times New Roman"/>
                      <w:color w:val="auto"/>
                      <w:sz w:val="21"/>
                      <w:szCs w:val="21"/>
                      <w:highlight w:val="none"/>
                      <w:lang w:val="en-US" w:eastAsia="zh-CN"/>
                    </w:rPr>
                    <w:t>19.58</w:t>
                  </w:r>
                  <w:r>
                    <w:rPr>
                      <w:rFonts w:hint="default" w:ascii="Times New Roman" w:hAnsi="Times New Roman" w:eastAsia="宋体" w:cs="Times New Roman"/>
                      <w:color w:val="auto"/>
                      <w:sz w:val="21"/>
                      <w:szCs w:val="21"/>
                      <w:highlight w:val="none"/>
                    </w:rPr>
                    <w:t>hr</w:t>
                  </w:r>
                </w:p>
                <w:p w14:paraId="4AD21B4B">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有效水深H＝</w:t>
                  </w:r>
                  <w:r>
                    <w:rPr>
                      <w:rFonts w:hint="default" w:ascii="Times New Roman" w:hAnsi="Times New Roman" w:eastAsia="宋体" w:cs="Times New Roman"/>
                      <w:color w:val="auto"/>
                      <w:sz w:val="21"/>
                      <w:szCs w:val="21"/>
                      <w:highlight w:val="none"/>
                      <w:lang w:val="en-US" w:eastAsia="zh-CN"/>
                    </w:rPr>
                    <w:t>6.0</w:t>
                  </w:r>
                  <w:r>
                    <w:rPr>
                      <w:rFonts w:hint="default" w:ascii="Times New Roman" w:hAnsi="Times New Roman" w:eastAsia="宋体" w:cs="Times New Roman"/>
                      <w:color w:val="auto"/>
                      <w:sz w:val="21"/>
                      <w:szCs w:val="21"/>
                      <w:highlight w:val="none"/>
                    </w:rPr>
                    <w:t>m</w:t>
                  </w:r>
                </w:p>
                <w:p w14:paraId="176FAA71">
                  <w:pPr>
                    <w:spacing w:line="240" w:lineRule="auto"/>
                    <w:jc w:val="center"/>
                    <w:rPr>
                      <w:rFonts w:hint="eastAsia" w:ascii="Times New Roman" w:hAnsi="Times New Roman"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highlight w:val="none"/>
                    </w:rPr>
                    <w:t>单池有效容积V＝</w:t>
                  </w: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118.75</w:t>
                  </w:r>
                  <w:r>
                    <w:rPr>
                      <w:rFonts w:hint="default" w:ascii="Times New Roman" w:hAnsi="Times New Roman" w:eastAsia="宋体" w:cs="Times New Roman"/>
                      <w:color w:val="auto"/>
                      <w:sz w:val="21"/>
                      <w:szCs w:val="21"/>
                      <w:highlight w:val="none"/>
                      <w:lang w:eastAsia="zh-CN"/>
                    </w:rPr>
                    <w:t>m³</w:t>
                  </w:r>
                </w:p>
              </w:tc>
              <w:tc>
                <w:tcPr>
                  <w:tcW w:w="401" w:type="pct"/>
                  <w:noWrap w:val="0"/>
                  <w:vAlign w:val="center"/>
                </w:tcPr>
                <w:p w14:paraId="1486B68F">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台</w:t>
                  </w:r>
                </w:p>
              </w:tc>
              <w:tc>
                <w:tcPr>
                  <w:tcW w:w="351" w:type="pct"/>
                  <w:noWrap w:val="0"/>
                  <w:vAlign w:val="center"/>
                </w:tcPr>
                <w:p w14:paraId="4D2E2606">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w:t>
                  </w:r>
                </w:p>
              </w:tc>
              <w:tc>
                <w:tcPr>
                  <w:tcW w:w="751" w:type="pct"/>
                  <w:noWrap w:val="0"/>
                  <w:vAlign w:val="center"/>
                </w:tcPr>
                <w:p w14:paraId="7623C36F">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p>
              </w:tc>
            </w:tr>
            <w:tr w14:paraId="58837278">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3" w:hRule="atLeast"/>
                <w:jc w:val="center"/>
              </w:trPr>
              <w:tc>
                <w:tcPr>
                  <w:tcW w:w="344" w:type="pct"/>
                  <w:noWrap w:val="0"/>
                  <w:vAlign w:val="center"/>
                </w:tcPr>
                <w:p w14:paraId="7C1D00FC">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6</w:t>
                  </w:r>
                </w:p>
              </w:tc>
              <w:tc>
                <w:tcPr>
                  <w:tcW w:w="588" w:type="pct"/>
                  <w:noWrap w:val="0"/>
                  <w:vAlign w:val="center"/>
                </w:tcPr>
                <w:p w14:paraId="59315EC2">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二沉池</w:t>
                  </w:r>
                </w:p>
              </w:tc>
              <w:tc>
                <w:tcPr>
                  <w:tcW w:w="2564" w:type="pct"/>
                  <w:noWrap w:val="0"/>
                  <w:vAlign w:val="center"/>
                </w:tcPr>
                <w:p w14:paraId="26C597B1">
                  <w:pPr>
                    <w:pStyle w:val="26"/>
                    <w:spacing w:line="240" w:lineRule="auto"/>
                    <w:ind w:firstLine="420" w:firstLineChars="20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单座</w:t>
                  </w:r>
                  <w:r>
                    <w:rPr>
                      <w:rFonts w:hint="default" w:ascii="Times New Roman" w:hAnsi="Times New Roman" w:eastAsia="宋体" w:cs="Times New Roman"/>
                      <w:color w:val="auto"/>
                      <w:sz w:val="21"/>
                      <w:szCs w:val="21"/>
                      <w:highlight w:val="none"/>
                    </w:rPr>
                    <w:t>设计规模：</w:t>
                  </w:r>
                  <w:r>
                    <w:rPr>
                      <w:rFonts w:hint="default" w:ascii="Times New Roman" w:hAnsi="Times New Roman" w:eastAsia="宋体" w:cs="Times New Roman"/>
                      <w:color w:val="auto"/>
                      <w:sz w:val="21"/>
                      <w:szCs w:val="21"/>
                      <w:highlight w:val="none"/>
                      <w:lang w:val="en-US" w:eastAsia="zh-CN"/>
                    </w:rPr>
                    <w:t>0.75</w:t>
                  </w:r>
                  <w:r>
                    <w:rPr>
                      <w:rFonts w:hint="default" w:ascii="Times New Roman" w:hAnsi="Times New Roman" w:eastAsia="宋体" w:cs="Times New Roman"/>
                      <w:color w:val="auto"/>
                      <w:sz w:val="21"/>
                      <w:szCs w:val="21"/>
                      <w:highlight w:val="none"/>
                    </w:rPr>
                    <w:t>×10</w:t>
                  </w:r>
                  <w:r>
                    <w:rPr>
                      <w:rFonts w:hint="default" w:ascii="Times New Roman" w:hAnsi="Times New Roman" w:eastAsia="宋体" w:cs="Times New Roman"/>
                      <w:color w:val="auto"/>
                      <w:sz w:val="21"/>
                      <w:szCs w:val="21"/>
                      <w:highlight w:val="none"/>
                      <w:vertAlign w:val="superscript"/>
                    </w:rPr>
                    <w:t>4</w:t>
                  </w:r>
                  <w:r>
                    <w:rPr>
                      <w:rFonts w:hint="default" w:ascii="Times New Roman" w:hAnsi="Times New Roman" w:eastAsia="宋体" w:cs="Times New Roman"/>
                      <w:color w:val="auto"/>
                      <w:sz w:val="21"/>
                      <w:szCs w:val="21"/>
                      <w:highlight w:val="none"/>
                    </w:rPr>
                    <w:t>m³/d</w:t>
                  </w:r>
                </w:p>
                <w:p w14:paraId="3A3C7D9E">
                  <w:pPr>
                    <w:pStyle w:val="26"/>
                    <w:spacing w:line="240" w:lineRule="auto"/>
                    <w:ind w:firstLine="420" w:firstLineChars="20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数量：</w:t>
                  </w:r>
                  <w:r>
                    <w:rPr>
                      <w:rFonts w:hint="default" w:ascii="Times New Roman" w:hAnsi="Times New Roman" w:eastAsia="宋体" w:cs="Times New Roman"/>
                      <w:color w:val="auto"/>
                      <w:sz w:val="21"/>
                      <w:szCs w:val="21"/>
                      <w:highlight w:val="none"/>
                      <w:lang w:val="en-US" w:eastAsia="zh-CN"/>
                    </w:rPr>
                    <w:t>2座</w:t>
                  </w:r>
                </w:p>
                <w:p w14:paraId="771F32EC">
                  <w:pPr>
                    <w:pStyle w:val="26"/>
                    <w:spacing w:line="240" w:lineRule="auto"/>
                    <w:ind w:firstLine="420" w:firstLineChars="20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二沉池直径：D=</w:t>
                  </w:r>
                  <w:r>
                    <w:rPr>
                      <w:rFonts w:hint="default" w:ascii="Times New Roman" w:hAnsi="Times New Roman" w:eastAsia="宋体" w:cs="Times New Roman"/>
                      <w:color w:val="auto"/>
                      <w:sz w:val="21"/>
                      <w:szCs w:val="21"/>
                      <w:highlight w:val="none"/>
                      <w:lang w:val="en-US" w:eastAsia="zh-CN"/>
                    </w:rPr>
                    <w:t>24.0</w:t>
                  </w:r>
                  <w:r>
                    <w:rPr>
                      <w:rFonts w:hint="default" w:ascii="Times New Roman" w:hAnsi="Times New Roman" w:eastAsia="宋体" w:cs="Times New Roman"/>
                      <w:color w:val="auto"/>
                      <w:sz w:val="21"/>
                      <w:szCs w:val="21"/>
                      <w:highlight w:val="none"/>
                    </w:rPr>
                    <w:t>m</w:t>
                  </w:r>
                </w:p>
                <w:p w14:paraId="07B2542F">
                  <w:pPr>
                    <w:pStyle w:val="26"/>
                    <w:spacing w:line="240" w:lineRule="auto"/>
                    <w:ind w:firstLine="420" w:firstLineChars="20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设计表面负荷：平均流量时</w:t>
                  </w:r>
                  <w:r>
                    <w:rPr>
                      <w:rFonts w:hint="default" w:ascii="Times New Roman" w:hAnsi="Times New Roman" w:eastAsia="宋体" w:cs="Times New Roman"/>
                      <w:color w:val="auto"/>
                      <w:sz w:val="21"/>
                      <w:szCs w:val="21"/>
                      <w:highlight w:val="none"/>
                    </w:rPr>
                    <w:tab/>
                  </w:r>
                  <w:r>
                    <w:rPr>
                      <w:rFonts w:hint="default" w:ascii="Times New Roman" w:hAnsi="Times New Roman" w:eastAsia="宋体" w:cs="Times New Roman"/>
                      <w:color w:val="auto"/>
                      <w:sz w:val="21"/>
                      <w:szCs w:val="21"/>
                      <w:highlight w:val="none"/>
                    </w:rPr>
                    <w:t>q=0.</w:t>
                  </w:r>
                  <w:r>
                    <w:rPr>
                      <w:rFonts w:hint="default" w:ascii="Times New Roman" w:hAnsi="Times New Roman" w:eastAsia="宋体" w:cs="Times New Roman"/>
                      <w:color w:val="auto"/>
                      <w:sz w:val="21"/>
                      <w:szCs w:val="21"/>
                      <w:highlight w:val="none"/>
                      <w:lang w:val="en-US" w:eastAsia="zh-CN"/>
                    </w:rPr>
                    <w:t>82</w:t>
                  </w:r>
                  <w:r>
                    <w:rPr>
                      <w:rFonts w:hint="default" w:ascii="Times New Roman" w:hAnsi="Times New Roman" w:eastAsia="宋体" w:cs="Times New Roman"/>
                      <w:color w:val="auto"/>
                      <w:sz w:val="21"/>
                      <w:szCs w:val="21"/>
                      <w:highlight w:val="none"/>
                      <w:lang w:eastAsia="zh-CN"/>
                    </w:rPr>
                    <w:t>m³</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w:t>
                  </w:r>
                </w:p>
                <w:p w14:paraId="60A0BAC6">
                  <w:pPr>
                    <w:pStyle w:val="26"/>
                    <w:spacing w:line="240" w:lineRule="auto"/>
                    <w:ind w:firstLine="420" w:firstLineChars="20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最大流量时</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q=1.</w:t>
                  </w:r>
                  <w:r>
                    <w:rPr>
                      <w:rFonts w:hint="default" w:ascii="Times New Roman" w:hAnsi="Times New Roman"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lang w:eastAsia="zh-CN"/>
                    </w:rPr>
                    <w:t>m³</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w:t>
                  </w:r>
                </w:p>
                <w:p w14:paraId="0DE24B83">
                  <w:pPr>
                    <w:pStyle w:val="26"/>
                    <w:spacing w:line="240" w:lineRule="auto"/>
                    <w:ind w:firstLine="420" w:firstLineChars="20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池深4.50m；有效水深4.1m</w:t>
                  </w:r>
                </w:p>
                <w:p w14:paraId="5F5B72B3">
                  <w:pPr>
                    <w:pStyle w:val="26"/>
                    <w:spacing w:line="240" w:lineRule="auto"/>
                    <w:ind w:firstLine="420" w:firstLineChars="200"/>
                    <w:jc w:val="center"/>
                    <w:rPr>
                      <w:rFonts w:hint="eastAsia" w:ascii="Times New Roman" w:hAnsi="Times New Roman"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highlight w:val="none"/>
                    </w:rPr>
                    <w:t>设备：ZXJ-</w:t>
                  </w:r>
                  <w:r>
                    <w:rPr>
                      <w:rFonts w:hint="default" w:ascii="Times New Roman" w:hAnsi="Times New Roman" w:eastAsia="宋体" w:cs="Times New Roman"/>
                      <w:color w:val="auto"/>
                      <w:sz w:val="21"/>
                      <w:szCs w:val="21"/>
                      <w:highlight w:val="none"/>
                      <w:lang w:val="en-US" w:eastAsia="zh-CN"/>
                    </w:rPr>
                    <w:t>24</w:t>
                  </w:r>
                  <w:r>
                    <w:rPr>
                      <w:rFonts w:hint="default" w:ascii="Times New Roman" w:hAnsi="Times New Roman" w:eastAsia="宋体" w:cs="Times New Roman"/>
                      <w:color w:val="auto"/>
                      <w:sz w:val="21"/>
                      <w:szCs w:val="21"/>
                      <w:highlight w:val="none"/>
                    </w:rPr>
                    <w:t>单管中心传动吸刮泥机功率：0.37kW</w:t>
                  </w:r>
                </w:p>
              </w:tc>
              <w:tc>
                <w:tcPr>
                  <w:tcW w:w="401" w:type="pct"/>
                  <w:noWrap w:val="0"/>
                  <w:vAlign w:val="center"/>
                </w:tcPr>
                <w:p w14:paraId="5F50AE19">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座</w:t>
                  </w:r>
                </w:p>
              </w:tc>
              <w:tc>
                <w:tcPr>
                  <w:tcW w:w="351" w:type="pct"/>
                  <w:noWrap w:val="0"/>
                  <w:vAlign w:val="center"/>
                </w:tcPr>
                <w:p w14:paraId="69E093ED">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w:t>
                  </w:r>
                </w:p>
              </w:tc>
              <w:tc>
                <w:tcPr>
                  <w:tcW w:w="751" w:type="pct"/>
                  <w:noWrap w:val="0"/>
                  <w:vAlign w:val="center"/>
                </w:tcPr>
                <w:p w14:paraId="6E9B66A6">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p>
              </w:tc>
            </w:tr>
            <w:tr w14:paraId="37D69D5F">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3" w:hRule="atLeast"/>
                <w:jc w:val="center"/>
              </w:trPr>
              <w:tc>
                <w:tcPr>
                  <w:tcW w:w="344" w:type="pct"/>
                  <w:noWrap w:val="0"/>
                  <w:vAlign w:val="center"/>
                </w:tcPr>
                <w:p w14:paraId="272761C3">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7</w:t>
                  </w:r>
                </w:p>
              </w:tc>
              <w:tc>
                <w:tcPr>
                  <w:tcW w:w="588" w:type="pct"/>
                  <w:noWrap w:val="0"/>
                  <w:vAlign w:val="center"/>
                </w:tcPr>
                <w:p w14:paraId="20E1C01B">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高效沉淀池</w:t>
                  </w:r>
                </w:p>
              </w:tc>
              <w:tc>
                <w:tcPr>
                  <w:tcW w:w="2564" w:type="pct"/>
                  <w:noWrap w:val="0"/>
                  <w:vAlign w:val="center"/>
                </w:tcPr>
                <w:p w14:paraId="6FB39C58">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混合区：</w:t>
                  </w:r>
                </w:p>
                <w:p w14:paraId="7C89C23E">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池型：正方形</w:t>
                  </w:r>
                </w:p>
                <w:p w14:paraId="77EB1139">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数量：2组</w:t>
                  </w:r>
                </w:p>
                <w:p w14:paraId="50AC62A3">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最大流量时</w:t>
                  </w:r>
                  <w:r>
                    <w:rPr>
                      <w:rFonts w:hint="default" w:ascii="Times New Roman" w:hAnsi="Times New Roman" w:eastAsia="宋体" w:cs="Times New Roman"/>
                      <w:color w:val="auto"/>
                      <w:sz w:val="21"/>
                      <w:szCs w:val="21"/>
                      <w:highlight w:val="none"/>
                    </w:rPr>
                    <w:t>混合时间：1.</w:t>
                  </w: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min</w:t>
                  </w:r>
                </w:p>
                <w:p w14:paraId="4F666F98">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单组尺寸：1.</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0m×1.</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0m×3.</w:t>
                  </w:r>
                  <w:r>
                    <w:rPr>
                      <w:rFonts w:hint="default" w:ascii="Times New Roman" w:hAnsi="Times New Roman" w:cs="Times New Roman"/>
                      <w:color w:val="auto"/>
                      <w:sz w:val="21"/>
                      <w:szCs w:val="21"/>
                      <w:highlight w:val="none"/>
                      <w:lang w:val="en-US" w:eastAsia="zh-CN"/>
                    </w:rPr>
                    <w:t>55</w:t>
                  </w:r>
                  <w:r>
                    <w:rPr>
                      <w:rFonts w:hint="default" w:ascii="Times New Roman" w:hAnsi="Times New Roman" w:eastAsia="宋体" w:cs="Times New Roman"/>
                      <w:color w:val="auto"/>
                      <w:sz w:val="21"/>
                      <w:szCs w:val="21"/>
                      <w:highlight w:val="none"/>
                    </w:rPr>
                    <w:t>m</w:t>
                  </w:r>
                </w:p>
                <w:p w14:paraId="2B714720">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数量：1台/组</w:t>
                  </w:r>
                </w:p>
                <w:p w14:paraId="6F853C18">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絮凝区：</w:t>
                  </w:r>
                </w:p>
                <w:p w14:paraId="413EDCD0">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池型：正方形</w:t>
                  </w:r>
                </w:p>
                <w:p w14:paraId="381732AE">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数量：2组</w:t>
                  </w:r>
                </w:p>
                <w:p w14:paraId="6BFB597D">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最大流量时</w:t>
                  </w:r>
                  <w:r>
                    <w:rPr>
                      <w:rFonts w:hint="default" w:ascii="Times New Roman" w:hAnsi="Times New Roman" w:eastAsia="宋体" w:cs="Times New Roman"/>
                      <w:color w:val="auto"/>
                      <w:sz w:val="21"/>
                      <w:szCs w:val="21"/>
                      <w:highlight w:val="none"/>
                    </w:rPr>
                    <w:t>停留时间：</w:t>
                  </w:r>
                  <w:r>
                    <w:rPr>
                      <w:rFonts w:hint="default" w:ascii="Times New Roman" w:hAnsi="Times New Roman" w:cs="Times New Roman"/>
                      <w:color w:val="auto"/>
                      <w:sz w:val="21"/>
                      <w:szCs w:val="21"/>
                      <w:highlight w:val="none"/>
                      <w:lang w:val="en-US" w:eastAsia="zh-CN"/>
                    </w:rPr>
                    <w:t>11.05</w:t>
                  </w:r>
                  <w:r>
                    <w:rPr>
                      <w:rFonts w:hint="default" w:ascii="Times New Roman" w:hAnsi="Times New Roman" w:eastAsia="宋体" w:cs="Times New Roman"/>
                      <w:color w:val="auto"/>
                      <w:sz w:val="21"/>
                      <w:szCs w:val="21"/>
                      <w:highlight w:val="none"/>
                    </w:rPr>
                    <w:t>1</w:t>
                  </w:r>
                  <w:r>
                    <w:rPr>
                      <w:rFonts w:hint="default" w:ascii="Times New Roman" w:hAnsi="Times New Roman" w:eastAsia="宋体" w:cs="Times New Roman"/>
                      <w:color w:val="auto"/>
                      <w:sz w:val="21"/>
                      <w:szCs w:val="21"/>
                      <w:highlight w:val="none"/>
                      <w:lang w:val="en-US" w:eastAsia="zh-CN"/>
                    </w:rPr>
                    <w:t>0.78</w:t>
                  </w:r>
                  <w:r>
                    <w:rPr>
                      <w:rFonts w:hint="default" w:ascii="Times New Roman" w:hAnsi="Times New Roman" w:eastAsia="宋体" w:cs="Times New Roman"/>
                      <w:color w:val="auto"/>
                      <w:sz w:val="21"/>
                      <w:szCs w:val="21"/>
                      <w:highlight w:val="none"/>
                    </w:rPr>
                    <w:t>min</w:t>
                  </w:r>
                </w:p>
                <w:p w14:paraId="30CDEAF1">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有效水深：6.</w:t>
                  </w:r>
                  <w:r>
                    <w:rPr>
                      <w:rFonts w:hint="default"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m</w:t>
                  </w:r>
                </w:p>
                <w:p w14:paraId="3FDF17F2">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单组尺寸：</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m</w:t>
                  </w:r>
                </w:p>
                <w:p w14:paraId="012A183B">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澄清区：</w:t>
                  </w:r>
                </w:p>
                <w:p w14:paraId="0D539594">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数量：2组</w:t>
                  </w:r>
                </w:p>
                <w:p w14:paraId="34C52BC0">
                  <w:pPr>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有效水深：6.</w:t>
                  </w: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m</w:t>
                  </w:r>
                </w:p>
                <w:p w14:paraId="526A70DD">
                  <w:pPr>
                    <w:spacing w:line="240" w:lineRule="auto"/>
                    <w:jc w:val="center"/>
                    <w:rPr>
                      <w:rFonts w:hint="eastAsia" w:ascii="Times New Roman" w:hAnsi="Times New Roman"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highlight w:val="none"/>
                    </w:rPr>
                    <w:t>单组尺寸：7</w:t>
                  </w:r>
                  <w:r>
                    <w:rPr>
                      <w:rFonts w:hint="default"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m×</w:t>
                  </w:r>
                  <w:r>
                    <w:rPr>
                      <w:rFonts w:hint="default" w:ascii="Times New Roman" w:hAnsi="Times New Roman" w:cs="Times New Roman"/>
                      <w:color w:val="auto"/>
                      <w:sz w:val="21"/>
                      <w:szCs w:val="21"/>
                      <w:highlight w:val="none"/>
                      <w:lang w:val="en-US" w:eastAsia="zh-CN"/>
                    </w:rPr>
                    <w:t>10.0</w:t>
                  </w:r>
                  <w:r>
                    <w:rPr>
                      <w:rFonts w:hint="default" w:ascii="Times New Roman" w:hAnsi="Times New Roman" w:eastAsia="宋体" w:cs="Times New Roman"/>
                      <w:color w:val="auto"/>
                      <w:sz w:val="21"/>
                      <w:szCs w:val="21"/>
                      <w:highlight w:val="none"/>
                    </w:rPr>
                    <w:t>m</w:t>
                  </w:r>
                </w:p>
              </w:tc>
              <w:tc>
                <w:tcPr>
                  <w:tcW w:w="401" w:type="pct"/>
                  <w:noWrap w:val="0"/>
                  <w:vAlign w:val="center"/>
                </w:tcPr>
                <w:p w14:paraId="6E81B4F8">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台</w:t>
                  </w:r>
                </w:p>
              </w:tc>
              <w:tc>
                <w:tcPr>
                  <w:tcW w:w="351" w:type="pct"/>
                  <w:noWrap w:val="0"/>
                  <w:vAlign w:val="center"/>
                </w:tcPr>
                <w:p w14:paraId="6A61D6EE">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5</w:t>
                  </w:r>
                </w:p>
              </w:tc>
              <w:tc>
                <w:tcPr>
                  <w:tcW w:w="751" w:type="pct"/>
                  <w:noWrap w:val="0"/>
                  <w:vAlign w:val="center"/>
                </w:tcPr>
                <w:p w14:paraId="36929AAF">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4用1备</w:t>
                  </w:r>
                </w:p>
              </w:tc>
            </w:tr>
            <w:tr w14:paraId="0DFF4EEA">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3" w:hRule="atLeast"/>
                <w:jc w:val="center"/>
              </w:trPr>
              <w:tc>
                <w:tcPr>
                  <w:tcW w:w="344" w:type="pct"/>
                  <w:noWrap w:val="0"/>
                  <w:vAlign w:val="center"/>
                </w:tcPr>
                <w:p w14:paraId="4AEF36FC">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8</w:t>
                  </w:r>
                </w:p>
              </w:tc>
              <w:tc>
                <w:tcPr>
                  <w:tcW w:w="588" w:type="pct"/>
                  <w:noWrap w:val="0"/>
                  <w:vAlign w:val="center"/>
                </w:tcPr>
                <w:p w14:paraId="104C7A05">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滤布滤池</w:t>
                  </w:r>
                </w:p>
              </w:tc>
              <w:tc>
                <w:tcPr>
                  <w:tcW w:w="2564" w:type="pct"/>
                  <w:noWrap w:val="0"/>
                  <w:vAlign w:val="center"/>
                </w:tcPr>
                <w:p w14:paraId="1CA52C70">
                  <w:pPr>
                    <w:keepNext w:val="0"/>
                    <w:keepLines w:val="0"/>
                    <w:pageBreakBefore w:val="0"/>
                    <w:widowControl w:val="0"/>
                    <w:kinsoku/>
                    <w:wordWrap/>
                    <w:overflowPunct/>
                    <w:topLinePunct w:val="0"/>
                    <w:autoSpaceDE/>
                    <w:autoSpaceDN/>
                    <w:bidi w:val="0"/>
                    <w:spacing w:line="240" w:lineRule="auto"/>
                    <w:ind w:firstLine="420" w:firstLineChars="20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lang w:val="en-US" w:eastAsia="zh-CN"/>
                    </w:rPr>
                    <w:t>滤布转盘及中心管：D=2000mm，单组12盘，单盘有效面5.2㎡</w:t>
                  </w:r>
                  <w:r>
                    <w:rPr>
                      <w:rFonts w:hint="default" w:ascii="Times New Roman" w:hAnsi="Times New Roman" w:eastAsia="宋体" w:cs="Times New Roman"/>
                      <w:color w:val="auto"/>
                      <w:sz w:val="21"/>
                      <w:szCs w:val="21"/>
                      <w:highlight w:val="none"/>
                      <w:vertAlign w:val="baseline"/>
                      <w:lang w:val="en-US" w:eastAsia="zh-CN"/>
                    </w:rPr>
                    <w:t>。</w:t>
                  </w:r>
                </w:p>
                <w:p w14:paraId="4FEC1D14">
                  <w:pPr>
                    <w:keepNext w:val="0"/>
                    <w:keepLines w:val="0"/>
                    <w:pageBreakBefore w:val="0"/>
                    <w:widowControl w:val="0"/>
                    <w:kinsoku/>
                    <w:wordWrap/>
                    <w:overflowPunct/>
                    <w:topLinePunct w:val="0"/>
                    <w:autoSpaceDE/>
                    <w:autoSpaceDN/>
                    <w:bidi w:val="0"/>
                    <w:spacing w:line="240" w:lineRule="auto"/>
                    <w:ind w:firstLine="420" w:firstLineChars="20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vertAlign w:val="baseline"/>
                      <w:lang w:val="en-US" w:eastAsia="zh-CN"/>
                    </w:rPr>
                    <w:t>反洗泵：</w:t>
                  </w:r>
                  <w:r>
                    <w:rPr>
                      <w:rFonts w:hint="default" w:ascii="Times New Roman" w:hAnsi="Times New Roman" w:eastAsia="宋体" w:cs="Times New Roman"/>
                      <w:color w:val="auto"/>
                      <w:sz w:val="21"/>
                      <w:szCs w:val="21"/>
                      <w:highlight w:val="none"/>
                    </w:rPr>
                    <w:t>Q=50m³/h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H=7m</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N=2.2kw</w:t>
                  </w:r>
                </w:p>
                <w:p w14:paraId="05661A9A">
                  <w:pPr>
                    <w:keepNext w:val="0"/>
                    <w:keepLines w:val="0"/>
                    <w:pageBreakBefore w:val="0"/>
                    <w:widowControl w:val="0"/>
                    <w:kinsoku/>
                    <w:wordWrap/>
                    <w:overflowPunct/>
                    <w:topLinePunct w:val="0"/>
                    <w:autoSpaceDE/>
                    <w:autoSpaceDN/>
                    <w:bidi w:val="0"/>
                    <w:spacing w:line="240" w:lineRule="auto"/>
                    <w:ind w:firstLine="420" w:firstLineChars="20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旋转驱动电机：N=1.5kW，2台</w:t>
                  </w:r>
                </w:p>
                <w:p w14:paraId="5E8247A2">
                  <w:pPr>
                    <w:keepNext w:val="0"/>
                    <w:keepLines w:val="0"/>
                    <w:pageBreakBefore w:val="0"/>
                    <w:widowControl w:val="0"/>
                    <w:kinsoku/>
                    <w:wordWrap/>
                    <w:overflowPunct/>
                    <w:topLinePunct w:val="0"/>
                    <w:autoSpaceDE/>
                    <w:autoSpaceDN/>
                    <w:bidi w:val="0"/>
                    <w:spacing w:line="240" w:lineRule="auto"/>
                    <w:ind w:firstLine="420" w:firstLineChars="200"/>
                    <w:jc w:val="center"/>
                    <w:rPr>
                      <w:rFonts w:hint="eastAsia" w:ascii="Times New Roman" w:hAnsi="Times New Roman"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可调进出水堰板：L×B=2600×300，2套</w:t>
                  </w:r>
                </w:p>
              </w:tc>
              <w:tc>
                <w:tcPr>
                  <w:tcW w:w="401" w:type="pct"/>
                  <w:noWrap w:val="0"/>
                  <w:vAlign w:val="center"/>
                </w:tcPr>
                <w:p w14:paraId="3A6C640F">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台</w:t>
                  </w:r>
                </w:p>
              </w:tc>
              <w:tc>
                <w:tcPr>
                  <w:tcW w:w="351" w:type="pct"/>
                  <w:noWrap w:val="0"/>
                  <w:vAlign w:val="center"/>
                </w:tcPr>
                <w:p w14:paraId="5012E93B">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w:t>
                  </w:r>
                </w:p>
              </w:tc>
              <w:tc>
                <w:tcPr>
                  <w:tcW w:w="751" w:type="pct"/>
                  <w:noWrap w:val="0"/>
                  <w:vAlign w:val="center"/>
                </w:tcPr>
                <w:p w14:paraId="3D40F5D4">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p>
              </w:tc>
            </w:tr>
            <w:tr w14:paraId="21028334">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3" w:hRule="atLeast"/>
                <w:jc w:val="center"/>
              </w:trPr>
              <w:tc>
                <w:tcPr>
                  <w:tcW w:w="344" w:type="pct"/>
                  <w:noWrap w:val="0"/>
                  <w:vAlign w:val="center"/>
                </w:tcPr>
                <w:p w14:paraId="3E4C92E8">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9</w:t>
                  </w:r>
                </w:p>
              </w:tc>
              <w:tc>
                <w:tcPr>
                  <w:tcW w:w="588" w:type="pct"/>
                  <w:noWrap w:val="0"/>
                  <w:vAlign w:val="center"/>
                </w:tcPr>
                <w:p w14:paraId="70EF7D2F">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紫外消毒及中水回用池</w:t>
                  </w:r>
                </w:p>
              </w:tc>
              <w:tc>
                <w:tcPr>
                  <w:tcW w:w="2564" w:type="pct"/>
                  <w:noWrap w:val="0"/>
                  <w:vAlign w:val="center"/>
                </w:tcPr>
                <w:p w14:paraId="583680A6">
                  <w:pPr>
                    <w:pStyle w:val="151"/>
                    <w:pageBreakBefore w:val="0"/>
                    <w:kinsoku/>
                    <w:wordWrap/>
                    <w:topLinePunct w:val="0"/>
                    <w:bidi w:val="0"/>
                    <w:spacing w:line="240" w:lineRule="auto"/>
                    <w:ind w:firstLine="48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土建规模：</w:t>
                  </w:r>
                  <w:r>
                    <w:rPr>
                      <w:rFonts w:hint="default" w:ascii="Times New Roman" w:hAnsi="Times New Roman" w:eastAsia="宋体"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rPr>
                    <w:t>000m³/d</w:t>
                  </w:r>
                </w:p>
                <w:p w14:paraId="45DDCC80">
                  <w:pPr>
                    <w:pStyle w:val="151"/>
                    <w:pageBreakBefore w:val="0"/>
                    <w:kinsoku/>
                    <w:wordWrap/>
                    <w:topLinePunct w:val="0"/>
                    <w:bidi w:val="0"/>
                    <w:spacing w:line="240" w:lineRule="auto"/>
                    <w:ind w:firstLine="48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设备规模：1</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000m³/d</w:t>
                  </w:r>
                </w:p>
                <w:p w14:paraId="6E1C0E54">
                  <w:pPr>
                    <w:pStyle w:val="151"/>
                    <w:pageBreakBefore w:val="0"/>
                    <w:kinsoku/>
                    <w:wordWrap/>
                    <w:topLinePunct w:val="0"/>
                    <w:bidi w:val="0"/>
                    <w:spacing w:line="240" w:lineRule="auto"/>
                    <w:ind w:left="487" w:firstLine="0" w:firstLineChars="0"/>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平面尺寸：</w:t>
                  </w:r>
                  <w:r>
                    <w:rPr>
                      <w:rFonts w:hint="default" w:ascii="Times New Roman" w:hAnsi="Times New Roman" w:eastAsia="宋体" w:cs="Times New Roman"/>
                      <w:color w:val="auto"/>
                      <w:sz w:val="21"/>
                      <w:szCs w:val="21"/>
                      <w:highlight w:val="none"/>
                      <w:lang w:val="en-US" w:eastAsia="zh-CN"/>
                    </w:rPr>
                    <w:t>12.82</w:t>
                  </w:r>
                  <w:r>
                    <w:rPr>
                      <w:rFonts w:hint="default" w:ascii="Times New Roman" w:hAnsi="Times New Roman" w:eastAsia="宋体" w:cs="Times New Roman"/>
                      <w:color w:val="auto"/>
                      <w:sz w:val="21"/>
                      <w:szCs w:val="21"/>
                      <w:highlight w:val="none"/>
                    </w:rPr>
                    <w:t>m×</w:t>
                  </w:r>
                  <w:r>
                    <w:rPr>
                      <w:rFonts w:hint="default" w:ascii="Times New Roman" w:hAnsi="Times New Roman" w:cs="Times New Roman"/>
                      <w:color w:val="auto"/>
                      <w:sz w:val="21"/>
                      <w:szCs w:val="21"/>
                      <w:highlight w:val="none"/>
                      <w:lang w:val="en-US" w:eastAsia="zh-CN"/>
                    </w:rPr>
                    <w:t>14.7</w:t>
                  </w:r>
                  <w:r>
                    <w:rPr>
                      <w:rFonts w:hint="default" w:ascii="Times New Roman" w:hAnsi="Times New Roman" w:eastAsia="宋体" w:cs="Times New Roman"/>
                      <w:color w:val="auto"/>
                      <w:sz w:val="21"/>
                      <w:szCs w:val="21"/>
                      <w:highlight w:val="none"/>
                    </w:rPr>
                    <w:t>m</w:t>
                  </w:r>
                </w:p>
                <w:p w14:paraId="3BE5A3F2">
                  <w:pPr>
                    <w:pStyle w:val="151"/>
                    <w:pageBreakBefore w:val="0"/>
                    <w:kinsoku/>
                    <w:wordWrap/>
                    <w:topLinePunct w:val="0"/>
                    <w:bidi w:val="0"/>
                    <w:spacing w:line="240" w:lineRule="auto"/>
                    <w:ind w:left="487" w:firstLine="0" w:firstLineChars="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数量：2</w:t>
                  </w:r>
                  <w:r>
                    <w:rPr>
                      <w:rFonts w:hint="default" w:ascii="Times New Roman" w:hAnsi="Times New Roman" w:eastAsia="宋体" w:cs="Times New Roman"/>
                      <w:color w:val="auto"/>
                      <w:sz w:val="21"/>
                      <w:szCs w:val="21"/>
                      <w:highlight w:val="none"/>
                      <w:lang w:val="en-US" w:eastAsia="zh-CN"/>
                    </w:rPr>
                    <w:t>组</w:t>
                  </w:r>
                </w:p>
                <w:p w14:paraId="5C3FD9AB">
                  <w:pPr>
                    <w:pStyle w:val="151"/>
                    <w:pageBreakBefore w:val="0"/>
                    <w:kinsoku/>
                    <w:wordWrap/>
                    <w:topLinePunct w:val="0"/>
                    <w:bidi w:val="0"/>
                    <w:spacing w:line="240" w:lineRule="auto"/>
                    <w:ind w:firstLine="48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参数：48根灯管</w:t>
                  </w:r>
                </w:p>
                <w:p w14:paraId="42499D2C">
                  <w:pPr>
                    <w:pStyle w:val="151"/>
                    <w:pageBreakBefore w:val="0"/>
                    <w:kinsoku/>
                    <w:wordWrap/>
                    <w:topLinePunct w:val="0"/>
                    <w:bidi w:val="0"/>
                    <w:spacing w:line="240" w:lineRule="auto"/>
                    <w:ind w:firstLine="489"/>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回用水泵数量：2台（1用1备）</w:t>
                  </w:r>
                </w:p>
                <w:p w14:paraId="6B54083E">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参数：50QW50-15-4，Q=50m³/h，H=25m，N=7.5 kW</w:t>
                  </w:r>
                </w:p>
              </w:tc>
              <w:tc>
                <w:tcPr>
                  <w:tcW w:w="401" w:type="pct"/>
                  <w:noWrap w:val="0"/>
                  <w:vAlign w:val="center"/>
                </w:tcPr>
                <w:p w14:paraId="149BC601">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台</w:t>
                  </w:r>
                </w:p>
              </w:tc>
              <w:tc>
                <w:tcPr>
                  <w:tcW w:w="351" w:type="pct"/>
                  <w:noWrap w:val="0"/>
                  <w:vAlign w:val="center"/>
                </w:tcPr>
                <w:p w14:paraId="2F7AD4A0">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w:t>
                  </w:r>
                </w:p>
              </w:tc>
              <w:tc>
                <w:tcPr>
                  <w:tcW w:w="751" w:type="pct"/>
                  <w:noWrap w:val="0"/>
                  <w:vAlign w:val="center"/>
                </w:tcPr>
                <w:p w14:paraId="59795784">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p>
              </w:tc>
            </w:tr>
            <w:tr w14:paraId="219D35A7">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3" w:hRule="atLeast"/>
                <w:jc w:val="center"/>
              </w:trPr>
              <w:tc>
                <w:tcPr>
                  <w:tcW w:w="344" w:type="pct"/>
                  <w:noWrap w:val="0"/>
                  <w:vAlign w:val="center"/>
                </w:tcPr>
                <w:p w14:paraId="59A95CC7">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10</w:t>
                  </w:r>
                </w:p>
              </w:tc>
              <w:tc>
                <w:tcPr>
                  <w:tcW w:w="588" w:type="pct"/>
                  <w:noWrap w:val="0"/>
                  <w:vAlign w:val="center"/>
                </w:tcPr>
                <w:p w14:paraId="3F778A23">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鼓风机房主要设备</w:t>
                  </w:r>
                </w:p>
              </w:tc>
              <w:tc>
                <w:tcPr>
                  <w:tcW w:w="2564" w:type="pct"/>
                  <w:noWrap w:val="0"/>
                  <w:vAlign w:val="center"/>
                </w:tcPr>
                <w:p w14:paraId="36DD3A23">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空气悬浮高速离心风机：2台，Q=62.5m³/min，出口升压70kPa，N=100kW</w:t>
                  </w:r>
                </w:p>
              </w:tc>
              <w:tc>
                <w:tcPr>
                  <w:tcW w:w="401" w:type="pct"/>
                  <w:noWrap w:val="0"/>
                  <w:vAlign w:val="center"/>
                </w:tcPr>
                <w:p w14:paraId="2033246E">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台</w:t>
                  </w:r>
                </w:p>
              </w:tc>
              <w:tc>
                <w:tcPr>
                  <w:tcW w:w="351" w:type="pct"/>
                  <w:noWrap w:val="0"/>
                  <w:vAlign w:val="center"/>
                </w:tcPr>
                <w:p w14:paraId="141CB34D">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w:t>
                  </w:r>
                </w:p>
              </w:tc>
              <w:tc>
                <w:tcPr>
                  <w:tcW w:w="751" w:type="pct"/>
                  <w:noWrap w:val="0"/>
                  <w:vAlign w:val="center"/>
                </w:tcPr>
                <w:p w14:paraId="3D328A27">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 xml:space="preserve"> 用 1 备</w:t>
                  </w:r>
                </w:p>
              </w:tc>
            </w:tr>
            <w:tr w14:paraId="63F1CF4E">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3" w:hRule="atLeast"/>
                <w:jc w:val="center"/>
              </w:trPr>
              <w:tc>
                <w:tcPr>
                  <w:tcW w:w="344" w:type="pct"/>
                  <w:noWrap w:val="0"/>
                  <w:vAlign w:val="center"/>
                </w:tcPr>
                <w:p w14:paraId="4C9A38C9">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11</w:t>
                  </w:r>
                </w:p>
              </w:tc>
              <w:tc>
                <w:tcPr>
                  <w:tcW w:w="588" w:type="pct"/>
                  <w:noWrap w:val="0"/>
                  <w:vAlign w:val="center"/>
                </w:tcPr>
                <w:p w14:paraId="00254DBF">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污泥泵站</w:t>
                  </w:r>
                </w:p>
              </w:tc>
              <w:tc>
                <w:tcPr>
                  <w:tcW w:w="2564" w:type="pct"/>
                  <w:noWrap w:val="0"/>
                  <w:vAlign w:val="center"/>
                </w:tcPr>
                <w:p w14:paraId="75F39552">
                  <w:pPr>
                    <w:pStyle w:val="151"/>
                    <w:pageBreakBefore w:val="0"/>
                    <w:kinsoku/>
                    <w:wordWrap/>
                    <w:topLinePunct w:val="0"/>
                    <w:bidi w:val="0"/>
                    <w:spacing w:line="240" w:lineRule="auto"/>
                    <w:ind w:firstLine="48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1座</w:t>
                  </w:r>
                  <w:r>
                    <w:rPr>
                      <w:rFonts w:hint="eastAsia" w:ascii="Times New Roman" w:hAnsi="Times New Roman" w:cs="Times New Roman"/>
                      <w:color w:val="auto"/>
                      <w:sz w:val="21"/>
                      <w:szCs w:val="21"/>
                      <w:highlight w:val="none"/>
                      <w:lang w:eastAsia="zh-CN"/>
                    </w:rPr>
                    <w:t>，土建及设备安装规模均为1.5×10</w:t>
                  </w:r>
                  <w:r>
                    <w:rPr>
                      <w:rFonts w:hint="eastAsia" w:ascii="Times New Roman" w:hAnsi="Times New Roman" w:cs="Times New Roman"/>
                      <w:color w:val="auto"/>
                      <w:sz w:val="21"/>
                      <w:szCs w:val="21"/>
                      <w:highlight w:val="none"/>
                      <w:vertAlign w:val="superscript"/>
                      <w:lang w:eastAsia="zh-CN"/>
                    </w:rPr>
                    <w:t>4</w:t>
                  </w:r>
                  <w:r>
                    <w:rPr>
                      <w:rFonts w:hint="eastAsia" w:ascii="Times New Roman" w:hAnsi="Times New Roman" w:cs="Times New Roman"/>
                      <w:color w:val="auto"/>
                      <w:sz w:val="21"/>
                      <w:szCs w:val="21"/>
                      <w:highlight w:val="none"/>
                      <w:lang w:eastAsia="zh-CN"/>
                    </w:rPr>
                    <w:t>m³/d</w:t>
                  </w:r>
                </w:p>
                <w:p w14:paraId="5F2AC3D5">
                  <w:pPr>
                    <w:pStyle w:val="151"/>
                    <w:pageBreakBefore w:val="0"/>
                    <w:kinsoku/>
                    <w:wordWrap/>
                    <w:topLinePunct w:val="0"/>
                    <w:bidi w:val="0"/>
                    <w:spacing w:line="240" w:lineRule="auto"/>
                    <w:ind w:firstLine="48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类型：钢筋混凝土结构。</w:t>
                  </w:r>
                </w:p>
                <w:p w14:paraId="36311773">
                  <w:pPr>
                    <w:pStyle w:val="151"/>
                    <w:pageBreakBefore w:val="0"/>
                    <w:kinsoku/>
                    <w:wordWrap/>
                    <w:topLinePunct w:val="0"/>
                    <w:bidi w:val="0"/>
                    <w:spacing w:line="240" w:lineRule="auto"/>
                    <w:ind w:firstLine="48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平面尺寸：</w:t>
                  </w:r>
                  <w:r>
                    <w:rPr>
                      <w:rFonts w:hint="default" w:ascii="Times New Roman" w:hAnsi="Times New Roman" w:eastAsia="宋体" w:cs="Times New Roman"/>
                      <w:color w:val="auto"/>
                      <w:sz w:val="21"/>
                      <w:szCs w:val="21"/>
                      <w:highlight w:val="none"/>
                      <w:lang w:val="en-US" w:eastAsia="zh-CN"/>
                    </w:rPr>
                    <w:t>6.8</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lang w:val="en-US" w:eastAsia="zh-CN"/>
                    </w:rPr>
                    <w:t>6.4</w:t>
                  </w:r>
                  <w:r>
                    <w:rPr>
                      <w:rFonts w:hint="default" w:ascii="Times New Roman" w:hAnsi="Times New Roman" w:eastAsia="宋体" w:cs="Times New Roman"/>
                      <w:color w:val="auto"/>
                      <w:sz w:val="21"/>
                      <w:szCs w:val="21"/>
                      <w:highlight w:val="none"/>
                    </w:rPr>
                    <w:t>m</w:t>
                  </w:r>
                </w:p>
                <w:p w14:paraId="4E9847EC">
                  <w:pPr>
                    <w:pStyle w:val="151"/>
                    <w:pageBreakBefore w:val="0"/>
                    <w:kinsoku/>
                    <w:wordWrap/>
                    <w:topLinePunct w:val="0"/>
                    <w:bidi w:val="0"/>
                    <w:spacing w:line="240" w:lineRule="auto"/>
                    <w:ind w:firstLine="48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设备参数：Q=</w:t>
                  </w:r>
                  <w:r>
                    <w:rPr>
                      <w:rFonts w:hint="default" w:ascii="Times New Roman" w:hAnsi="Times New Roman" w:eastAsia="宋体" w:cs="Times New Roman"/>
                      <w:color w:val="auto"/>
                      <w:sz w:val="21"/>
                      <w:szCs w:val="21"/>
                      <w:highlight w:val="none"/>
                      <w:lang w:val="en-US" w:eastAsia="zh-CN"/>
                    </w:rPr>
                    <w:t>320</w:t>
                  </w:r>
                  <w:r>
                    <w:rPr>
                      <w:rFonts w:hint="default" w:ascii="Times New Roman" w:hAnsi="Times New Roman" w:eastAsia="宋体" w:cs="Times New Roman"/>
                      <w:color w:val="auto"/>
                      <w:sz w:val="21"/>
                      <w:szCs w:val="21"/>
                      <w:highlight w:val="none"/>
                    </w:rPr>
                    <w:t>m³/h，H=8.0m，N=</w:t>
                  </w:r>
                  <w:r>
                    <w:rPr>
                      <w:rFonts w:hint="default" w:ascii="Times New Roman" w:hAnsi="Times New Roman" w:eastAsia="宋体"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rPr>
                    <w:t>kW</w:t>
                  </w:r>
                </w:p>
                <w:p w14:paraId="588A64A0">
                  <w:pPr>
                    <w:pStyle w:val="151"/>
                    <w:pageBreakBefore w:val="0"/>
                    <w:kinsoku/>
                    <w:wordWrap/>
                    <w:topLinePunct w:val="0"/>
                    <w:bidi w:val="0"/>
                    <w:spacing w:line="240" w:lineRule="auto"/>
                    <w:ind w:firstLine="489"/>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设备数量：3台，2用1备</w:t>
                  </w:r>
                </w:p>
              </w:tc>
              <w:tc>
                <w:tcPr>
                  <w:tcW w:w="401" w:type="pct"/>
                  <w:noWrap w:val="0"/>
                  <w:vAlign w:val="center"/>
                </w:tcPr>
                <w:p w14:paraId="02CF53EC">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台</w:t>
                  </w:r>
                </w:p>
              </w:tc>
              <w:tc>
                <w:tcPr>
                  <w:tcW w:w="351" w:type="pct"/>
                  <w:noWrap w:val="0"/>
                  <w:vAlign w:val="center"/>
                </w:tcPr>
                <w:p w14:paraId="1799D83E">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3</w:t>
                  </w:r>
                </w:p>
              </w:tc>
              <w:tc>
                <w:tcPr>
                  <w:tcW w:w="751" w:type="pct"/>
                  <w:noWrap w:val="0"/>
                  <w:vAlign w:val="center"/>
                </w:tcPr>
                <w:p w14:paraId="719DDF08">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 xml:space="preserve"> 用</w:t>
                  </w:r>
                  <w:r>
                    <w:rPr>
                      <w:rFonts w:hint="default" w:ascii="Times New Roman" w:hAnsi="Times New Roman" w:eastAsia="宋体" w:cs="Times New Roman"/>
                      <w:color w:val="auto"/>
                      <w:spacing w:val="-60"/>
                      <w:sz w:val="21"/>
                      <w:szCs w:val="21"/>
                      <w:highlight w:val="none"/>
                    </w:rPr>
                    <w:t xml:space="preserve"> </w:t>
                  </w:r>
                  <w:r>
                    <w:rPr>
                      <w:rFonts w:hint="default" w:ascii="Times New Roman" w:hAnsi="Times New Roman" w:eastAsia="宋体" w:cs="Times New Roman"/>
                      <w:color w:val="auto"/>
                      <w:sz w:val="21"/>
                      <w:szCs w:val="21"/>
                      <w:highlight w:val="none"/>
                    </w:rPr>
                    <w:t>1 备</w:t>
                  </w:r>
                </w:p>
              </w:tc>
            </w:tr>
            <w:tr w14:paraId="607F2781">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4" w:type="pct"/>
                  <w:noWrap w:val="0"/>
                  <w:vAlign w:val="center"/>
                </w:tcPr>
                <w:p w14:paraId="6C053F03">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12</w:t>
                  </w:r>
                </w:p>
              </w:tc>
              <w:tc>
                <w:tcPr>
                  <w:tcW w:w="588" w:type="pct"/>
                  <w:noWrap w:val="0"/>
                  <w:vAlign w:val="center"/>
                </w:tcPr>
                <w:p w14:paraId="139E7862">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污泥浓缩池</w:t>
                  </w:r>
                </w:p>
              </w:tc>
              <w:tc>
                <w:tcPr>
                  <w:tcW w:w="2564" w:type="pct"/>
                  <w:noWrap w:val="0"/>
                  <w:vAlign w:val="center"/>
                </w:tcPr>
                <w:p w14:paraId="235199AF">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2座，单座土建及设备安装规模为1.25×104m³/d</w:t>
                  </w:r>
                </w:p>
                <w:p w14:paraId="5A31BFFA">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主要设计参数为：直径8m，池深6.77m，</w:t>
                  </w:r>
                </w:p>
                <w:p w14:paraId="718EFB29">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有效水深4.0m，近期固体负荷为29.86kg/（㎡·d)。</w:t>
                  </w:r>
                </w:p>
              </w:tc>
              <w:tc>
                <w:tcPr>
                  <w:tcW w:w="401" w:type="pct"/>
                  <w:noWrap w:val="0"/>
                  <w:vAlign w:val="center"/>
                </w:tcPr>
                <w:p w14:paraId="7DA9A031">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p>
              </w:tc>
              <w:tc>
                <w:tcPr>
                  <w:tcW w:w="351" w:type="pct"/>
                  <w:noWrap w:val="0"/>
                  <w:vAlign w:val="center"/>
                </w:tcPr>
                <w:p w14:paraId="396326FE">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p>
              </w:tc>
              <w:tc>
                <w:tcPr>
                  <w:tcW w:w="751" w:type="pct"/>
                  <w:noWrap w:val="0"/>
                  <w:vAlign w:val="center"/>
                </w:tcPr>
                <w:p w14:paraId="6C00D47E">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p>
              </w:tc>
            </w:tr>
            <w:tr w14:paraId="67394CCD">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4" w:type="pct"/>
                  <w:noWrap w:val="0"/>
                  <w:vAlign w:val="center"/>
                </w:tcPr>
                <w:p w14:paraId="76D2BB17">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13</w:t>
                  </w:r>
                </w:p>
              </w:tc>
              <w:tc>
                <w:tcPr>
                  <w:tcW w:w="588" w:type="pct"/>
                  <w:noWrap w:val="0"/>
                  <w:vAlign w:val="center"/>
                </w:tcPr>
                <w:p w14:paraId="5F984688">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污泥均衡池</w:t>
                  </w:r>
                </w:p>
              </w:tc>
              <w:tc>
                <w:tcPr>
                  <w:tcW w:w="2564" w:type="pct"/>
                  <w:noWrap w:val="0"/>
                  <w:vAlign w:val="center"/>
                </w:tcPr>
                <w:p w14:paraId="7BC085F4">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1座</w:t>
                  </w:r>
                  <w:r>
                    <w:rPr>
                      <w:rFonts w:hint="default" w:ascii="Times New Roman" w:hAnsi="Times New Roman" w:cs="Times New Roman"/>
                      <w:b w:val="0"/>
                      <w:bCs w:val="0"/>
                      <w:color w:val="auto"/>
                      <w:sz w:val="21"/>
                      <w:szCs w:val="21"/>
                      <w:vertAlign w:val="baseline"/>
                      <w:lang w:val="en-US" w:eastAsia="zh-CN"/>
                    </w:rPr>
                    <w:t>2.5×104m³/d 污泥均衡池</w:t>
                  </w:r>
                </w:p>
                <w:p w14:paraId="3B51CCF8">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结构型式：钢筋混凝土池</w:t>
                  </w:r>
                </w:p>
                <w:p w14:paraId="5FD168F1">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平面尺寸：3m×3m，池深3.0m，有效水深2.5m主要设备：搅拌器：1台，7.5kw</w:t>
                  </w:r>
                </w:p>
              </w:tc>
              <w:tc>
                <w:tcPr>
                  <w:tcW w:w="401" w:type="pct"/>
                  <w:noWrap w:val="0"/>
                  <w:vAlign w:val="center"/>
                </w:tcPr>
                <w:p w14:paraId="257A1044">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p>
              </w:tc>
              <w:tc>
                <w:tcPr>
                  <w:tcW w:w="351" w:type="pct"/>
                  <w:noWrap w:val="0"/>
                  <w:vAlign w:val="center"/>
                </w:tcPr>
                <w:p w14:paraId="4FEB629B">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p>
              </w:tc>
              <w:tc>
                <w:tcPr>
                  <w:tcW w:w="751" w:type="pct"/>
                  <w:noWrap w:val="0"/>
                  <w:vAlign w:val="center"/>
                </w:tcPr>
                <w:p w14:paraId="6295B122">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p>
              </w:tc>
            </w:tr>
            <w:tr w14:paraId="352FB5CB">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4" w:type="pct"/>
                  <w:noWrap w:val="0"/>
                  <w:vAlign w:val="center"/>
                </w:tcPr>
                <w:p w14:paraId="653AC559">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14</w:t>
                  </w:r>
                </w:p>
              </w:tc>
              <w:tc>
                <w:tcPr>
                  <w:tcW w:w="588" w:type="pct"/>
                  <w:noWrap w:val="0"/>
                  <w:vAlign w:val="center"/>
                </w:tcPr>
                <w:p w14:paraId="0649E89C">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污泥脱水车间</w:t>
                  </w:r>
                </w:p>
              </w:tc>
              <w:tc>
                <w:tcPr>
                  <w:tcW w:w="2564" w:type="pct"/>
                  <w:noWrap w:val="0"/>
                  <w:vAlign w:val="center"/>
                </w:tcPr>
                <w:p w14:paraId="20A60A4A">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高压隔膜压滤机：2套，单台过滤面积100㎡，N=23.65kw。</w:t>
                  </w:r>
                </w:p>
                <w:p w14:paraId="7A7735B4">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空压系统:1套，排气量10m³/min，N=22kW</w:t>
                  </w:r>
                </w:p>
              </w:tc>
              <w:tc>
                <w:tcPr>
                  <w:tcW w:w="1503" w:type="pct"/>
                  <w:gridSpan w:val="3"/>
                  <w:noWrap w:val="0"/>
                  <w:vAlign w:val="center"/>
                </w:tcPr>
                <w:p w14:paraId="6DCC2C05">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土建规模：2.5×104m³/d</w:t>
                  </w:r>
                </w:p>
                <w:p w14:paraId="2467F9D8">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设备规模：1.5×104m³/d</w:t>
                  </w:r>
                </w:p>
              </w:tc>
            </w:tr>
            <w:tr w14:paraId="45E674F1">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4" w:type="pct"/>
                  <w:noWrap w:val="0"/>
                  <w:vAlign w:val="center"/>
                </w:tcPr>
                <w:p w14:paraId="25193398">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15</w:t>
                  </w:r>
                </w:p>
              </w:tc>
              <w:tc>
                <w:tcPr>
                  <w:tcW w:w="588" w:type="pct"/>
                  <w:noWrap w:val="0"/>
                  <w:vAlign w:val="center"/>
                </w:tcPr>
                <w:p w14:paraId="28892B69">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进水在线监测间</w:t>
                  </w:r>
                </w:p>
              </w:tc>
              <w:tc>
                <w:tcPr>
                  <w:tcW w:w="2564" w:type="pct"/>
                  <w:noWrap w:val="0"/>
                  <w:vAlign w:val="center"/>
                </w:tcPr>
                <w:p w14:paraId="2B9DE86D">
                  <w:pPr>
                    <w:pStyle w:val="26"/>
                    <w:keepNext w:val="0"/>
                    <w:keepLines w:val="0"/>
                    <w:pageBreakBefore w:val="0"/>
                    <w:widowControl w:val="0"/>
                    <w:wordWrap/>
                    <w:topLinePunct w:val="0"/>
                    <w:autoSpaceDE/>
                    <w:autoSpaceDN/>
                    <w:bidi w:val="0"/>
                    <w:adjustRightInd/>
                    <w:snapToGrid w:val="0"/>
                    <w:spacing w:line="24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数据采集仪 ：1 套</w:t>
                  </w:r>
                </w:p>
                <w:p w14:paraId="2AD32D8D">
                  <w:pPr>
                    <w:pStyle w:val="26"/>
                    <w:keepNext w:val="0"/>
                    <w:keepLines w:val="0"/>
                    <w:pageBreakBefore w:val="0"/>
                    <w:widowControl w:val="0"/>
                    <w:wordWrap/>
                    <w:topLinePunct w:val="0"/>
                    <w:autoSpaceDE/>
                    <w:autoSpaceDN/>
                    <w:bidi w:val="0"/>
                    <w:adjustRightInd/>
                    <w:snapToGrid w:val="0"/>
                    <w:spacing w:line="24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COD 在线监测仪 ：1 套</w:t>
                  </w:r>
                </w:p>
                <w:p w14:paraId="7FEEE6D2">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NH</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lang w:val="en-US" w:eastAsia="zh-CN"/>
                    </w:rPr>
                    <w:t>-N 在线监测仪 ：1 套</w:t>
                  </w:r>
                </w:p>
              </w:tc>
              <w:tc>
                <w:tcPr>
                  <w:tcW w:w="1503" w:type="pct"/>
                  <w:gridSpan w:val="3"/>
                  <w:noWrap w:val="0"/>
                  <w:vAlign w:val="center"/>
                </w:tcPr>
                <w:p w14:paraId="5A0C82FA">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平面尺寸为：12.0m×6.0m，建筑面积：72.0㎡。</w:t>
                  </w:r>
                </w:p>
              </w:tc>
            </w:tr>
            <w:tr w14:paraId="110B5C76">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4" w:type="pct"/>
                  <w:noWrap w:val="0"/>
                  <w:vAlign w:val="center"/>
                </w:tcPr>
                <w:p w14:paraId="14A1329D">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16</w:t>
                  </w:r>
                </w:p>
              </w:tc>
              <w:tc>
                <w:tcPr>
                  <w:tcW w:w="588" w:type="pct"/>
                  <w:noWrap w:val="0"/>
                  <w:vAlign w:val="center"/>
                </w:tcPr>
                <w:p w14:paraId="3F3B6272">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出水在线监测间</w:t>
                  </w:r>
                </w:p>
              </w:tc>
              <w:tc>
                <w:tcPr>
                  <w:tcW w:w="2564" w:type="pct"/>
                  <w:noWrap w:val="0"/>
                  <w:vAlign w:val="center"/>
                </w:tcPr>
                <w:p w14:paraId="787F994B">
                  <w:pPr>
                    <w:pStyle w:val="26"/>
                    <w:keepNext w:val="0"/>
                    <w:keepLines w:val="0"/>
                    <w:pageBreakBefore w:val="0"/>
                    <w:widowControl w:val="0"/>
                    <w:wordWrap/>
                    <w:topLinePunct w:val="0"/>
                    <w:autoSpaceDE/>
                    <w:autoSpaceDN/>
                    <w:bidi w:val="0"/>
                    <w:adjustRightInd/>
                    <w:snapToGrid w:val="0"/>
                    <w:spacing w:line="24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数据采集仪：1套</w:t>
                  </w:r>
                </w:p>
                <w:p w14:paraId="02881907">
                  <w:pPr>
                    <w:pStyle w:val="26"/>
                    <w:keepNext w:val="0"/>
                    <w:keepLines w:val="0"/>
                    <w:pageBreakBefore w:val="0"/>
                    <w:widowControl w:val="0"/>
                    <w:wordWrap/>
                    <w:topLinePunct w:val="0"/>
                    <w:autoSpaceDE/>
                    <w:autoSpaceDN/>
                    <w:bidi w:val="0"/>
                    <w:adjustRightInd/>
                    <w:snapToGrid w:val="0"/>
                    <w:spacing w:line="24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COD在线监测仪：1套 </w:t>
                  </w:r>
                </w:p>
                <w:p w14:paraId="746E45DD">
                  <w:pPr>
                    <w:pStyle w:val="26"/>
                    <w:keepNext w:val="0"/>
                    <w:keepLines w:val="0"/>
                    <w:pageBreakBefore w:val="0"/>
                    <w:widowControl w:val="0"/>
                    <w:wordWrap/>
                    <w:topLinePunct w:val="0"/>
                    <w:autoSpaceDE/>
                    <w:autoSpaceDN/>
                    <w:bidi w:val="0"/>
                    <w:adjustRightInd/>
                    <w:snapToGrid w:val="0"/>
                    <w:spacing w:line="24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NH3-N在线监测仪：1套 </w:t>
                  </w:r>
                </w:p>
                <w:p w14:paraId="07BE1800">
                  <w:pPr>
                    <w:pStyle w:val="26"/>
                    <w:keepNext w:val="0"/>
                    <w:keepLines w:val="0"/>
                    <w:pageBreakBefore w:val="0"/>
                    <w:widowControl w:val="0"/>
                    <w:wordWrap/>
                    <w:topLinePunct w:val="0"/>
                    <w:autoSpaceDE/>
                    <w:autoSpaceDN/>
                    <w:bidi w:val="0"/>
                    <w:adjustRightInd/>
                    <w:snapToGrid w:val="0"/>
                    <w:spacing w:line="24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TP在线监测仪：1套 </w:t>
                  </w:r>
                </w:p>
                <w:p w14:paraId="5BEE7A08">
                  <w:pPr>
                    <w:pStyle w:val="26"/>
                    <w:keepNext w:val="0"/>
                    <w:keepLines w:val="0"/>
                    <w:pageBreakBefore w:val="0"/>
                    <w:widowControl w:val="0"/>
                    <w:wordWrap/>
                    <w:topLinePunct w:val="0"/>
                    <w:autoSpaceDE/>
                    <w:autoSpaceDN/>
                    <w:bidi w:val="0"/>
                    <w:adjustRightInd/>
                    <w:snapToGrid w:val="0"/>
                    <w:spacing w:line="24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TN在线监测仪：1套</w:t>
                  </w:r>
                </w:p>
                <w:p w14:paraId="791F1666">
                  <w:pPr>
                    <w:pStyle w:val="26"/>
                    <w:keepNext w:val="0"/>
                    <w:keepLines w:val="0"/>
                    <w:pageBreakBefore w:val="0"/>
                    <w:widowControl w:val="0"/>
                    <w:wordWrap/>
                    <w:topLinePunct w:val="0"/>
                    <w:autoSpaceDE/>
                    <w:autoSpaceDN/>
                    <w:bidi w:val="0"/>
                    <w:adjustRightInd/>
                    <w:snapToGrid w:val="0"/>
                    <w:spacing w:line="24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PH在线监测仪：1套</w:t>
                  </w:r>
                </w:p>
              </w:tc>
              <w:tc>
                <w:tcPr>
                  <w:tcW w:w="1503" w:type="pct"/>
                  <w:gridSpan w:val="3"/>
                  <w:noWrap w:val="0"/>
                  <w:vAlign w:val="center"/>
                </w:tcPr>
                <w:p w14:paraId="667F6643">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土建及设备安装规模均按2.5×104m³/d</w:t>
                  </w:r>
                </w:p>
                <w:p w14:paraId="4CC299C1">
                  <w:pPr>
                    <w:pStyle w:val="31"/>
                    <w:ind w:left="0" w:leftChars="0" w:firstLine="0" w:firstLineChars="0"/>
                    <w:rPr>
                      <w:rFonts w:hint="eastAsia"/>
                      <w:color w:val="auto"/>
                      <w:lang w:val="en-US" w:eastAsia="zh-CN"/>
                    </w:rPr>
                  </w:pPr>
                  <w:r>
                    <w:rPr>
                      <w:rFonts w:hint="eastAsia"/>
                      <w:color w:val="auto"/>
                      <w:lang w:val="en-US" w:eastAsia="zh-CN"/>
                    </w:rPr>
                    <w:t>平面尺寸统一为：12.0m×6.0m，建筑面积：72.0㎡</w:t>
                  </w:r>
                </w:p>
              </w:tc>
            </w:tr>
            <w:tr w14:paraId="4EACFADD">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4" w:type="pct"/>
                  <w:noWrap w:val="0"/>
                  <w:vAlign w:val="center"/>
                </w:tcPr>
                <w:p w14:paraId="496BEC77">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17</w:t>
                  </w:r>
                </w:p>
              </w:tc>
              <w:tc>
                <w:tcPr>
                  <w:tcW w:w="588" w:type="pct"/>
                  <w:noWrap w:val="0"/>
                  <w:vAlign w:val="center"/>
                </w:tcPr>
                <w:p w14:paraId="7DD2F2BE">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生物除臭</w:t>
                  </w:r>
                </w:p>
              </w:tc>
              <w:tc>
                <w:tcPr>
                  <w:tcW w:w="2564" w:type="pct"/>
                  <w:noWrap w:val="0"/>
                  <w:vAlign w:val="center"/>
                </w:tcPr>
                <w:p w14:paraId="57792E8B">
                  <w:pPr>
                    <w:pStyle w:val="26"/>
                    <w:keepNext w:val="0"/>
                    <w:keepLines w:val="0"/>
                    <w:pageBreakBefore w:val="0"/>
                    <w:widowControl w:val="0"/>
                    <w:wordWrap/>
                    <w:topLinePunct w:val="0"/>
                    <w:autoSpaceDE/>
                    <w:autoSpaceDN/>
                    <w:bidi w:val="0"/>
                    <w:adjustRightInd/>
                    <w:snapToGrid w:val="0"/>
                    <w:spacing w:line="240" w:lineRule="auto"/>
                    <w:ind w:left="420" w:leftChars="200" w:right="0" w:firstLine="0" w:firstLineChars="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生物除臭滤池：生物滤池：尺寸：10.0m×</w:t>
                  </w:r>
                  <w:r>
                    <w:rPr>
                      <w:rFonts w:hint="default" w:ascii="Times New Roman" w:hAnsi="Times New Roman"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lang w:val="en-US" w:eastAsia="zh-CN"/>
                    </w:rPr>
                    <w:t>m×2.6m，1套离心风机：Q=1</w:t>
                  </w:r>
                  <w:r>
                    <w:rPr>
                      <w:rFonts w:hint="default" w:ascii="Times New Roman" w:hAnsi="Times New Roman" w:cs="Times New Roman"/>
                      <w:color w:val="auto"/>
                      <w:sz w:val="21"/>
                      <w:szCs w:val="21"/>
                      <w:highlight w:val="none"/>
                      <w:lang w:val="en-US" w:eastAsia="zh-CN"/>
                    </w:rPr>
                    <w:t>35</w:t>
                  </w:r>
                  <w:r>
                    <w:rPr>
                      <w:rFonts w:hint="default" w:ascii="Times New Roman" w:hAnsi="Times New Roman" w:eastAsia="宋体" w:cs="Times New Roman"/>
                      <w:color w:val="auto"/>
                      <w:sz w:val="21"/>
                      <w:szCs w:val="21"/>
                      <w:highlight w:val="none"/>
                      <w:lang w:val="en-US" w:eastAsia="zh-CN"/>
                    </w:rPr>
                    <w:t>00m³/h、P=2200Pa、N=18.5kW，2台循环水泵：Q=</w:t>
                  </w:r>
                  <w:r>
                    <w:rPr>
                      <w:rFonts w:hint="default" w:ascii="Times New Roman" w:hAnsi="Times New Roman"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 xml:space="preserve">m³/h，H=30-40m，N=4.5kW，2台，1用1备 </w:t>
                  </w:r>
                </w:p>
              </w:tc>
              <w:tc>
                <w:tcPr>
                  <w:tcW w:w="1503" w:type="pct"/>
                  <w:gridSpan w:val="3"/>
                  <w:noWrap w:val="0"/>
                  <w:vAlign w:val="center"/>
                </w:tcPr>
                <w:p w14:paraId="403B180A">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设计总风量</w:t>
                  </w:r>
                  <w:r>
                    <w:rPr>
                      <w:rFonts w:hint="eastAsia" w:ascii="Times New Roman" w:hAnsi="Times New Roman" w:cs="Times New Roman"/>
                      <w:b w:val="0"/>
                      <w:bCs w:val="0"/>
                      <w:color w:val="auto"/>
                      <w:sz w:val="21"/>
                      <w:szCs w:val="21"/>
                      <w:vertAlign w:val="baseline"/>
                      <w:lang w:val="en-US" w:eastAsia="zh-CN"/>
                    </w:rPr>
                    <w:t>28500m³/h</w:t>
                  </w:r>
                </w:p>
              </w:tc>
            </w:tr>
            <w:tr w14:paraId="7F62861E">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344" w:type="pct"/>
                  <w:noWrap w:val="0"/>
                  <w:vAlign w:val="center"/>
                </w:tcPr>
                <w:p w14:paraId="3E157BD6">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18</w:t>
                  </w:r>
                </w:p>
              </w:tc>
              <w:tc>
                <w:tcPr>
                  <w:tcW w:w="588" w:type="pct"/>
                  <w:noWrap w:val="0"/>
                  <w:vAlign w:val="center"/>
                </w:tcPr>
                <w:p w14:paraId="1AC6FCAE">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柴油发电机</w:t>
                  </w:r>
                </w:p>
              </w:tc>
              <w:tc>
                <w:tcPr>
                  <w:tcW w:w="2564" w:type="pct"/>
                  <w:noWrap w:val="0"/>
                  <w:vAlign w:val="center"/>
                </w:tcPr>
                <w:p w14:paraId="636D1913">
                  <w:pPr>
                    <w:pStyle w:val="26"/>
                    <w:keepNext w:val="0"/>
                    <w:keepLines w:val="0"/>
                    <w:pageBreakBefore w:val="0"/>
                    <w:widowControl w:val="0"/>
                    <w:wordWrap/>
                    <w:topLinePunct w:val="0"/>
                    <w:autoSpaceDE/>
                    <w:autoSpaceDN/>
                    <w:bidi w:val="0"/>
                    <w:adjustRightInd/>
                    <w:snapToGrid w:val="0"/>
                    <w:spacing w:line="240" w:lineRule="auto"/>
                    <w:ind w:left="420" w:leftChars="20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bCs/>
                      <w:color w:val="auto"/>
                      <w:kern w:val="2"/>
                      <w:sz w:val="21"/>
                      <w:szCs w:val="21"/>
                      <w:lang w:val="en-US" w:eastAsia="zh-CN" w:bidi="ar-SA"/>
                    </w:rPr>
                    <w:t>1</w:t>
                  </w:r>
                  <w:r>
                    <w:rPr>
                      <w:rFonts w:hint="default" w:ascii="Times New Roman" w:hAnsi="Times New Roman"/>
                      <w:bCs/>
                      <w:color w:val="auto"/>
                      <w:kern w:val="2"/>
                      <w:sz w:val="21"/>
                      <w:szCs w:val="21"/>
                      <w:lang w:val="en-US" w:eastAsia="zh-CN" w:bidi="ar-SA"/>
                    </w:rPr>
                    <w:t>00KW</w:t>
                  </w:r>
                </w:p>
              </w:tc>
              <w:tc>
                <w:tcPr>
                  <w:tcW w:w="1503" w:type="pct"/>
                  <w:gridSpan w:val="3"/>
                  <w:noWrap w:val="0"/>
                  <w:vAlign w:val="center"/>
                </w:tcPr>
                <w:p w14:paraId="75ADC2B2">
                  <w:pPr>
                    <w:keepNext w:val="0"/>
                    <w:keepLines w:val="0"/>
                    <w:pageBreakBefore w:val="0"/>
                    <w:widowControl w:val="0"/>
                    <w:kinsoku/>
                    <w:wordWrap/>
                    <w:overflowPunct/>
                    <w:topLinePunct w:val="0"/>
                    <w:autoSpaceDE/>
                    <w:autoSpaceDN/>
                    <w:bidi w:val="0"/>
                    <w:adjustRightInd/>
                    <w:snapToGrid/>
                    <w:spacing w:line="240" w:lineRule="auto"/>
                    <w:ind w:left="-53" w:leftChars="-25" w:right="-53" w:rightChars="-25"/>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1台</w:t>
                  </w:r>
                </w:p>
              </w:tc>
            </w:tr>
          </w:tbl>
          <w:p w14:paraId="03A5F897">
            <w:pPr>
              <w:spacing w:line="360" w:lineRule="auto"/>
              <w:ind w:firstLine="482" w:firstLineChars="200"/>
              <w:jc w:val="left"/>
              <w:rPr>
                <w:b/>
                <w:bCs/>
                <w:color w:val="auto"/>
                <w:sz w:val="24"/>
              </w:rPr>
            </w:pPr>
            <w:r>
              <w:rPr>
                <w:rFonts w:hint="eastAsia"/>
                <w:b/>
                <w:bCs/>
                <w:color w:val="auto"/>
                <w:sz w:val="24"/>
                <w:lang w:val="en-US" w:eastAsia="zh-CN"/>
              </w:rPr>
              <w:t>6</w:t>
            </w:r>
            <w:r>
              <w:rPr>
                <w:b/>
                <w:bCs/>
                <w:color w:val="auto"/>
                <w:sz w:val="24"/>
              </w:rPr>
              <w:t>、主要原辅材料及能源消耗</w:t>
            </w:r>
          </w:p>
          <w:p w14:paraId="3AACFDD3">
            <w:pPr>
              <w:pStyle w:val="25"/>
              <w:spacing w:after="0" w:line="324" w:lineRule="auto"/>
              <w:ind w:left="0" w:leftChars="0" w:firstLine="480" w:firstLineChars="200"/>
              <w:jc w:val="left"/>
              <w:rPr>
                <w:rFonts w:hint="eastAsia"/>
                <w:color w:val="auto"/>
                <w:sz w:val="24"/>
                <w:szCs w:val="24"/>
                <w:u w:val="single"/>
              </w:rPr>
            </w:pPr>
            <w:r>
              <w:rPr>
                <w:rFonts w:hint="eastAsia"/>
                <w:color w:val="auto"/>
                <w:sz w:val="24"/>
                <w:szCs w:val="24"/>
                <w:u w:val="single"/>
                <w:lang w:eastAsia="zh-CN"/>
              </w:rPr>
              <w:t>本项目</w:t>
            </w:r>
            <w:r>
              <w:rPr>
                <w:rFonts w:hint="eastAsia"/>
                <w:color w:val="auto"/>
                <w:sz w:val="24"/>
                <w:szCs w:val="24"/>
                <w:u w:val="single"/>
              </w:rPr>
              <w:t>主要原辅材料合计消耗情况见下表：</w:t>
            </w:r>
          </w:p>
          <w:p w14:paraId="2F64C373">
            <w:pPr>
              <w:spacing w:before="46" w:beforeLines="15"/>
              <w:jc w:val="center"/>
              <w:rPr>
                <w:rFonts w:hint="eastAsia" w:eastAsia="宋体"/>
                <w:b/>
                <w:bCs/>
                <w:color w:val="auto"/>
                <w:szCs w:val="21"/>
                <w:highlight w:val="none"/>
                <w:u w:val="single"/>
                <w:lang w:eastAsia="zh-CN"/>
              </w:rPr>
            </w:pPr>
            <w:r>
              <w:rPr>
                <w:b/>
                <w:bCs/>
                <w:color w:val="auto"/>
                <w:szCs w:val="21"/>
                <w:highlight w:val="none"/>
                <w:u w:val="single"/>
              </w:rPr>
              <w:t>表2-</w:t>
            </w:r>
            <w:r>
              <w:rPr>
                <w:rFonts w:hint="eastAsia"/>
                <w:b/>
                <w:bCs/>
                <w:color w:val="auto"/>
                <w:szCs w:val="21"/>
                <w:highlight w:val="none"/>
                <w:u w:val="single"/>
                <w:lang w:val="en-US" w:eastAsia="zh-CN"/>
              </w:rPr>
              <w:t>7</w:t>
            </w:r>
            <w:r>
              <w:rPr>
                <w:b/>
                <w:bCs/>
                <w:color w:val="auto"/>
                <w:szCs w:val="21"/>
                <w:highlight w:val="none"/>
                <w:u w:val="single"/>
              </w:rPr>
              <w:t xml:space="preserve">  原辅材料及能源消耗一览表</w:t>
            </w:r>
          </w:p>
          <w:tbl>
            <w:tblPr>
              <w:tblStyle w:val="32"/>
              <w:tblW w:w="85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905"/>
              <w:gridCol w:w="1400"/>
              <w:gridCol w:w="1630"/>
              <w:gridCol w:w="1333"/>
              <w:gridCol w:w="1577"/>
            </w:tblGrid>
            <w:tr w14:paraId="4E80BE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709" w:type="dxa"/>
                  <w:tcBorders>
                    <w:tl2br w:val="nil"/>
                    <w:tr2bl w:val="nil"/>
                  </w:tcBorders>
                  <w:vAlign w:val="center"/>
                </w:tcPr>
                <w:p w14:paraId="414D05E6">
                  <w:pPr>
                    <w:jc w:val="center"/>
                    <w:rPr>
                      <w:rFonts w:hint="default" w:eastAsia="宋体"/>
                      <w:color w:val="auto"/>
                      <w:sz w:val="21"/>
                      <w:szCs w:val="21"/>
                      <w:highlight w:val="none"/>
                      <w:u w:val="single"/>
                      <w:lang w:val="en-US" w:eastAsia="zh-CN"/>
                    </w:rPr>
                  </w:pPr>
                  <w:r>
                    <w:rPr>
                      <w:rFonts w:hint="eastAsia"/>
                      <w:color w:val="auto"/>
                      <w:sz w:val="21"/>
                      <w:szCs w:val="21"/>
                      <w:highlight w:val="none"/>
                      <w:u w:val="single"/>
                      <w:lang w:val="en-US" w:eastAsia="zh-CN"/>
                    </w:rPr>
                    <w:t>序号</w:t>
                  </w:r>
                </w:p>
              </w:tc>
              <w:tc>
                <w:tcPr>
                  <w:tcW w:w="1905" w:type="dxa"/>
                  <w:tcBorders>
                    <w:tl2br w:val="nil"/>
                    <w:tr2bl w:val="nil"/>
                  </w:tcBorders>
                  <w:vAlign w:val="center"/>
                </w:tcPr>
                <w:p w14:paraId="031559F0">
                  <w:pPr>
                    <w:pStyle w:val="103"/>
                    <w:rPr>
                      <w:rFonts w:hint="eastAsia" w:eastAsia="宋体"/>
                      <w:color w:val="auto"/>
                      <w:sz w:val="21"/>
                      <w:szCs w:val="21"/>
                      <w:highlight w:val="none"/>
                      <w:u w:val="single"/>
                      <w:lang w:val="en-US" w:eastAsia="zh-CN"/>
                    </w:rPr>
                  </w:pPr>
                  <w:r>
                    <w:rPr>
                      <w:rFonts w:hint="eastAsia" w:eastAsia="宋体"/>
                      <w:color w:val="auto"/>
                      <w:sz w:val="21"/>
                      <w:szCs w:val="21"/>
                      <w:highlight w:val="none"/>
                      <w:u w:val="single"/>
                      <w:lang w:val="en-US" w:eastAsia="zh-CN"/>
                    </w:rPr>
                    <w:t>名称</w:t>
                  </w:r>
                </w:p>
              </w:tc>
              <w:tc>
                <w:tcPr>
                  <w:tcW w:w="1400" w:type="dxa"/>
                  <w:tcBorders>
                    <w:tl2br w:val="nil"/>
                    <w:tr2bl w:val="nil"/>
                  </w:tcBorders>
                  <w:vAlign w:val="center"/>
                </w:tcPr>
                <w:p w14:paraId="0C6FE28E">
                  <w:pPr>
                    <w:jc w:val="center"/>
                    <w:rPr>
                      <w:rFonts w:hint="default"/>
                      <w:color w:val="auto"/>
                      <w:sz w:val="21"/>
                      <w:szCs w:val="21"/>
                      <w:highlight w:val="none"/>
                      <w:u w:val="single"/>
                      <w:lang w:val="en-US" w:eastAsia="zh-CN"/>
                    </w:rPr>
                  </w:pPr>
                  <w:r>
                    <w:rPr>
                      <w:rFonts w:hint="eastAsia"/>
                      <w:color w:val="auto"/>
                      <w:sz w:val="21"/>
                      <w:szCs w:val="21"/>
                      <w:highlight w:val="none"/>
                      <w:u w:val="single"/>
                      <w:lang w:val="en-US" w:eastAsia="zh-CN"/>
                    </w:rPr>
                    <w:t>消耗量（t/a）</w:t>
                  </w:r>
                </w:p>
              </w:tc>
              <w:tc>
                <w:tcPr>
                  <w:tcW w:w="1630" w:type="dxa"/>
                  <w:tcBorders>
                    <w:tl2br w:val="nil"/>
                    <w:tr2bl w:val="nil"/>
                  </w:tcBorders>
                  <w:vAlign w:val="center"/>
                </w:tcPr>
                <w:p w14:paraId="60070582">
                  <w:pPr>
                    <w:jc w:val="center"/>
                    <w:rPr>
                      <w:rFonts w:hint="default" w:eastAsia="宋体"/>
                      <w:color w:val="auto"/>
                      <w:sz w:val="21"/>
                      <w:szCs w:val="21"/>
                      <w:highlight w:val="none"/>
                      <w:u w:val="single"/>
                      <w:lang w:val="en-US" w:eastAsia="zh-CN"/>
                    </w:rPr>
                  </w:pPr>
                  <w:r>
                    <w:rPr>
                      <w:rFonts w:hint="eastAsia"/>
                      <w:color w:val="auto"/>
                      <w:sz w:val="21"/>
                      <w:szCs w:val="21"/>
                      <w:highlight w:val="none"/>
                      <w:u w:val="single"/>
                      <w:lang w:val="en-US" w:eastAsia="zh-CN"/>
                    </w:rPr>
                    <w:t>最大贮存量（t）</w:t>
                  </w:r>
                </w:p>
              </w:tc>
              <w:tc>
                <w:tcPr>
                  <w:tcW w:w="1333" w:type="dxa"/>
                  <w:tcBorders>
                    <w:tl2br w:val="nil"/>
                    <w:tr2bl w:val="nil"/>
                  </w:tcBorders>
                  <w:vAlign w:val="center"/>
                </w:tcPr>
                <w:p w14:paraId="0CFA2987">
                  <w:pPr>
                    <w:jc w:val="center"/>
                    <w:rPr>
                      <w:rFonts w:hint="eastAsia" w:eastAsia="宋体"/>
                      <w:color w:val="auto"/>
                      <w:sz w:val="21"/>
                      <w:szCs w:val="21"/>
                      <w:highlight w:val="none"/>
                      <w:u w:val="single"/>
                      <w:lang w:val="en-US" w:eastAsia="zh-CN"/>
                    </w:rPr>
                  </w:pPr>
                  <w:r>
                    <w:rPr>
                      <w:rFonts w:hint="eastAsia"/>
                      <w:color w:val="auto"/>
                      <w:sz w:val="21"/>
                      <w:szCs w:val="21"/>
                      <w:highlight w:val="none"/>
                      <w:u w:val="single"/>
                      <w:lang w:val="en-US" w:eastAsia="zh-CN"/>
                    </w:rPr>
                    <w:t>贮存方式</w:t>
                  </w:r>
                </w:p>
              </w:tc>
              <w:tc>
                <w:tcPr>
                  <w:tcW w:w="1577" w:type="dxa"/>
                  <w:tcBorders>
                    <w:tl2br w:val="nil"/>
                    <w:tr2bl w:val="nil"/>
                  </w:tcBorders>
                  <w:vAlign w:val="center"/>
                </w:tcPr>
                <w:p w14:paraId="05283F88">
                  <w:pPr>
                    <w:jc w:val="center"/>
                    <w:rPr>
                      <w:rFonts w:hint="eastAsia" w:eastAsia="宋体"/>
                      <w:color w:val="auto"/>
                      <w:sz w:val="21"/>
                      <w:szCs w:val="21"/>
                      <w:highlight w:val="none"/>
                      <w:u w:val="single"/>
                      <w:lang w:val="en-US" w:eastAsia="zh-CN"/>
                    </w:rPr>
                  </w:pPr>
                  <w:r>
                    <w:rPr>
                      <w:rFonts w:hint="eastAsia"/>
                      <w:color w:val="auto"/>
                      <w:sz w:val="21"/>
                      <w:szCs w:val="21"/>
                      <w:highlight w:val="none"/>
                      <w:u w:val="single"/>
                      <w:lang w:val="en-US" w:eastAsia="zh-CN"/>
                    </w:rPr>
                    <w:t>备注</w:t>
                  </w:r>
                </w:p>
              </w:tc>
            </w:tr>
            <w:tr w14:paraId="49CD19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709" w:type="dxa"/>
                  <w:tcBorders>
                    <w:tl2br w:val="nil"/>
                    <w:tr2bl w:val="nil"/>
                  </w:tcBorders>
                  <w:vAlign w:val="center"/>
                </w:tcPr>
                <w:p w14:paraId="3134B502">
                  <w:pPr>
                    <w:jc w:val="center"/>
                    <w:rPr>
                      <w:rFonts w:hint="default"/>
                      <w:color w:val="auto"/>
                      <w:sz w:val="21"/>
                      <w:szCs w:val="21"/>
                      <w:u w:val="single"/>
                      <w:lang w:val="en-US" w:eastAsia="zh-CN"/>
                    </w:rPr>
                  </w:pPr>
                  <w:r>
                    <w:rPr>
                      <w:rFonts w:hint="eastAsia"/>
                      <w:color w:val="auto"/>
                      <w:sz w:val="21"/>
                      <w:szCs w:val="21"/>
                      <w:u w:val="single"/>
                      <w:lang w:val="en-US" w:eastAsia="zh-CN"/>
                    </w:rPr>
                    <w:t>1</w:t>
                  </w:r>
                </w:p>
              </w:tc>
              <w:tc>
                <w:tcPr>
                  <w:tcW w:w="1905" w:type="dxa"/>
                  <w:tcBorders>
                    <w:tl2br w:val="nil"/>
                    <w:tr2bl w:val="nil"/>
                  </w:tcBorders>
                  <w:vAlign w:val="center"/>
                </w:tcPr>
                <w:p w14:paraId="06046EFC">
                  <w:pPr>
                    <w:pStyle w:val="103"/>
                    <w:rPr>
                      <w:rFonts w:hint="default" w:eastAsia="宋体"/>
                      <w:color w:val="auto"/>
                      <w:sz w:val="21"/>
                      <w:szCs w:val="21"/>
                      <w:u w:val="single"/>
                      <w:lang w:val="en-US" w:eastAsia="zh-CN"/>
                    </w:rPr>
                  </w:pPr>
                  <w:r>
                    <w:rPr>
                      <w:rFonts w:hint="eastAsia" w:eastAsia="宋体"/>
                      <w:color w:val="auto"/>
                      <w:sz w:val="21"/>
                      <w:szCs w:val="21"/>
                      <w:u w:val="single"/>
                      <w:lang w:val="en-US" w:eastAsia="zh-CN"/>
                    </w:rPr>
                    <w:t>聚合氯化铝（PAC）</w:t>
                  </w:r>
                </w:p>
              </w:tc>
              <w:tc>
                <w:tcPr>
                  <w:tcW w:w="1400" w:type="dxa"/>
                  <w:tcBorders>
                    <w:tl2br w:val="nil"/>
                    <w:tr2bl w:val="nil"/>
                  </w:tcBorders>
                  <w:vAlign w:val="center"/>
                </w:tcPr>
                <w:p w14:paraId="02051358">
                  <w:pPr>
                    <w:jc w:val="center"/>
                    <w:rPr>
                      <w:rFonts w:hint="default"/>
                      <w:color w:val="auto"/>
                      <w:sz w:val="21"/>
                      <w:szCs w:val="21"/>
                      <w:u w:val="single"/>
                      <w:lang w:val="en-US" w:eastAsia="zh-CN"/>
                    </w:rPr>
                  </w:pPr>
                  <w:r>
                    <w:rPr>
                      <w:rFonts w:hint="eastAsia"/>
                      <w:color w:val="auto"/>
                      <w:sz w:val="21"/>
                      <w:szCs w:val="21"/>
                      <w:u w:val="single"/>
                      <w:lang w:val="en-US" w:eastAsia="zh-CN"/>
                    </w:rPr>
                    <w:t>15</w:t>
                  </w:r>
                </w:p>
              </w:tc>
              <w:tc>
                <w:tcPr>
                  <w:tcW w:w="1630" w:type="dxa"/>
                  <w:tcBorders>
                    <w:tl2br w:val="nil"/>
                    <w:tr2bl w:val="nil"/>
                  </w:tcBorders>
                  <w:vAlign w:val="center"/>
                </w:tcPr>
                <w:p w14:paraId="64A411E6">
                  <w:pPr>
                    <w:jc w:val="center"/>
                    <w:rPr>
                      <w:rFonts w:hint="default"/>
                      <w:color w:val="auto"/>
                      <w:sz w:val="21"/>
                      <w:szCs w:val="21"/>
                      <w:u w:val="single"/>
                      <w:lang w:val="en-US" w:eastAsia="zh-CN"/>
                    </w:rPr>
                  </w:pPr>
                  <w:r>
                    <w:rPr>
                      <w:rFonts w:hint="eastAsia"/>
                      <w:color w:val="auto"/>
                      <w:sz w:val="21"/>
                      <w:szCs w:val="21"/>
                      <w:u w:val="single"/>
                      <w:lang w:val="en-US" w:eastAsia="zh-CN"/>
                    </w:rPr>
                    <w:t>1</w:t>
                  </w:r>
                </w:p>
              </w:tc>
              <w:tc>
                <w:tcPr>
                  <w:tcW w:w="1333" w:type="dxa"/>
                  <w:tcBorders>
                    <w:tl2br w:val="nil"/>
                    <w:tr2bl w:val="nil"/>
                  </w:tcBorders>
                  <w:vAlign w:val="center"/>
                </w:tcPr>
                <w:p w14:paraId="62054824">
                  <w:pPr>
                    <w:jc w:val="center"/>
                    <w:rPr>
                      <w:rFonts w:hint="default"/>
                      <w:color w:val="auto"/>
                      <w:sz w:val="21"/>
                      <w:szCs w:val="21"/>
                      <w:u w:val="single"/>
                      <w:lang w:val="en-US" w:eastAsia="zh-CN"/>
                    </w:rPr>
                  </w:pPr>
                  <w:r>
                    <w:rPr>
                      <w:rFonts w:hint="eastAsia"/>
                      <w:color w:val="auto"/>
                      <w:sz w:val="21"/>
                      <w:szCs w:val="21"/>
                      <w:u w:val="single"/>
                      <w:lang w:val="en-US" w:eastAsia="zh-CN"/>
                    </w:rPr>
                    <w:t>袋装</w:t>
                  </w:r>
                </w:p>
              </w:tc>
              <w:tc>
                <w:tcPr>
                  <w:tcW w:w="1577" w:type="dxa"/>
                  <w:tcBorders>
                    <w:tl2br w:val="nil"/>
                    <w:tr2bl w:val="nil"/>
                  </w:tcBorders>
                  <w:vAlign w:val="center"/>
                </w:tcPr>
                <w:p w14:paraId="53F4422C">
                  <w:pPr>
                    <w:jc w:val="center"/>
                    <w:rPr>
                      <w:rFonts w:hint="default"/>
                      <w:color w:val="auto"/>
                      <w:sz w:val="21"/>
                      <w:szCs w:val="21"/>
                      <w:u w:val="single"/>
                      <w:lang w:val="en-US" w:eastAsia="zh-CN"/>
                    </w:rPr>
                  </w:pPr>
                  <w:r>
                    <w:rPr>
                      <w:rFonts w:hint="eastAsia"/>
                      <w:color w:val="auto"/>
                      <w:sz w:val="21"/>
                      <w:szCs w:val="21"/>
                      <w:u w:val="single"/>
                      <w:lang w:val="en-US" w:eastAsia="zh-CN"/>
                    </w:rPr>
                    <w:t>加药间</w:t>
                  </w:r>
                </w:p>
              </w:tc>
            </w:tr>
            <w:tr w14:paraId="6865E0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709" w:type="dxa"/>
                  <w:tcBorders>
                    <w:tl2br w:val="nil"/>
                    <w:tr2bl w:val="nil"/>
                  </w:tcBorders>
                  <w:vAlign w:val="center"/>
                </w:tcPr>
                <w:p w14:paraId="6B36CFF4">
                  <w:pPr>
                    <w:jc w:val="center"/>
                    <w:rPr>
                      <w:rFonts w:hint="default"/>
                      <w:color w:val="auto"/>
                      <w:sz w:val="21"/>
                      <w:szCs w:val="21"/>
                      <w:u w:val="single"/>
                      <w:lang w:val="en-US" w:eastAsia="zh-CN"/>
                    </w:rPr>
                  </w:pPr>
                  <w:r>
                    <w:rPr>
                      <w:rFonts w:hint="eastAsia"/>
                      <w:color w:val="auto"/>
                      <w:sz w:val="21"/>
                      <w:szCs w:val="21"/>
                      <w:u w:val="single"/>
                      <w:lang w:val="en-US" w:eastAsia="zh-CN"/>
                    </w:rPr>
                    <w:t>2</w:t>
                  </w:r>
                </w:p>
              </w:tc>
              <w:tc>
                <w:tcPr>
                  <w:tcW w:w="1905" w:type="dxa"/>
                  <w:tcBorders>
                    <w:tl2br w:val="nil"/>
                    <w:tr2bl w:val="nil"/>
                  </w:tcBorders>
                  <w:vAlign w:val="center"/>
                </w:tcPr>
                <w:p w14:paraId="3C6988C1">
                  <w:pPr>
                    <w:pStyle w:val="103"/>
                    <w:rPr>
                      <w:rFonts w:hint="default" w:eastAsia="宋体"/>
                      <w:color w:val="auto"/>
                      <w:sz w:val="21"/>
                      <w:szCs w:val="21"/>
                      <w:u w:val="single"/>
                      <w:lang w:val="en-US" w:eastAsia="zh-CN"/>
                    </w:rPr>
                  </w:pPr>
                  <w:r>
                    <w:rPr>
                      <w:rFonts w:hint="eastAsia" w:eastAsia="宋体"/>
                      <w:color w:val="auto"/>
                      <w:sz w:val="21"/>
                      <w:szCs w:val="21"/>
                      <w:u w:val="single"/>
                      <w:lang w:val="en-US" w:eastAsia="zh-CN"/>
                    </w:rPr>
                    <w:t>聚丙烯酰胺（PAM）</w:t>
                  </w:r>
                </w:p>
              </w:tc>
              <w:tc>
                <w:tcPr>
                  <w:tcW w:w="1400" w:type="dxa"/>
                  <w:tcBorders>
                    <w:tl2br w:val="nil"/>
                    <w:tr2bl w:val="nil"/>
                  </w:tcBorders>
                  <w:vAlign w:val="center"/>
                </w:tcPr>
                <w:p w14:paraId="74B72487">
                  <w:pPr>
                    <w:jc w:val="center"/>
                    <w:rPr>
                      <w:rFonts w:hint="default"/>
                      <w:color w:val="auto"/>
                      <w:sz w:val="21"/>
                      <w:szCs w:val="21"/>
                      <w:u w:val="single"/>
                      <w:lang w:val="en-US" w:eastAsia="zh-CN"/>
                    </w:rPr>
                  </w:pPr>
                  <w:r>
                    <w:rPr>
                      <w:rFonts w:hint="eastAsia"/>
                      <w:color w:val="auto"/>
                      <w:sz w:val="21"/>
                      <w:szCs w:val="21"/>
                      <w:u w:val="single"/>
                      <w:lang w:val="en-US" w:eastAsia="zh-CN"/>
                    </w:rPr>
                    <w:t>17</w:t>
                  </w:r>
                </w:p>
              </w:tc>
              <w:tc>
                <w:tcPr>
                  <w:tcW w:w="1630" w:type="dxa"/>
                  <w:tcBorders>
                    <w:tl2br w:val="nil"/>
                    <w:tr2bl w:val="nil"/>
                  </w:tcBorders>
                  <w:vAlign w:val="center"/>
                </w:tcPr>
                <w:p w14:paraId="690A80AA">
                  <w:pPr>
                    <w:jc w:val="center"/>
                    <w:rPr>
                      <w:rFonts w:hint="default"/>
                      <w:color w:val="auto"/>
                      <w:sz w:val="21"/>
                      <w:szCs w:val="21"/>
                      <w:u w:val="single"/>
                      <w:lang w:val="en-US" w:eastAsia="zh-CN"/>
                    </w:rPr>
                  </w:pPr>
                  <w:r>
                    <w:rPr>
                      <w:rFonts w:hint="eastAsia"/>
                      <w:color w:val="auto"/>
                      <w:sz w:val="21"/>
                      <w:szCs w:val="21"/>
                      <w:u w:val="single"/>
                      <w:lang w:val="en-US" w:eastAsia="zh-CN"/>
                    </w:rPr>
                    <w:t>1</w:t>
                  </w:r>
                </w:p>
              </w:tc>
              <w:tc>
                <w:tcPr>
                  <w:tcW w:w="1333" w:type="dxa"/>
                  <w:tcBorders>
                    <w:tl2br w:val="nil"/>
                    <w:tr2bl w:val="nil"/>
                  </w:tcBorders>
                  <w:vAlign w:val="center"/>
                </w:tcPr>
                <w:p w14:paraId="08F96228">
                  <w:pPr>
                    <w:jc w:val="center"/>
                    <w:rPr>
                      <w:rFonts w:hint="default"/>
                      <w:color w:val="auto"/>
                      <w:sz w:val="21"/>
                      <w:szCs w:val="21"/>
                      <w:u w:val="single"/>
                      <w:lang w:val="en-US" w:eastAsia="zh-CN"/>
                    </w:rPr>
                  </w:pPr>
                  <w:r>
                    <w:rPr>
                      <w:rFonts w:hint="eastAsia"/>
                      <w:color w:val="auto"/>
                      <w:sz w:val="21"/>
                      <w:szCs w:val="21"/>
                      <w:u w:val="single"/>
                      <w:lang w:val="en-US" w:eastAsia="zh-CN"/>
                    </w:rPr>
                    <w:t>袋装</w:t>
                  </w:r>
                </w:p>
              </w:tc>
              <w:tc>
                <w:tcPr>
                  <w:tcW w:w="1577" w:type="dxa"/>
                  <w:tcBorders>
                    <w:tl2br w:val="nil"/>
                    <w:tr2bl w:val="nil"/>
                  </w:tcBorders>
                  <w:vAlign w:val="center"/>
                </w:tcPr>
                <w:p w14:paraId="5F9C9C9B">
                  <w:pPr>
                    <w:jc w:val="center"/>
                    <w:rPr>
                      <w:rFonts w:hint="default"/>
                      <w:color w:val="auto"/>
                      <w:sz w:val="21"/>
                      <w:szCs w:val="21"/>
                      <w:u w:val="single"/>
                      <w:lang w:val="en-US" w:eastAsia="zh-CN"/>
                    </w:rPr>
                  </w:pPr>
                  <w:r>
                    <w:rPr>
                      <w:rFonts w:hint="eastAsia"/>
                      <w:color w:val="auto"/>
                      <w:sz w:val="21"/>
                      <w:szCs w:val="21"/>
                      <w:u w:val="single"/>
                      <w:lang w:val="en-US" w:eastAsia="zh-CN"/>
                    </w:rPr>
                    <w:t>加药间</w:t>
                  </w:r>
                </w:p>
              </w:tc>
            </w:tr>
            <w:tr w14:paraId="65E469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9" w:type="dxa"/>
                  <w:tcBorders>
                    <w:tl2br w:val="nil"/>
                    <w:tr2bl w:val="nil"/>
                  </w:tcBorders>
                  <w:vAlign w:val="center"/>
                </w:tcPr>
                <w:p w14:paraId="478C5792">
                  <w:pPr>
                    <w:jc w:val="center"/>
                    <w:rPr>
                      <w:rFonts w:hint="eastAsia" w:ascii="Times New Roman" w:hAnsi="Times New Roman" w:eastAsia="宋体" w:cs="Times New Roman"/>
                      <w:color w:val="auto"/>
                      <w:kern w:val="2"/>
                      <w:sz w:val="21"/>
                      <w:szCs w:val="21"/>
                      <w:u w:val="single"/>
                      <w:lang w:val="en-US" w:eastAsia="zh-CN" w:bidi="ar-SA"/>
                    </w:rPr>
                  </w:pPr>
                  <w:r>
                    <w:rPr>
                      <w:rFonts w:hint="eastAsia"/>
                      <w:color w:val="auto"/>
                      <w:sz w:val="21"/>
                      <w:szCs w:val="21"/>
                      <w:u w:val="single"/>
                      <w:lang w:val="en-US" w:eastAsia="zh-CN"/>
                    </w:rPr>
                    <w:t>4</w:t>
                  </w:r>
                </w:p>
              </w:tc>
              <w:tc>
                <w:tcPr>
                  <w:tcW w:w="1905" w:type="dxa"/>
                  <w:tcBorders>
                    <w:tl2br w:val="nil"/>
                    <w:tr2bl w:val="nil"/>
                  </w:tcBorders>
                  <w:vAlign w:val="center"/>
                </w:tcPr>
                <w:p w14:paraId="7A742AE5">
                  <w:pPr>
                    <w:pStyle w:val="103"/>
                    <w:rPr>
                      <w:rFonts w:hint="eastAsia" w:ascii="Times New Roman" w:hAnsi="Times New Roman" w:eastAsia="宋体" w:cs="Times New Roman"/>
                      <w:color w:val="auto"/>
                      <w:kern w:val="2"/>
                      <w:sz w:val="21"/>
                      <w:szCs w:val="21"/>
                      <w:u w:val="single"/>
                      <w:lang w:val="en-US" w:eastAsia="zh-CN" w:bidi="ar-SA"/>
                    </w:rPr>
                  </w:pPr>
                  <w:r>
                    <w:rPr>
                      <w:rFonts w:hint="eastAsia" w:eastAsia="宋体"/>
                      <w:color w:val="auto"/>
                      <w:sz w:val="21"/>
                      <w:szCs w:val="21"/>
                      <w:u w:val="single"/>
                      <w:lang w:val="en-US" w:eastAsia="zh-CN"/>
                    </w:rPr>
                    <w:t>紫外灯管</w:t>
                  </w:r>
                </w:p>
              </w:tc>
              <w:tc>
                <w:tcPr>
                  <w:tcW w:w="1400" w:type="dxa"/>
                  <w:tcBorders>
                    <w:tl2br w:val="nil"/>
                    <w:tr2bl w:val="nil"/>
                  </w:tcBorders>
                  <w:vAlign w:val="center"/>
                </w:tcPr>
                <w:p w14:paraId="4734451B">
                  <w:pPr>
                    <w:jc w:val="center"/>
                    <w:rPr>
                      <w:rFonts w:hint="eastAsia"/>
                      <w:color w:val="auto"/>
                      <w:sz w:val="21"/>
                      <w:szCs w:val="21"/>
                      <w:u w:val="single"/>
                      <w:lang w:val="en-US" w:eastAsia="zh-CN"/>
                    </w:rPr>
                  </w:pPr>
                  <w:r>
                    <w:rPr>
                      <w:rFonts w:hint="eastAsia"/>
                      <w:color w:val="auto"/>
                      <w:sz w:val="21"/>
                      <w:szCs w:val="21"/>
                      <w:u w:val="single"/>
                      <w:lang w:val="en-US" w:eastAsia="zh-CN"/>
                    </w:rPr>
                    <w:t>56支/a</w:t>
                  </w:r>
                </w:p>
              </w:tc>
              <w:tc>
                <w:tcPr>
                  <w:tcW w:w="1630" w:type="dxa"/>
                  <w:tcBorders>
                    <w:tl2br w:val="nil"/>
                    <w:tr2bl w:val="nil"/>
                  </w:tcBorders>
                  <w:vAlign w:val="center"/>
                </w:tcPr>
                <w:p w14:paraId="664C6EFA">
                  <w:pPr>
                    <w:jc w:val="center"/>
                    <w:rPr>
                      <w:rFonts w:hint="default" w:ascii="Times New Roman" w:hAnsi="Times New Roman" w:eastAsia="宋体" w:cs="Times New Roman"/>
                      <w:color w:val="auto"/>
                      <w:kern w:val="2"/>
                      <w:sz w:val="21"/>
                      <w:szCs w:val="21"/>
                      <w:u w:val="single"/>
                      <w:lang w:val="en-US" w:eastAsia="zh-CN" w:bidi="ar-SA"/>
                    </w:rPr>
                  </w:pPr>
                  <w:r>
                    <w:rPr>
                      <w:rFonts w:hint="eastAsia" w:cs="Times New Roman"/>
                      <w:color w:val="auto"/>
                      <w:kern w:val="2"/>
                      <w:sz w:val="21"/>
                      <w:szCs w:val="21"/>
                      <w:u w:val="single"/>
                      <w:lang w:val="en-US" w:eastAsia="zh-CN" w:bidi="ar-SA"/>
                    </w:rPr>
                    <w:t>12支</w:t>
                  </w:r>
                </w:p>
              </w:tc>
              <w:tc>
                <w:tcPr>
                  <w:tcW w:w="1333" w:type="dxa"/>
                  <w:tcBorders>
                    <w:tl2br w:val="nil"/>
                    <w:tr2bl w:val="nil"/>
                  </w:tcBorders>
                  <w:vAlign w:val="center"/>
                </w:tcPr>
                <w:p w14:paraId="026FB20A">
                  <w:pPr>
                    <w:jc w:val="center"/>
                    <w:rPr>
                      <w:rFonts w:hint="default" w:ascii="Times New Roman" w:hAnsi="Times New Roman" w:eastAsia="宋体" w:cs="Times New Roman"/>
                      <w:color w:val="auto"/>
                      <w:kern w:val="2"/>
                      <w:sz w:val="21"/>
                      <w:szCs w:val="21"/>
                      <w:u w:val="single"/>
                      <w:lang w:val="en-US" w:eastAsia="zh-CN" w:bidi="ar-SA"/>
                    </w:rPr>
                  </w:pPr>
                  <w:r>
                    <w:rPr>
                      <w:rFonts w:hint="eastAsia" w:cs="Times New Roman"/>
                      <w:color w:val="auto"/>
                      <w:kern w:val="2"/>
                      <w:sz w:val="21"/>
                      <w:szCs w:val="21"/>
                      <w:u w:val="single"/>
                      <w:lang w:val="en-US" w:eastAsia="zh-CN" w:bidi="ar-SA"/>
                    </w:rPr>
                    <w:t>自带包装</w:t>
                  </w:r>
                </w:p>
              </w:tc>
              <w:tc>
                <w:tcPr>
                  <w:tcW w:w="1577" w:type="dxa"/>
                  <w:tcBorders>
                    <w:tl2br w:val="nil"/>
                    <w:tr2bl w:val="nil"/>
                  </w:tcBorders>
                  <w:vAlign w:val="center"/>
                </w:tcPr>
                <w:p w14:paraId="2FE6BE0B">
                  <w:pPr>
                    <w:jc w:val="center"/>
                    <w:rPr>
                      <w:rFonts w:hint="default" w:ascii="Times New Roman" w:hAnsi="Times New Roman" w:eastAsia="宋体" w:cs="Times New Roman"/>
                      <w:color w:val="auto"/>
                      <w:kern w:val="2"/>
                      <w:sz w:val="21"/>
                      <w:szCs w:val="21"/>
                      <w:u w:val="single"/>
                      <w:lang w:val="en-US" w:eastAsia="zh-CN" w:bidi="ar-SA"/>
                    </w:rPr>
                  </w:pPr>
                  <w:r>
                    <w:rPr>
                      <w:rFonts w:hint="eastAsia" w:cs="Times New Roman"/>
                      <w:color w:val="auto"/>
                      <w:kern w:val="2"/>
                      <w:sz w:val="21"/>
                      <w:szCs w:val="21"/>
                      <w:u w:val="single"/>
                      <w:lang w:val="en-US" w:eastAsia="zh-CN" w:bidi="ar-SA"/>
                    </w:rPr>
                    <w:t>/</w:t>
                  </w:r>
                </w:p>
              </w:tc>
            </w:tr>
            <w:tr w14:paraId="485069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709" w:type="dxa"/>
                  <w:tcBorders>
                    <w:tl2br w:val="nil"/>
                    <w:tr2bl w:val="nil"/>
                  </w:tcBorders>
                  <w:vAlign w:val="center"/>
                </w:tcPr>
                <w:p w14:paraId="66A2FEF0">
                  <w:pPr>
                    <w:jc w:val="center"/>
                    <w:rPr>
                      <w:rFonts w:hint="default"/>
                      <w:color w:val="auto"/>
                      <w:sz w:val="21"/>
                      <w:szCs w:val="21"/>
                      <w:u w:val="single"/>
                      <w:lang w:val="en-US" w:eastAsia="zh-CN"/>
                    </w:rPr>
                  </w:pPr>
                  <w:r>
                    <w:rPr>
                      <w:rFonts w:hint="eastAsia"/>
                      <w:color w:val="auto"/>
                      <w:sz w:val="21"/>
                      <w:szCs w:val="21"/>
                      <w:u w:val="single"/>
                      <w:lang w:val="en-US" w:eastAsia="zh-CN"/>
                    </w:rPr>
                    <w:t>5</w:t>
                  </w:r>
                </w:p>
              </w:tc>
              <w:tc>
                <w:tcPr>
                  <w:tcW w:w="1905" w:type="dxa"/>
                  <w:tcBorders>
                    <w:tl2br w:val="nil"/>
                    <w:tr2bl w:val="nil"/>
                  </w:tcBorders>
                  <w:vAlign w:val="center"/>
                </w:tcPr>
                <w:p w14:paraId="6775ED2D">
                  <w:pPr>
                    <w:pStyle w:val="103"/>
                    <w:rPr>
                      <w:rFonts w:hint="default" w:eastAsia="宋体"/>
                      <w:color w:val="auto"/>
                      <w:sz w:val="21"/>
                      <w:szCs w:val="21"/>
                      <w:u w:val="single"/>
                      <w:lang w:val="en-US" w:eastAsia="zh-CN"/>
                    </w:rPr>
                  </w:pPr>
                  <w:r>
                    <w:rPr>
                      <w:rFonts w:hint="eastAsia" w:eastAsia="宋体"/>
                      <w:color w:val="auto"/>
                      <w:sz w:val="21"/>
                      <w:szCs w:val="21"/>
                      <w:u w:val="single"/>
                      <w:lang w:val="en-US" w:eastAsia="zh-CN"/>
                    </w:rPr>
                    <w:t>水（m</w:t>
                  </w:r>
                  <w:r>
                    <w:rPr>
                      <w:rFonts w:hint="eastAsia" w:eastAsia="宋体"/>
                      <w:color w:val="auto"/>
                      <w:sz w:val="21"/>
                      <w:szCs w:val="21"/>
                      <w:u w:val="single"/>
                      <w:vertAlign w:val="superscript"/>
                      <w:lang w:val="en-US" w:eastAsia="zh-CN"/>
                    </w:rPr>
                    <w:t>3</w:t>
                  </w:r>
                  <w:r>
                    <w:rPr>
                      <w:rFonts w:hint="eastAsia" w:eastAsia="宋体"/>
                      <w:color w:val="auto"/>
                      <w:sz w:val="21"/>
                      <w:szCs w:val="21"/>
                      <w:u w:val="single"/>
                      <w:lang w:val="en-US" w:eastAsia="zh-CN"/>
                    </w:rPr>
                    <w:t>/a）</w:t>
                  </w:r>
                </w:p>
              </w:tc>
              <w:tc>
                <w:tcPr>
                  <w:tcW w:w="1400" w:type="dxa"/>
                  <w:tcBorders>
                    <w:tl2br w:val="nil"/>
                    <w:tr2bl w:val="nil"/>
                  </w:tcBorders>
                  <w:vAlign w:val="center"/>
                </w:tcPr>
                <w:p w14:paraId="50524D1F">
                  <w:pPr>
                    <w:jc w:val="center"/>
                    <w:rPr>
                      <w:rFonts w:hint="default"/>
                      <w:color w:val="auto"/>
                      <w:sz w:val="21"/>
                      <w:szCs w:val="21"/>
                      <w:u w:val="single"/>
                      <w:lang w:val="en-US" w:eastAsia="zh-CN"/>
                    </w:rPr>
                  </w:pPr>
                  <w:r>
                    <w:rPr>
                      <w:rFonts w:hint="eastAsia"/>
                      <w:color w:val="auto"/>
                      <w:sz w:val="21"/>
                      <w:szCs w:val="21"/>
                      <w:u w:val="single"/>
                      <w:lang w:val="en-US" w:eastAsia="zh-CN"/>
                    </w:rPr>
                    <w:t>844</w:t>
                  </w:r>
                </w:p>
              </w:tc>
              <w:tc>
                <w:tcPr>
                  <w:tcW w:w="1630" w:type="dxa"/>
                  <w:tcBorders>
                    <w:tl2br w:val="nil"/>
                    <w:tr2bl w:val="nil"/>
                  </w:tcBorders>
                  <w:vAlign w:val="center"/>
                </w:tcPr>
                <w:p w14:paraId="4DD21256">
                  <w:pPr>
                    <w:jc w:val="center"/>
                    <w:rPr>
                      <w:rFonts w:hint="default" w:cs="Times New Roman"/>
                      <w:color w:val="auto"/>
                      <w:kern w:val="2"/>
                      <w:sz w:val="21"/>
                      <w:szCs w:val="21"/>
                      <w:u w:val="single"/>
                      <w:lang w:val="en-US" w:eastAsia="zh-CN" w:bidi="ar-SA"/>
                    </w:rPr>
                  </w:pPr>
                  <w:r>
                    <w:rPr>
                      <w:rFonts w:hint="eastAsia" w:cs="Times New Roman"/>
                      <w:color w:val="auto"/>
                      <w:kern w:val="2"/>
                      <w:sz w:val="21"/>
                      <w:szCs w:val="21"/>
                      <w:u w:val="single"/>
                      <w:lang w:val="en-US" w:eastAsia="zh-CN" w:bidi="ar-SA"/>
                    </w:rPr>
                    <w:t>/</w:t>
                  </w:r>
                </w:p>
              </w:tc>
              <w:tc>
                <w:tcPr>
                  <w:tcW w:w="1333" w:type="dxa"/>
                  <w:tcBorders>
                    <w:tl2br w:val="nil"/>
                    <w:tr2bl w:val="nil"/>
                  </w:tcBorders>
                  <w:vAlign w:val="center"/>
                </w:tcPr>
                <w:p w14:paraId="6EA6E630">
                  <w:pPr>
                    <w:jc w:val="center"/>
                    <w:rPr>
                      <w:rFonts w:hint="default" w:cs="Times New Roman"/>
                      <w:color w:val="auto"/>
                      <w:kern w:val="2"/>
                      <w:sz w:val="21"/>
                      <w:szCs w:val="21"/>
                      <w:u w:val="single"/>
                      <w:lang w:val="en-US" w:eastAsia="zh-CN" w:bidi="ar-SA"/>
                    </w:rPr>
                  </w:pPr>
                  <w:r>
                    <w:rPr>
                      <w:rFonts w:hint="eastAsia" w:cs="Times New Roman"/>
                      <w:color w:val="auto"/>
                      <w:kern w:val="2"/>
                      <w:sz w:val="21"/>
                      <w:szCs w:val="21"/>
                      <w:u w:val="single"/>
                      <w:lang w:val="en-US" w:eastAsia="zh-CN" w:bidi="ar-SA"/>
                    </w:rPr>
                    <w:t>/</w:t>
                  </w:r>
                </w:p>
              </w:tc>
              <w:tc>
                <w:tcPr>
                  <w:tcW w:w="1577" w:type="dxa"/>
                  <w:tcBorders>
                    <w:tl2br w:val="nil"/>
                    <w:tr2bl w:val="nil"/>
                  </w:tcBorders>
                  <w:vAlign w:val="center"/>
                </w:tcPr>
                <w:p w14:paraId="36E5112E">
                  <w:pPr>
                    <w:jc w:val="center"/>
                    <w:rPr>
                      <w:rFonts w:hint="default" w:cs="Times New Roman"/>
                      <w:color w:val="auto"/>
                      <w:kern w:val="2"/>
                      <w:sz w:val="21"/>
                      <w:szCs w:val="21"/>
                      <w:u w:val="single"/>
                      <w:lang w:val="en-US" w:eastAsia="zh-CN" w:bidi="ar-SA"/>
                    </w:rPr>
                  </w:pPr>
                  <w:r>
                    <w:rPr>
                      <w:rFonts w:hint="eastAsia" w:cs="Times New Roman"/>
                      <w:color w:val="auto"/>
                      <w:kern w:val="2"/>
                      <w:sz w:val="21"/>
                      <w:szCs w:val="21"/>
                      <w:u w:val="single"/>
                      <w:lang w:val="en-US" w:eastAsia="zh-CN" w:bidi="ar-SA"/>
                    </w:rPr>
                    <w:t>市政自来水提供</w:t>
                  </w:r>
                </w:p>
              </w:tc>
            </w:tr>
            <w:tr w14:paraId="3E75A4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709" w:type="dxa"/>
                  <w:tcBorders>
                    <w:tl2br w:val="nil"/>
                    <w:tr2bl w:val="nil"/>
                  </w:tcBorders>
                  <w:vAlign w:val="center"/>
                </w:tcPr>
                <w:p w14:paraId="31027DD4">
                  <w:pPr>
                    <w:jc w:val="center"/>
                    <w:rPr>
                      <w:rFonts w:hint="default"/>
                      <w:color w:val="auto"/>
                      <w:sz w:val="21"/>
                      <w:szCs w:val="21"/>
                      <w:u w:val="single"/>
                      <w:lang w:val="en-US" w:eastAsia="zh-CN"/>
                    </w:rPr>
                  </w:pPr>
                  <w:r>
                    <w:rPr>
                      <w:rFonts w:hint="eastAsia"/>
                      <w:color w:val="auto"/>
                      <w:sz w:val="21"/>
                      <w:szCs w:val="21"/>
                      <w:u w:val="single"/>
                      <w:lang w:val="en-US" w:eastAsia="zh-CN"/>
                    </w:rPr>
                    <w:t>6</w:t>
                  </w:r>
                </w:p>
              </w:tc>
              <w:tc>
                <w:tcPr>
                  <w:tcW w:w="1905" w:type="dxa"/>
                  <w:tcBorders>
                    <w:tl2br w:val="nil"/>
                    <w:tr2bl w:val="nil"/>
                  </w:tcBorders>
                  <w:vAlign w:val="center"/>
                </w:tcPr>
                <w:p w14:paraId="67524745">
                  <w:pPr>
                    <w:pStyle w:val="103"/>
                    <w:rPr>
                      <w:rFonts w:hint="default" w:eastAsia="宋体"/>
                      <w:color w:val="auto"/>
                      <w:sz w:val="21"/>
                      <w:szCs w:val="21"/>
                      <w:u w:val="single"/>
                      <w:lang w:val="en-US" w:eastAsia="zh-CN"/>
                    </w:rPr>
                  </w:pPr>
                  <w:r>
                    <w:rPr>
                      <w:rFonts w:hint="eastAsia" w:eastAsia="宋体"/>
                      <w:color w:val="auto"/>
                      <w:sz w:val="21"/>
                      <w:szCs w:val="21"/>
                      <w:u w:val="single"/>
                      <w:lang w:val="en-US" w:eastAsia="zh-CN"/>
                    </w:rPr>
                    <w:t>电（</w:t>
                  </w:r>
                  <w:r>
                    <w:rPr>
                      <w:rFonts w:hint="eastAsia"/>
                      <w:color w:val="auto"/>
                      <w:sz w:val="21"/>
                      <w:szCs w:val="21"/>
                      <w:u w:val="single"/>
                      <w:lang w:val="en-US" w:eastAsia="zh-CN"/>
                    </w:rPr>
                    <w:t>kWh/a</w:t>
                  </w:r>
                  <w:r>
                    <w:rPr>
                      <w:rFonts w:hint="eastAsia" w:eastAsia="宋体"/>
                      <w:color w:val="auto"/>
                      <w:sz w:val="21"/>
                      <w:szCs w:val="21"/>
                      <w:u w:val="single"/>
                      <w:lang w:val="en-US" w:eastAsia="zh-CN"/>
                    </w:rPr>
                    <w:t>）</w:t>
                  </w:r>
                </w:p>
              </w:tc>
              <w:tc>
                <w:tcPr>
                  <w:tcW w:w="1400" w:type="dxa"/>
                  <w:tcBorders>
                    <w:tl2br w:val="nil"/>
                    <w:tr2bl w:val="nil"/>
                  </w:tcBorders>
                  <w:vAlign w:val="center"/>
                </w:tcPr>
                <w:p w14:paraId="3D14FD3B">
                  <w:pPr>
                    <w:jc w:val="center"/>
                    <w:rPr>
                      <w:rFonts w:hint="eastAsia"/>
                      <w:color w:val="auto"/>
                      <w:sz w:val="21"/>
                      <w:szCs w:val="21"/>
                      <w:u w:val="single"/>
                      <w:lang w:val="en-US" w:eastAsia="zh-CN"/>
                    </w:rPr>
                  </w:pPr>
                  <w:r>
                    <w:rPr>
                      <w:rFonts w:hint="eastAsia"/>
                      <w:color w:val="auto"/>
                      <w:sz w:val="21"/>
                      <w:szCs w:val="21"/>
                      <w:u w:val="single"/>
                      <w:lang w:val="en-US" w:eastAsia="zh-CN"/>
                    </w:rPr>
                    <w:t>25万</w:t>
                  </w:r>
                </w:p>
              </w:tc>
              <w:tc>
                <w:tcPr>
                  <w:tcW w:w="1630" w:type="dxa"/>
                  <w:tcBorders>
                    <w:tl2br w:val="nil"/>
                    <w:tr2bl w:val="nil"/>
                  </w:tcBorders>
                  <w:vAlign w:val="center"/>
                </w:tcPr>
                <w:p w14:paraId="3A6BEF97">
                  <w:pPr>
                    <w:jc w:val="center"/>
                    <w:rPr>
                      <w:rFonts w:hint="default" w:cs="Times New Roman"/>
                      <w:color w:val="auto"/>
                      <w:kern w:val="2"/>
                      <w:sz w:val="21"/>
                      <w:szCs w:val="21"/>
                      <w:u w:val="single"/>
                      <w:lang w:val="en-US" w:eastAsia="zh-CN" w:bidi="ar-SA"/>
                    </w:rPr>
                  </w:pPr>
                  <w:r>
                    <w:rPr>
                      <w:rFonts w:hint="eastAsia" w:cs="Times New Roman"/>
                      <w:color w:val="auto"/>
                      <w:kern w:val="2"/>
                      <w:sz w:val="21"/>
                      <w:szCs w:val="21"/>
                      <w:u w:val="single"/>
                      <w:lang w:val="en-US" w:eastAsia="zh-CN" w:bidi="ar-SA"/>
                    </w:rPr>
                    <w:t>/</w:t>
                  </w:r>
                </w:p>
              </w:tc>
              <w:tc>
                <w:tcPr>
                  <w:tcW w:w="1333" w:type="dxa"/>
                  <w:tcBorders>
                    <w:tl2br w:val="nil"/>
                    <w:tr2bl w:val="nil"/>
                  </w:tcBorders>
                  <w:vAlign w:val="center"/>
                </w:tcPr>
                <w:p w14:paraId="2B708B2A">
                  <w:pPr>
                    <w:jc w:val="center"/>
                    <w:rPr>
                      <w:rFonts w:hint="default" w:cs="Times New Roman"/>
                      <w:color w:val="auto"/>
                      <w:kern w:val="2"/>
                      <w:sz w:val="21"/>
                      <w:szCs w:val="21"/>
                      <w:u w:val="single"/>
                      <w:lang w:val="en-US" w:eastAsia="zh-CN" w:bidi="ar-SA"/>
                    </w:rPr>
                  </w:pPr>
                  <w:r>
                    <w:rPr>
                      <w:rFonts w:hint="eastAsia" w:cs="Times New Roman"/>
                      <w:color w:val="auto"/>
                      <w:kern w:val="2"/>
                      <w:sz w:val="21"/>
                      <w:szCs w:val="21"/>
                      <w:u w:val="single"/>
                      <w:lang w:val="en-US" w:eastAsia="zh-CN" w:bidi="ar-SA"/>
                    </w:rPr>
                    <w:t>/</w:t>
                  </w:r>
                </w:p>
              </w:tc>
              <w:tc>
                <w:tcPr>
                  <w:tcW w:w="1577" w:type="dxa"/>
                  <w:tcBorders>
                    <w:tl2br w:val="nil"/>
                    <w:tr2bl w:val="nil"/>
                  </w:tcBorders>
                  <w:vAlign w:val="center"/>
                </w:tcPr>
                <w:p w14:paraId="78021BC4">
                  <w:pPr>
                    <w:jc w:val="center"/>
                    <w:rPr>
                      <w:rFonts w:hint="default" w:cs="Times New Roman"/>
                      <w:color w:val="auto"/>
                      <w:kern w:val="2"/>
                      <w:sz w:val="21"/>
                      <w:szCs w:val="21"/>
                      <w:u w:val="single"/>
                      <w:lang w:val="en-US" w:eastAsia="zh-CN" w:bidi="ar-SA"/>
                    </w:rPr>
                  </w:pPr>
                  <w:r>
                    <w:rPr>
                      <w:rFonts w:hint="eastAsia" w:cs="Times New Roman"/>
                      <w:color w:val="auto"/>
                      <w:kern w:val="2"/>
                      <w:sz w:val="21"/>
                      <w:szCs w:val="21"/>
                      <w:u w:val="single"/>
                      <w:lang w:val="en-US" w:eastAsia="zh-CN" w:bidi="ar-SA"/>
                    </w:rPr>
                    <w:t>市政供电电网</w:t>
                  </w:r>
                </w:p>
              </w:tc>
            </w:tr>
            <w:tr w14:paraId="2E5CBE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709" w:type="dxa"/>
                  <w:tcBorders>
                    <w:tl2br w:val="nil"/>
                    <w:tr2bl w:val="nil"/>
                  </w:tcBorders>
                  <w:vAlign w:val="center"/>
                </w:tcPr>
                <w:p w14:paraId="7DDDE0AA">
                  <w:pPr>
                    <w:jc w:val="center"/>
                    <w:rPr>
                      <w:rFonts w:hint="default"/>
                      <w:color w:val="auto"/>
                      <w:sz w:val="21"/>
                      <w:szCs w:val="21"/>
                      <w:u w:val="single"/>
                      <w:lang w:val="en-US" w:eastAsia="zh-CN"/>
                    </w:rPr>
                  </w:pPr>
                  <w:r>
                    <w:rPr>
                      <w:rFonts w:hint="eastAsia"/>
                      <w:color w:val="auto"/>
                      <w:sz w:val="21"/>
                      <w:szCs w:val="21"/>
                      <w:u w:val="single"/>
                      <w:lang w:val="en-US" w:eastAsia="zh-CN"/>
                    </w:rPr>
                    <w:t>7</w:t>
                  </w:r>
                </w:p>
              </w:tc>
              <w:tc>
                <w:tcPr>
                  <w:tcW w:w="1905" w:type="dxa"/>
                  <w:tcBorders>
                    <w:tl2br w:val="nil"/>
                    <w:tr2bl w:val="nil"/>
                  </w:tcBorders>
                  <w:vAlign w:val="center"/>
                </w:tcPr>
                <w:p w14:paraId="15939443">
                  <w:pPr>
                    <w:pStyle w:val="103"/>
                    <w:rPr>
                      <w:rFonts w:hint="eastAsia" w:eastAsia="宋体"/>
                      <w:color w:val="auto"/>
                      <w:sz w:val="21"/>
                      <w:szCs w:val="21"/>
                      <w:u w:val="single"/>
                      <w:lang w:val="en-US" w:eastAsia="zh-CN"/>
                    </w:rPr>
                  </w:pPr>
                  <w:r>
                    <w:rPr>
                      <w:rFonts w:hint="eastAsia" w:eastAsia="宋体"/>
                      <w:color w:val="auto"/>
                      <w:sz w:val="21"/>
                      <w:szCs w:val="21"/>
                      <w:u w:val="single"/>
                      <w:lang w:val="en-US" w:eastAsia="zh-CN"/>
                    </w:rPr>
                    <w:t>柴油</w:t>
                  </w:r>
                </w:p>
              </w:tc>
              <w:tc>
                <w:tcPr>
                  <w:tcW w:w="1400" w:type="dxa"/>
                  <w:tcBorders>
                    <w:tl2br w:val="nil"/>
                    <w:tr2bl w:val="nil"/>
                  </w:tcBorders>
                  <w:vAlign w:val="center"/>
                </w:tcPr>
                <w:p w14:paraId="1E7A2670">
                  <w:pPr>
                    <w:keepNext w:val="0"/>
                    <w:keepLines w:val="0"/>
                    <w:pageBreakBefore w:val="0"/>
                    <w:widowControl/>
                    <w:suppressLineNumbers w:val="0"/>
                    <w:kinsoku/>
                    <w:wordWrap/>
                    <w:overflowPunct/>
                    <w:topLinePunct w:val="0"/>
                    <w:autoSpaceDE/>
                    <w:autoSpaceDN/>
                    <w:bidi w:val="0"/>
                    <w:adjustRightInd/>
                    <w:snapToGrid w:val="0"/>
                    <w:spacing w:line="240" w:lineRule="atLeast"/>
                    <w:ind w:firstLine="0" w:firstLineChars="0"/>
                    <w:jc w:val="center"/>
                    <w:textAlignment w:val="bottom"/>
                    <w:rPr>
                      <w:rFonts w:hint="eastAsia"/>
                      <w:color w:val="auto"/>
                      <w:sz w:val="21"/>
                      <w:szCs w:val="21"/>
                      <w:u w:val="single"/>
                      <w:lang w:val="en-US" w:eastAsia="zh-CN"/>
                    </w:rPr>
                  </w:pPr>
                  <w:r>
                    <w:rPr>
                      <w:rFonts w:hint="eastAsia" w:cs="Times New Roman"/>
                      <w:i w:val="0"/>
                      <w:iCs w:val="0"/>
                      <w:color w:val="auto"/>
                      <w:kern w:val="0"/>
                      <w:sz w:val="21"/>
                      <w:szCs w:val="21"/>
                      <w:highlight w:val="none"/>
                      <w:u w:val="single"/>
                      <w:lang w:val="en-US" w:eastAsia="zh-CN" w:bidi="ar"/>
                    </w:rPr>
                    <w:t>0.16</w:t>
                  </w:r>
                  <w:r>
                    <w:rPr>
                      <w:rFonts w:hint="default" w:ascii="Times New Roman" w:hAnsi="Times New Roman" w:eastAsia="宋体" w:cs="Times New Roman"/>
                      <w:i w:val="0"/>
                      <w:iCs w:val="0"/>
                      <w:color w:val="auto"/>
                      <w:kern w:val="0"/>
                      <w:sz w:val="21"/>
                      <w:szCs w:val="21"/>
                      <w:highlight w:val="none"/>
                      <w:u w:val="single"/>
                      <w:lang w:val="en-US" w:eastAsia="zh-CN" w:bidi="ar"/>
                    </w:rPr>
                    <w:t>t/a</w:t>
                  </w:r>
                </w:p>
              </w:tc>
              <w:tc>
                <w:tcPr>
                  <w:tcW w:w="1630" w:type="dxa"/>
                  <w:tcBorders>
                    <w:tl2br w:val="nil"/>
                    <w:tr2bl w:val="nil"/>
                  </w:tcBorders>
                  <w:vAlign w:val="center"/>
                </w:tcPr>
                <w:p w14:paraId="717B1697">
                  <w:pPr>
                    <w:keepNext w:val="0"/>
                    <w:keepLines w:val="0"/>
                    <w:pageBreakBefore w:val="0"/>
                    <w:widowControl/>
                    <w:suppressLineNumbers w:val="0"/>
                    <w:kinsoku/>
                    <w:wordWrap/>
                    <w:overflowPunct/>
                    <w:topLinePunct w:val="0"/>
                    <w:autoSpaceDE/>
                    <w:autoSpaceDN/>
                    <w:bidi w:val="0"/>
                    <w:adjustRightInd/>
                    <w:snapToGrid w:val="0"/>
                    <w:spacing w:line="240" w:lineRule="atLeast"/>
                    <w:ind w:firstLine="0" w:firstLineChars="0"/>
                    <w:jc w:val="center"/>
                    <w:textAlignment w:val="bottom"/>
                    <w:rPr>
                      <w:rFonts w:hint="eastAsia" w:cs="Times New Roman"/>
                      <w:color w:val="auto"/>
                      <w:kern w:val="2"/>
                      <w:sz w:val="21"/>
                      <w:szCs w:val="21"/>
                      <w:u w:val="single"/>
                      <w:lang w:val="en-US" w:eastAsia="zh-CN" w:bidi="ar-SA"/>
                    </w:rPr>
                  </w:pPr>
                  <w:r>
                    <w:rPr>
                      <w:rFonts w:hint="eastAsia" w:cs="Times New Roman"/>
                      <w:i w:val="0"/>
                      <w:iCs w:val="0"/>
                      <w:color w:val="auto"/>
                      <w:kern w:val="0"/>
                      <w:sz w:val="21"/>
                      <w:szCs w:val="21"/>
                      <w:highlight w:val="none"/>
                      <w:u w:val="single"/>
                      <w:lang w:val="en-US" w:eastAsia="zh-CN" w:bidi="ar"/>
                    </w:rPr>
                    <w:t>0.16</w:t>
                  </w:r>
                  <w:r>
                    <w:rPr>
                      <w:rFonts w:hint="default" w:ascii="Times New Roman" w:hAnsi="Times New Roman" w:eastAsia="宋体" w:cs="Times New Roman"/>
                      <w:i w:val="0"/>
                      <w:iCs w:val="0"/>
                      <w:color w:val="auto"/>
                      <w:kern w:val="0"/>
                      <w:sz w:val="21"/>
                      <w:szCs w:val="21"/>
                      <w:highlight w:val="none"/>
                      <w:u w:val="single"/>
                      <w:lang w:val="en-US" w:eastAsia="zh-CN" w:bidi="ar"/>
                    </w:rPr>
                    <w:t>t/a</w:t>
                  </w:r>
                </w:p>
              </w:tc>
              <w:tc>
                <w:tcPr>
                  <w:tcW w:w="1333" w:type="dxa"/>
                  <w:tcBorders>
                    <w:tl2br w:val="nil"/>
                    <w:tr2bl w:val="nil"/>
                  </w:tcBorders>
                  <w:vAlign w:val="center"/>
                </w:tcPr>
                <w:p w14:paraId="051FBED1">
                  <w:pPr>
                    <w:jc w:val="center"/>
                    <w:rPr>
                      <w:rFonts w:hint="default" w:cs="Times New Roman"/>
                      <w:color w:val="auto"/>
                      <w:kern w:val="2"/>
                      <w:sz w:val="21"/>
                      <w:szCs w:val="21"/>
                      <w:u w:val="single"/>
                      <w:lang w:val="en-US" w:eastAsia="zh-CN" w:bidi="ar-SA"/>
                    </w:rPr>
                  </w:pPr>
                  <w:r>
                    <w:rPr>
                      <w:rFonts w:hint="eastAsia" w:cs="Times New Roman"/>
                      <w:color w:val="auto"/>
                      <w:kern w:val="2"/>
                      <w:sz w:val="21"/>
                      <w:szCs w:val="21"/>
                      <w:u w:val="single"/>
                      <w:lang w:val="en-US" w:eastAsia="zh-CN" w:bidi="ar-SA"/>
                    </w:rPr>
                    <w:t>柴油发电机房、罐装</w:t>
                  </w:r>
                </w:p>
              </w:tc>
              <w:tc>
                <w:tcPr>
                  <w:tcW w:w="1577" w:type="dxa"/>
                  <w:tcBorders>
                    <w:tl2br w:val="nil"/>
                    <w:tr2bl w:val="nil"/>
                  </w:tcBorders>
                  <w:vAlign w:val="center"/>
                </w:tcPr>
                <w:p w14:paraId="34A7D0E1">
                  <w:pPr>
                    <w:jc w:val="center"/>
                    <w:rPr>
                      <w:rFonts w:hint="eastAsia" w:cs="Times New Roman"/>
                      <w:color w:val="auto"/>
                      <w:kern w:val="2"/>
                      <w:sz w:val="21"/>
                      <w:szCs w:val="21"/>
                      <w:u w:val="single"/>
                      <w:lang w:val="en-US" w:eastAsia="zh-CN" w:bidi="ar-SA"/>
                    </w:rPr>
                  </w:pPr>
                  <w:r>
                    <w:rPr>
                      <w:rFonts w:hint="eastAsia" w:cs="Times New Roman"/>
                      <w:color w:val="auto"/>
                      <w:kern w:val="2"/>
                      <w:sz w:val="21"/>
                      <w:szCs w:val="21"/>
                      <w:u w:val="single"/>
                      <w:lang w:val="en-US" w:eastAsia="zh-CN" w:bidi="ar-SA"/>
                    </w:rPr>
                    <w:t>电时使用柴油发电机，保证设备正常运营</w:t>
                  </w:r>
                </w:p>
              </w:tc>
            </w:tr>
          </w:tbl>
          <w:p w14:paraId="29E35C96">
            <w:pPr>
              <w:spacing w:line="360" w:lineRule="auto"/>
              <w:ind w:firstLine="482" w:firstLineChars="200"/>
              <w:jc w:val="left"/>
              <w:rPr>
                <w:b/>
                <w:bCs/>
                <w:color w:val="auto"/>
                <w:sz w:val="24"/>
              </w:rPr>
            </w:pPr>
            <w:r>
              <w:rPr>
                <w:b/>
                <w:bCs/>
                <w:color w:val="auto"/>
                <w:sz w:val="24"/>
              </w:rPr>
              <w:t>原辅料性质</w:t>
            </w:r>
          </w:p>
          <w:p w14:paraId="7CB9CD0D">
            <w:pPr>
              <w:pStyle w:val="104"/>
              <w:ind w:firstLine="480"/>
              <w:rPr>
                <w:rFonts w:hint="eastAsia"/>
                <w:color w:val="auto"/>
              </w:rPr>
            </w:pPr>
            <w:r>
              <w:rPr>
                <w:rFonts w:hint="eastAsia"/>
                <w:b/>
                <w:bCs/>
                <w:color w:val="auto"/>
              </w:rPr>
              <w:t>聚合氯化铝（PAC）</w:t>
            </w:r>
            <w:r>
              <w:rPr>
                <w:rFonts w:hint="eastAsia"/>
                <w:color w:val="auto"/>
              </w:rPr>
              <w:t>：属于无机絮凝剂，具有较好的水溶性。PAC中最主要的指标为三氧化二铝、盐基度、水不溶物，其中氧化铝含量的高低决定了实际处理的效果。目前PAC的氧化铝含量在22-30%之间，根据国标要求分为工业与饮水，29%含量及以上为饮水，28%以下为工业。在形态上PAC多变的多元羧基络合物组成，絮凝沉淀速度快，适用</w:t>
            </w:r>
            <w:r>
              <w:rPr>
                <w:rFonts w:hint="eastAsia"/>
                <w:color w:val="auto"/>
                <w:lang w:val="en-US" w:eastAsia="zh-CN"/>
              </w:rPr>
              <w:t>p</w:t>
            </w:r>
            <w:r>
              <w:rPr>
                <w:rFonts w:hint="eastAsia"/>
                <w:color w:val="auto"/>
              </w:rPr>
              <w:t>H值范围宽，对管道设备无腐蚀性，净水效果明显，能有效去除水中色质SS、COD、BOD及砷、汞等重金属离子。</w:t>
            </w:r>
          </w:p>
          <w:p w14:paraId="35192664">
            <w:pPr>
              <w:pStyle w:val="104"/>
              <w:ind w:firstLine="480"/>
              <w:rPr>
                <w:rFonts w:hint="eastAsia"/>
                <w:color w:val="auto"/>
              </w:rPr>
            </w:pPr>
            <w:r>
              <w:rPr>
                <w:rFonts w:hint="eastAsia"/>
                <w:b/>
                <w:bCs/>
                <w:color w:val="auto"/>
              </w:rPr>
              <w:t>聚丙烯酰胺（PAM）</w:t>
            </w:r>
            <w:r>
              <w:rPr>
                <w:rFonts w:hint="eastAsia"/>
                <w:color w:val="auto"/>
              </w:rPr>
              <w:t>：聚丙烯酰胺是由丙烯酰胺（AM）单体经自由基引发聚合而成的水溶性线性高分子聚合物。同时也是一种高分子水处理絮凝剂，可以吸附水中的悬浮颗粒，在颗粒之间起链接架桥作用，使细颗粒形成比较大的絮团，并且加快了沉淀的速度。</w:t>
            </w:r>
          </w:p>
          <w:p w14:paraId="1DAC74C4">
            <w:pPr>
              <w:pStyle w:val="156"/>
              <w:keepNext w:val="0"/>
              <w:keepLines w:val="0"/>
              <w:pageBreakBefore w:val="0"/>
              <w:widowControl w:val="0"/>
              <w:bidi w:val="0"/>
              <w:rPr>
                <w:rFonts w:hint="default" w:ascii="Times New Roman" w:hAnsi="Times New Roman" w:eastAsia="宋体" w:cs="Times New Roman"/>
                <w:color w:val="auto"/>
                <w:sz w:val="22"/>
                <w:szCs w:val="20"/>
              </w:rPr>
            </w:pPr>
            <w:r>
              <w:rPr>
                <w:rFonts w:hint="eastAsia" w:ascii="Times New Roman" w:hAnsi="Times New Roman" w:eastAsia="宋体" w:cs="Times New Roman"/>
                <w:color w:val="auto"/>
                <w:sz w:val="22"/>
                <w:szCs w:val="20"/>
                <w:lang w:eastAsia="zh-CN"/>
              </w:rPr>
              <w:t>表</w:t>
            </w:r>
            <w:r>
              <w:rPr>
                <w:rFonts w:hint="eastAsia" w:ascii="Times New Roman" w:hAnsi="Times New Roman" w:eastAsia="宋体" w:cs="Times New Roman"/>
                <w:color w:val="auto"/>
                <w:sz w:val="22"/>
                <w:szCs w:val="20"/>
                <w:lang w:val="en-US" w:eastAsia="zh-CN"/>
              </w:rPr>
              <w:t xml:space="preserve">2-8 </w:t>
            </w:r>
            <w:r>
              <w:rPr>
                <w:rFonts w:hint="default" w:ascii="Times New Roman" w:hAnsi="Times New Roman" w:eastAsia="宋体" w:cs="Times New Roman"/>
                <w:color w:val="auto"/>
                <w:sz w:val="22"/>
                <w:szCs w:val="20"/>
              </w:rPr>
              <w:t>柴油的理化性质和危险特性</w:t>
            </w:r>
          </w:p>
          <w:tbl>
            <w:tblPr>
              <w:tblStyle w:val="32"/>
              <w:tblW w:w="88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5"/>
              <w:gridCol w:w="2187"/>
              <w:gridCol w:w="440"/>
              <w:gridCol w:w="438"/>
              <w:gridCol w:w="1469"/>
              <w:gridCol w:w="143"/>
              <w:gridCol w:w="286"/>
              <w:gridCol w:w="2151"/>
            </w:tblGrid>
            <w:tr w14:paraId="19EC6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8839" w:type="dxa"/>
                  <w:gridSpan w:val="8"/>
                  <w:tcBorders>
                    <w:tl2br w:val="nil"/>
                    <w:tr2bl w:val="nil"/>
                  </w:tcBorders>
                  <w:noWrap w:val="0"/>
                  <w:vAlign w:val="center"/>
                </w:tcPr>
                <w:p w14:paraId="16FBCC36">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b/>
                      <w:bCs/>
                      <w:color w:val="auto"/>
                      <w:szCs w:val="20"/>
                    </w:rPr>
                    <w:t>第一部分  危险性概述</w:t>
                  </w:r>
                </w:p>
              </w:tc>
            </w:tr>
            <w:tr w14:paraId="0548C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725" w:type="dxa"/>
                  <w:tcBorders>
                    <w:tl2br w:val="nil"/>
                    <w:tr2bl w:val="nil"/>
                  </w:tcBorders>
                  <w:noWrap w:val="0"/>
                  <w:vAlign w:val="center"/>
                </w:tcPr>
                <w:p w14:paraId="7571A03A">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危险性类别：</w:t>
                  </w:r>
                </w:p>
              </w:tc>
              <w:tc>
                <w:tcPr>
                  <w:tcW w:w="3065" w:type="dxa"/>
                  <w:gridSpan w:val="3"/>
                  <w:tcBorders>
                    <w:tl2br w:val="nil"/>
                    <w:tr2bl w:val="nil"/>
                  </w:tcBorders>
                  <w:noWrap w:val="0"/>
                  <w:vAlign w:val="center"/>
                </w:tcPr>
                <w:p w14:paraId="5C6A9809">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第3.3类高闪点 易燃液体</w:t>
                  </w:r>
                </w:p>
              </w:tc>
              <w:tc>
                <w:tcPr>
                  <w:tcW w:w="1898" w:type="dxa"/>
                  <w:gridSpan w:val="3"/>
                  <w:tcBorders>
                    <w:tl2br w:val="nil"/>
                    <w:tr2bl w:val="nil"/>
                  </w:tcBorders>
                  <w:noWrap w:val="0"/>
                  <w:vAlign w:val="center"/>
                </w:tcPr>
                <w:p w14:paraId="3BF30964">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燃爆危险：</w:t>
                  </w:r>
                </w:p>
              </w:tc>
              <w:tc>
                <w:tcPr>
                  <w:tcW w:w="2151" w:type="dxa"/>
                  <w:tcBorders>
                    <w:tl2br w:val="nil"/>
                    <w:tr2bl w:val="nil"/>
                  </w:tcBorders>
                  <w:noWrap w:val="0"/>
                  <w:vAlign w:val="center"/>
                </w:tcPr>
                <w:p w14:paraId="24FFFAF9">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易燃</w:t>
                  </w:r>
                </w:p>
              </w:tc>
            </w:tr>
            <w:tr w14:paraId="20F59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725" w:type="dxa"/>
                  <w:tcBorders>
                    <w:tl2br w:val="nil"/>
                    <w:tr2bl w:val="nil"/>
                  </w:tcBorders>
                  <w:noWrap w:val="0"/>
                  <w:vAlign w:val="center"/>
                </w:tcPr>
                <w:p w14:paraId="625A0298">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侵入途径：</w:t>
                  </w:r>
                </w:p>
              </w:tc>
              <w:tc>
                <w:tcPr>
                  <w:tcW w:w="3065" w:type="dxa"/>
                  <w:gridSpan w:val="3"/>
                  <w:tcBorders>
                    <w:tl2br w:val="nil"/>
                    <w:tr2bl w:val="nil"/>
                  </w:tcBorders>
                  <w:noWrap w:val="0"/>
                  <w:vAlign w:val="center"/>
                </w:tcPr>
                <w:p w14:paraId="4B133BA6">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吸入、食入、经皮吸收</w:t>
                  </w:r>
                </w:p>
              </w:tc>
              <w:tc>
                <w:tcPr>
                  <w:tcW w:w="1898" w:type="dxa"/>
                  <w:gridSpan w:val="3"/>
                  <w:tcBorders>
                    <w:tl2br w:val="nil"/>
                    <w:tr2bl w:val="nil"/>
                  </w:tcBorders>
                  <w:noWrap w:val="0"/>
                  <w:vAlign w:val="center"/>
                </w:tcPr>
                <w:p w14:paraId="73A74503">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有害燃烧产物：</w:t>
                  </w:r>
                </w:p>
              </w:tc>
              <w:tc>
                <w:tcPr>
                  <w:tcW w:w="2151" w:type="dxa"/>
                  <w:tcBorders>
                    <w:tl2br w:val="nil"/>
                    <w:tr2bl w:val="nil"/>
                  </w:tcBorders>
                  <w:noWrap w:val="0"/>
                  <w:vAlign w:val="center"/>
                </w:tcPr>
                <w:p w14:paraId="083F42EF">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一氧化碳、二氧化碳</w:t>
                  </w:r>
                </w:p>
              </w:tc>
            </w:tr>
            <w:tr w14:paraId="7FFEB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exact"/>
                <w:jc w:val="center"/>
              </w:trPr>
              <w:tc>
                <w:tcPr>
                  <w:tcW w:w="1725" w:type="dxa"/>
                  <w:tcBorders>
                    <w:tl2br w:val="nil"/>
                    <w:tr2bl w:val="nil"/>
                  </w:tcBorders>
                  <w:noWrap w:val="0"/>
                  <w:vAlign w:val="center"/>
                </w:tcPr>
                <w:p w14:paraId="3F24B8C2">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环境危害：</w:t>
                  </w:r>
                </w:p>
              </w:tc>
              <w:tc>
                <w:tcPr>
                  <w:tcW w:w="7114" w:type="dxa"/>
                  <w:gridSpan w:val="7"/>
                  <w:tcBorders>
                    <w:tl2br w:val="nil"/>
                    <w:tr2bl w:val="nil"/>
                  </w:tcBorders>
                  <w:noWrap w:val="0"/>
                  <w:vAlign w:val="center"/>
                </w:tcPr>
                <w:p w14:paraId="7D369AAE">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该物质对环境有危害，应特别注意对地表水、土壤、大气和饮用水的污染。</w:t>
                  </w:r>
                </w:p>
              </w:tc>
            </w:tr>
            <w:tr w14:paraId="499C3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8839" w:type="dxa"/>
                  <w:gridSpan w:val="8"/>
                  <w:tcBorders>
                    <w:tl2br w:val="nil"/>
                    <w:tr2bl w:val="nil"/>
                  </w:tcBorders>
                  <w:noWrap w:val="0"/>
                  <w:vAlign w:val="center"/>
                </w:tcPr>
                <w:p w14:paraId="13E69F46">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第二部分   理化特性</w:t>
                  </w:r>
                </w:p>
              </w:tc>
            </w:tr>
            <w:tr w14:paraId="2F9D5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725" w:type="dxa"/>
                  <w:tcBorders>
                    <w:tl2br w:val="nil"/>
                    <w:tr2bl w:val="nil"/>
                  </w:tcBorders>
                  <w:noWrap w:val="0"/>
                  <w:vAlign w:val="center"/>
                </w:tcPr>
                <w:p w14:paraId="5EC8A4D3">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外观及性状：</w:t>
                  </w:r>
                </w:p>
              </w:tc>
              <w:tc>
                <w:tcPr>
                  <w:tcW w:w="2627" w:type="dxa"/>
                  <w:gridSpan w:val="2"/>
                  <w:tcBorders>
                    <w:tl2br w:val="nil"/>
                    <w:tr2bl w:val="nil"/>
                  </w:tcBorders>
                  <w:noWrap w:val="0"/>
                  <w:vAlign w:val="center"/>
                </w:tcPr>
                <w:p w14:paraId="2FF1B695">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稍有粘性的棕色液体。</w:t>
                  </w:r>
                </w:p>
              </w:tc>
              <w:tc>
                <w:tcPr>
                  <w:tcW w:w="2050" w:type="dxa"/>
                  <w:gridSpan w:val="3"/>
                  <w:tcBorders>
                    <w:tl2br w:val="nil"/>
                    <w:tr2bl w:val="nil"/>
                  </w:tcBorders>
                  <w:noWrap w:val="0"/>
                  <w:vAlign w:val="center"/>
                </w:tcPr>
                <w:p w14:paraId="271FB250">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主要用途：</w:t>
                  </w:r>
                </w:p>
              </w:tc>
              <w:tc>
                <w:tcPr>
                  <w:tcW w:w="2437" w:type="dxa"/>
                  <w:gridSpan w:val="2"/>
                  <w:tcBorders>
                    <w:tl2br w:val="nil"/>
                    <w:tr2bl w:val="nil"/>
                  </w:tcBorders>
                  <w:noWrap w:val="0"/>
                  <w:vAlign w:val="center"/>
                </w:tcPr>
                <w:p w14:paraId="3A5F90FC">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用作柴油机的燃料等。</w:t>
                  </w:r>
                </w:p>
              </w:tc>
            </w:tr>
            <w:tr w14:paraId="17ACF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725" w:type="dxa"/>
                  <w:tcBorders>
                    <w:tl2br w:val="nil"/>
                    <w:tr2bl w:val="nil"/>
                  </w:tcBorders>
                  <w:noWrap w:val="0"/>
                  <w:vAlign w:val="center"/>
                </w:tcPr>
                <w:p w14:paraId="2CF1E7ED">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闪点（℃）：</w:t>
                  </w:r>
                </w:p>
              </w:tc>
              <w:tc>
                <w:tcPr>
                  <w:tcW w:w="2627" w:type="dxa"/>
                  <w:gridSpan w:val="2"/>
                  <w:tcBorders>
                    <w:tl2br w:val="nil"/>
                    <w:tr2bl w:val="nil"/>
                  </w:tcBorders>
                  <w:noWrap w:val="0"/>
                  <w:vAlign w:val="center"/>
                </w:tcPr>
                <w:p w14:paraId="713EFF25">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45～55℃</w:t>
                  </w:r>
                </w:p>
              </w:tc>
              <w:tc>
                <w:tcPr>
                  <w:tcW w:w="2050" w:type="dxa"/>
                  <w:gridSpan w:val="3"/>
                  <w:tcBorders>
                    <w:tl2br w:val="nil"/>
                    <w:tr2bl w:val="nil"/>
                  </w:tcBorders>
                  <w:noWrap w:val="0"/>
                  <w:vAlign w:val="center"/>
                </w:tcPr>
                <w:p w14:paraId="507DE91F">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相对密度（水＝1）：</w:t>
                  </w:r>
                </w:p>
              </w:tc>
              <w:tc>
                <w:tcPr>
                  <w:tcW w:w="2437" w:type="dxa"/>
                  <w:gridSpan w:val="2"/>
                  <w:tcBorders>
                    <w:tl2br w:val="nil"/>
                    <w:tr2bl w:val="nil"/>
                  </w:tcBorders>
                  <w:noWrap w:val="0"/>
                  <w:vAlign w:val="center"/>
                </w:tcPr>
                <w:p w14:paraId="4675876C">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0.87～0.9</w:t>
                  </w:r>
                </w:p>
              </w:tc>
            </w:tr>
            <w:tr w14:paraId="20297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725" w:type="dxa"/>
                  <w:tcBorders>
                    <w:tl2br w:val="nil"/>
                    <w:tr2bl w:val="nil"/>
                  </w:tcBorders>
                  <w:noWrap w:val="0"/>
                  <w:vAlign w:val="center"/>
                </w:tcPr>
                <w:p w14:paraId="748A875C">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沸点（℃）：</w:t>
                  </w:r>
                </w:p>
              </w:tc>
              <w:tc>
                <w:tcPr>
                  <w:tcW w:w="2627" w:type="dxa"/>
                  <w:gridSpan w:val="2"/>
                  <w:tcBorders>
                    <w:tl2br w:val="nil"/>
                    <w:tr2bl w:val="nil"/>
                  </w:tcBorders>
                  <w:noWrap w:val="0"/>
                  <w:vAlign w:val="center"/>
                </w:tcPr>
                <w:p w14:paraId="4ED0D890">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200～350℃</w:t>
                  </w:r>
                </w:p>
              </w:tc>
              <w:tc>
                <w:tcPr>
                  <w:tcW w:w="2050" w:type="dxa"/>
                  <w:gridSpan w:val="3"/>
                  <w:tcBorders>
                    <w:tl2br w:val="nil"/>
                    <w:tr2bl w:val="nil"/>
                  </w:tcBorders>
                  <w:noWrap w:val="0"/>
                  <w:vAlign w:val="center"/>
                </w:tcPr>
                <w:p w14:paraId="76C3A495">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爆炸上限％（V/V）：</w:t>
                  </w:r>
                </w:p>
              </w:tc>
              <w:tc>
                <w:tcPr>
                  <w:tcW w:w="2437" w:type="dxa"/>
                  <w:gridSpan w:val="2"/>
                  <w:tcBorders>
                    <w:tl2br w:val="nil"/>
                    <w:tr2bl w:val="nil"/>
                  </w:tcBorders>
                  <w:noWrap w:val="0"/>
                  <w:vAlign w:val="center"/>
                </w:tcPr>
                <w:p w14:paraId="125F71BE">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4.5</w:t>
                  </w:r>
                </w:p>
              </w:tc>
            </w:tr>
            <w:tr w14:paraId="466CCD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725" w:type="dxa"/>
                  <w:tcBorders>
                    <w:tl2br w:val="nil"/>
                    <w:tr2bl w:val="nil"/>
                  </w:tcBorders>
                  <w:noWrap w:val="0"/>
                  <w:vAlign w:val="center"/>
                </w:tcPr>
                <w:p w14:paraId="38EAC0F4">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自然点（℃）：</w:t>
                  </w:r>
                </w:p>
              </w:tc>
              <w:tc>
                <w:tcPr>
                  <w:tcW w:w="2627" w:type="dxa"/>
                  <w:gridSpan w:val="2"/>
                  <w:tcBorders>
                    <w:tl2br w:val="nil"/>
                    <w:tr2bl w:val="nil"/>
                  </w:tcBorders>
                  <w:noWrap w:val="0"/>
                  <w:vAlign w:val="center"/>
                </w:tcPr>
                <w:p w14:paraId="4D47DDCE">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257</w:t>
                  </w:r>
                </w:p>
              </w:tc>
              <w:tc>
                <w:tcPr>
                  <w:tcW w:w="2050" w:type="dxa"/>
                  <w:gridSpan w:val="3"/>
                  <w:tcBorders>
                    <w:tl2br w:val="nil"/>
                    <w:tr2bl w:val="nil"/>
                  </w:tcBorders>
                  <w:noWrap w:val="0"/>
                  <w:vAlign w:val="center"/>
                </w:tcPr>
                <w:p w14:paraId="0FA84A79">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爆炸下限％（V/V）：</w:t>
                  </w:r>
                </w:p>
              </w:tc>
              <w:tc>
                <w:tcPr>
                  <w:tcW w:w="2437" w:type="dxa"/>
                  <w:gridSpan w:val="2"/>
                  <w:tcBorders>
                    <w:tl2br w:val="nil"/>
                    <w:tr2bl w:val="nil"/>
                  </w:tcBorders>
                  <w:noWrap w:val="0"/>
                  <w:vAlign w:val="center"/>
                </w:tcPr>
                <w:p w14:paraId="46AEBC7B">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1.5</w:t>
                  </w:r>
                </w:p>
              </w:tc>
            </w:tr>
            <w:tr w14:paraId="2CADE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725" w:type="dxa"/>
                  <w:tcBorders>
                    <w:tl2br w:val="nil"/>
                    <w:tr2bl w:val="nil"/>
                  </w:tcBorders>
                  <w:noWrap w:val="0"/>
                  <w:vAlign w:val="center"/>
                </w:tcPr>
                <w:p w14:paraId="11AEA12E">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溶解性：</w:t>
                  </w:r>
                </w:p>
              </w:tc>
              <w:tc>
                <w:tcPr>
                  <w:tcW w:w="7114" w:type="dxa"/>
                  <w:gridSpan w:val="7"/>
                  <w:tcBorders>
                    <w:tl2br w:val="nil"/>
                    <w:tr2bl w:val="nil"/>
                  </w:tcBorders>
                  <w:noWrap w:val="0"/>
                  <w:vAlign w:val="center"/>
                </w:tcPr>
                <w:p w14:paraId="62A7EE70">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不溶于水，易溶于苯、二硫化碳、醇，易溶于脂肪。</w:t>
                  </w:r>
                </w:p>
              </w:tc>
            </w:tr>
            <w:tr w14:paraId="39EB0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8839" w:type="dxa"/>
                  <w:gridSpan w:val="8"/>
                  <w:tcBorders>
                    <w:tl2br w:val="nil"/>
                    <w:tr2bl w:val="nil"/>
                  </w:tcBorders>
                  <w:noWrap w:val="0"/>
                  <w:vAlign w:val="center"/>
                </w:tcPr>
                <w:p w14:paraId="15AB44A2">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第三部分   稳定性及化学活性</w:t>
                  </w:r>
                </w:p>
              </w:tc>
            </w:tr>
            <w:tr w14:paraId="60ED2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725" w:type="dxa"/>
                  <w:tcBorders>
                    <w:tl2br w:val="nil"/>
                    <w:tr2bl w:val="nil"/>
                  </w:tcBorders>
                  <w:noWrap w:val="0"/>
                  <w:vAlign w:val="center"/>
                </w:tcPr>
                <w:p w14:paraId="1E9B204D">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稳定性：</w:t>
                  </w:r>
                </w:p>
              </w:tc>
              <w:tc>
                <w:tcPr>
                  <w:tcW w:w="2187" w:type="dxa"/>
                  <w:tcBorders>
                    <w:tl2br w:val="nil"/>
                    <w:tr2bl w:val="nil"/>
                  </w:tcBorders>
                  <w:noWrap w:val="0"/>
                  <w:vAlign w:val="center"/>
                </w:tcPr>
                <w:p w14:paraId="43C0B425">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稳定</w:t>
                  </w:r>
                </w:p>
              </w:tc>
              <w:tc>
                <w:tcPr>
                  <w:tcW w:w="2347" w:type="dxa"/>
                  <w:gridSpan w:val="3"/>
                  <w:tcBorders>
                    <w:tl2br w:val="nil"/>
                    <w:tr2bl w:val="nil"/>
                  </w:tcBorders>
                  <w:noWrap w:val="0"/>
                  <w:vAlign w:val="center"/>
                </w:tcPr>
                <w:p w14:paraId="21DA0140">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避免接触的条件：</w:t>
                  </w:r>
                </w:p>
              </w:tc>
              <w:tc>
                <w:tcPr>
                  <w:tcW w:w="2580" w:type="dxa"/>
                  <w:gridSpan w:val="3"/>
                  <w:tcBorders>
                    <w:tl2br w:val="nil"/>
                    <w:tr2bl w:val="nil"/>
                  </w:tcBorders>
                  <w:noWrap w:val="0"/>
                  <w:vAlign w:val="center"/>
                </w:tcPr>
                <w:p w14:paraId="50D1ADB4">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明火、高热</w:t>
                  </w:r>
                </w:p>
              </w:tc>
            </w:tr>
            <w:tr w14:paraId="778A1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725" w:type="dxa"/>
                  <w:tcBorders>
                    <w:tl2br w:val="nil"/>
                    <w:tr2bl w:val="nil"/>
                  </w:tcBorders>
                  <w:noWrap w:val="0"/>
                  <w:vAlign w:val="center"/>
                </w:tcPr>
                <w:p w14:paraId="70FCA38E">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禁配物：</w:t>
                  </w:r>
                </w:p>
              </w:tc>
              <w:tc>
                <w:tcPr>
                  <w:tcW w:w="2187" w:type="dxa"/>
                  <w:tcBorders>
                    <w:tl2br w:val="nil"/>
                    <w:tr2bl w:val="nil"/>
                  </w:tcBorders>
                  <w:noWrap w:val="0"/>
                  <w:vAlign w:val="center"/>
                </w:tcPr>
                <w:p w14:paraId="0BF75F4A">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强氧化剂、卤素</w:t>
                  </w:r>
                </w:p>
              </w:tc>
              <w:tc>
                <w:tcPr>
                  <w:tcW w:w="2347" w:type="dxa"/>
                  <w:gridSpan w:val="3"/>
                  <w:tcBorders>
                    <w:tl2br w:val="nil"/>
                    <w:tr2bl w:val="nil"/>
                  </w:tcBorders>
                  <w:noWrap w:val="0"/>
                  <w:vAlign w:val="center"/>
                </w:tcPr>
                <w:p w14:paraId="0173E841">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聚合危害：</w:t>
                  </w:r>
                </w:p>
              </w:tc>
              <w:tc>
                <w:tcPr>
                  <w:tcW w:w="2580" w:type="dxa"/>
                  <w:gridSpan w:val="3"/>
                  <w:tcBorders>
                    <w:tl2br w:val="nil"/>
                    <w:tr2bl w:val="nil"/>
                  </w:tcBorders>
                  <w:noWrap w:val="0"/>
                  <w:vAlign w:val="center"/>
                </w:tcPr>
                <w:p w14:paraId="573F4DEC">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不聚合</w:t>
                  </w:r>
                </w:p>
              </w:tc>
            </w:tr>
            <w:tr w14:paraId="0CBE1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725" w:type="dxa"/>
                  <w:tcBorders>
                    <w:tl2br w:val="nil"/>
                    <w:tr2bl w:val="nil"/>
                  </w:tcBorders>
                  <w:noWrap w:val="0"/>
                  <w:vAlign w:val="center"/>
                </w:tcPr>
                <w:p w14:paraId="264CF4F0">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分解产物：</w:t>
                  </w:r>
                </w:p>
              </w:tc>
              <w:tc>
                <w:tcPr>
                  <w:tcW w:w="7114" w:type="dxa"/>
                  <w:gridSpan w:val="7"/>
                  <w:tcBorders>
                    <w:tl2br w:val="nil"/>
                    <w:tr2bl w:val="nil"/>
                  </w:tcBorders>
                  <w:noWrap w:val="0"/>
                  <w:vAlign w:val="center"/>
                </w:tcPr>
                <w:p w14:paraId="77025337">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一氧化碳、二氧化碳</w:t>
                  </w:r>
                </w:p>
              </w:tc>
            </w:tr>
            <w:tr w14:paraId="07F97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8839" w:type="dxa"/>
                  <w:gridSpan w:val="8"/>
                  <w:tcBorders>
                    <w:tl2br w:val="nil"/>
                    <w:tr2bl w:val="nil"/>
                  </w:tcBorders>
                  <w:noWrap w:val="0"/>
                  <w:vAlign w:val="center"/>
                </w:tcPr>
                <w:p w14:paraId="5387F339">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第四部分   毒理学资料</w:t>
                  </w:r>
                </w:p>
              </w:tc>
            </w:tr>
            <w:tr w14:paraId="07CAB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725" w:type="dxa"/>
                  <w:tcBorders>
                    <w:tl2br w:val="nil"/>
                    <w:tr2bl w:val="nil"/>
                  </w:tcBorders>
                  <w:noWrap w:val="0"/>
                  <w:vAlign w:val="center"/>
                </w:tcPr>
                <w:p w14:paraId="154DD4A9">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急性毒性：</w:t>
                  </w:r>
                </w:p>
              </w:tc>
              <w:tc>
                <w:tcPr>
                  <w:tcW w:w="7114" w:type="dxa"/>
                  <w:gridSpan w:val="7"/>
                  <w:tcBorders>
                    <w:tl2br w:val="nil"/>
                    <w:tr2bl w:val="nil"/>
                  </w:tcBorders>
                  <w:noWrap w:val="0"/>
                  <w:vAlign w:val="center"/>
                </w:tcPr>
                <w:p w14:paraId="51F2FBD6">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LD50 无数据；LC50无数据</w:t>
                  </w:r>
                </w:p>
              </w:tc>
            </w:tr>
            <w:tr w14:paraId="5A07D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4" w:hRule="exact"/>
                <w:jc w:val="center"/>
              </w:trPr>
              <w:tc>
                <w:tcPr>
                  <w:tcW w:w="1725" w:type="dxa"/>
                  <w:tcBorders>
                    <w:tl2br w:val="nil"/>
                    <w:tr2bl w:val="nil"/>
                  </w:tcBorders>
                  <w:noWrap w:val="0"/>
                  <w:vAlign w:val="center"/>
                </w:tcPr>
                <w:p w14:paraId="603EE623">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急性中毒：</w:t>
                  </w:r>
                </w:p>
              </w:tc>
              <w:tc>
                <w:tcPr>
                  <w:tcW w:w="7114" w:type="dxa"/>
                  <w:gridSpan w:val="7"/>
                  <w:tcBorders>
                    <w:tl2br w:val="nil"/>
                    <w:tr2bl w:val="nil"/>
                  </w:tcBorders>
                  <w:noWrap w:val="0"/>
                  <w:vAlign w:val="center"/>
                </w:tcPr>
                <w:p w14:paraId="17ADEF58">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皮肤接触柴油可引起接触性皮炎、油性痤疮，吸入可引起吸入性肺炎，能经胎盘进入胎儿血中。</w:t>
                  </w:r>
                </w:p>
              </w:tc>
            </w:tr>
            <w:tr w14:paraId="2724D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725" w:type="dxa"/>
                  <w:tcBorders>
                    <w:tl2br w:val="nil"/>
                    <w:tr2bl w:val="nil"/>
                  </w:tcBorders>
                  <w:noWrap w:val="0"/>
                  <w:vAlign w:val="center"/>
                </w:tcPr>
                <w:p w14:paraId="4F947EC4">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慢性中毒：</w:t>
                  </w:r>
                </w:p>
              </w:tc>
              <w:tc>
                <w:tcPr>
                  <w:tcW w:w="7114" w:type="dxa"/>
                  <w:gridSpan w:val="7"/>
                  <w:tcBorders>
                    <w:tl2br w:val="nil"/>
                    <w:tr2bl w:val="nil"/>
                  </w:tcBorders>
                  <w:noWrap w:val="0"/>
                  <w:vAlign w:val="center"/>
                </w:tcPr>
                <w:p w14:paraId="7B59C437">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柴油废气可引起眼、鼻刺激症状，头痛。</w:t>
                  </w:r>
                </w:p>
              </w:tc>
            </w:tr>
            <w:tr w14:paraId="7679A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725" w:type="dxa"/>
                  <w:tcBorders>
                    <w:tl2br w:val="nil"/>
                    <w:tr2bl w:val="nil"/>
                  </w:tcBorders>
                  <w:noWrap w:val="0"/>
                  <w:vAlign w:val="center"/>
                </w:tcPr>
                <w:p w14:paraId="3BB78B4B">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刺激性：</w:t>
                  </w:r>
                </w:p>
              </w:tc>
              <w:tc>
                <w:tcPr>
                  <w:tcW w:w="7114" w:type="dxa"/>
                  <w:gridSpan w:val="7"/>
                  <w:tcBorders>
                    <w:tl2br w:val="nil"/>
                    <w:tr2bl w:val="nil"/>
                  </w:tcBorders>
                  <w:noWrap w:val="0"/>
                  <w:vAlign w:val="center"/>
                </w:tcPr>
                <w:p w14:paraId="41D35ED9">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具有刺激作用</w:t>
                  </w:r>
                </w:p>
              </w:tc>
            </w:tr>
            <w:tr w14:paraId="1036B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exact"/>
                <w:jc w:val="center"/>
              </w:trPr>
              <w:tc>
                <w:tcPr>
                  <w:tcW w:w="1725" w:type="dxa"/>
                  <w:tcBorders>
                    <w:tl2br w:val="nil"/>
                    <w:tr2bl w:val="nil"/>
                  </w:tcBorders>
                  <w:noWrap w:val="0"/>
                  <w:vAlign w:val="center"/>
                </w:tcPr>
                <w:p w14:paraId="39109CDD">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最高容许浓度</w:t>
                  </w:r>
                </w:p>
              </w:tc>
              <w:tc>
                <w:tcPr>
                  <w:tcW w:w="7114" w:type="dxa"/>
                  <w:gridSpan w:val="7"/>
                  <w:tcBorders>
                    <w:tl2br w:val="nil"/>
                    <w:tr2bl w:val="nil"/>
                  </w:tcBorders>
                  <w:noWrap w:val="0"/>
                  <w:vAlign w:val="center"/>
                </w:tcPr>
                <w:p w14:paraId="0CA1488C">
                  <w:pPr>
                    <w:pStyle w:val="144"/>
                    <w:keepNext w:val="0"/>
                    <w:keepLines w:val="0"/>
                    <w:pageBreakBefore w:val="0"/>
                    <w:widowControl w:val="0"/>
                    <w:suppressLineNumbers w:val="0"/>
                    <w:bidi w:val="0"/>
                    <w:spacing w:before="0" w:beforeAutospacing="0" w:after="0" w:afterAutospacing="0"/>
                    <w:ind w:left="0" w:right="0"/>
                    <w:rPr>
                      <w:rFonts w:hint="default" w:ascii="Times New Roman" w:hAnsi="Times New Roman" w:eastAsia="宋体" w:cs="Times New Roman"/>
                      <w:color w:val="auto"/>
                      <w:szCs w:val="20"/>
                    </w:rPr>
                  </w:pPr>
                  <w:r>
                    <w:rPr>
                      <w:rFonts w:hint="default" w:ascii="Times New Roman" w:hAnsi="Times New Roman" w:eastAsia="宋体" w:cs="Times New Roman"/>
                      <w:color w:val="auto"/>
                      <w:szCs w:val="20"/>
                    </w:rPr>
                    <w:t>目前无标准</w:t>
                  </w:r>
                </w:p>
              </w:tc>
            </w:tr>
          </w:tbl>
          <w:p w14:paraId="2999F267">
            <w:pPr>
              <w:spacing w:line="360" w:lineRule="auto"/>
              <w:ind w:firstLine="482" w:firstLineChars="200"/>
              <w:jc w:val="left"/>
              <w:rPr>
                <w:rFonts w:hint="eastAsia"/>
                <w:b/>
                <w:bCs/>
                <w:color w:val="auto"/>
                <w:sz w:val="24"/>
                <w:u w:val="single"/>
                <w:lang w:val="en-US" w:eastAsia="zh-CN"/>
              </w:rPr>
            </w:pPr>
            <w:r>
              <w:rPr>
                <w:rFonts w:hint="eastAsia"/>
                <w:b/>
                <w:bCs/>
                <w:color w:val="auto"/>
                <w:sz w:val="24"/>
                <w:u w:val="single"/>
                <w:lang w:val="en-US" w:eastAsia="zh-CN"/>
              </w:rPr>
              <w:t>7、服务范围与接纳污水类别</w:t>
            </w:r>
          </w:p>
          <w:p w14:paraId="34AAEC41">
            <w:pPr>
              <w:spacing w:line="360" w:lineRule="auto"/>
              <w:ind w:firstLine="480" w:firstLineChars="200"/>
              <w:jc w:val="left"/>
              <w:rPr>
                <w:rFonts w:hint="default" w:ascii="Times New Roman" w:hAnsi="Times New Roman" w:eastAsia="宋体" w:cs="Times New Roman"/>
                <w:b w:val="0"/>
                <w:bCs w:val="0"/>
                <w:color w:val="auto"/>
                <w:sz w:val="24"/>
                <w:u w:val="single"/>
                <w:lang w:val="en-US" w:eastAsia="zh-CN"/>
              </w:rPr>
            </w:pPr>
            <w:r>
              <w:rPr>
                <w:rFonts w:hint="eastAsia" w:ascii="Times New Roman" w:hAnsi="Times New Roman" w:eastAsia="宋体" w:cs="Times New Roman"/>
                <w:b w:val="0"/>
                <w:bCs w:val="0"/>
                <w:color w:val="auto"/>
                <w:sz w:val="24"/>
                <w:u w:val="single"/>
                <w:lang w:val="en-US" w:eastAsia="zh-CN"/>
              </w:rPr>
              <w:t>处理</w:t>
            </w:r>
            <w:r>
              <w:rPr>
                <w:rFonts w:hint="eastAsia" w:cs="Times New Roman"/>
                <w:b w:val="0"/>
                <w:bCs w:val="0"/>
                <w:color w:val="auto"/>
                <w:sz w:val="24"/>
                <w:u w:val="single"/>
                <w:lang w:val="en-US" w:eastAsia="zh-CN"/>
              </w:rPr>
              <w:t>龙山县高铁新区</w:t>
            </w:r>
            <w:r>
              <w:rPr>
                <w:rFonts w:hint="eastAsia" w:ascii="Times New Roman" w:hAnsi="Times New Roman" w:eastAsia="宋体" w:cs="Times New Roman"/>
                <w:b w:val="0"/>
                <w:bCs w:val="0"/>
                <w:color w:val="auto"/>
                <w:sz w:val="24"/>
                <w:u w:val="single"/>
                <w:lang w:val="en-US" w:eastAsia="zh-CN"/>
              </w:rPr>
              <w:t>范围内的生活污水，主要包括石糕镇、龙山北站、龙山产业园（仅生活污水）；服务人口约</w:t>
            </w:r>
            <w:r>
              <w:rPr>
                <w:rFonts w:hint="eastAsia" w:cs="Times New Roman"/>
                <w:b w:val="0"/>
                <w:bCs w:val="0"/>
                <w:color w:val="auto"/>
                <w:sz w:val="24"/>
                <w:u w:val="single"/>
                <w:lang w:val="en-US" w:eastAsia="zh-CN"/>
              </w:rPr>
              <w:t>近期60000</w:t>
            </w:r>
            <w:r>
              <w:rPr>
                <w:rFonts w:hint="eastAsia" w:ascii="Times New Roman" w:hAnsi="Times New Roman" w:eastAsia="宋体" w:cs="Times New Roman"/>
                <w:b w:val="0"/>
                <w:bCs w:val="0"/>
                <w:color w:val="auto"/>
                <w:sz w:val="24"/>
                <w:u w:val="single"/>
                <w:lang w:val="en-US" w:eastAsia="zh-CN"/>
              </w:rPr>
              <w:t>人。</w:t>
            </w:r>
          </w:p>
          <w:p w14:paraId="5F381F54">
            <w:pPr>
              <w:spacing w:line="360" w:lineRule="auto"/>
              <w:ind w:firstLine="482" w:firstLineChars="200"/>
              <w:jc w:val="left"/>
              <w:rPr>
                <w:rFonts w:hint="default" w:eastAsia="宋体"/>
                <w:b/>
                <w:bCs/>
                <w:color w:val="auto"/>
                <w:sz w:val="24"/>
                <w:lang w:val="en-US" w:eastAsia="zh-CN"/>
              </w:rPr>
            </w:pPr>
            <w:r>
              <w:rPr>
                <w:rFonts w:hint="eastAsia"/>
                <w:b/>
                <w:bCs/>
                <w:color w:val="auto"/>
                <w:sz w:val="24"/>
                <w:lang w:val="en-US" w:eastAsia="zh-CN"/>
              </w:rPr>
              <w:t>8、劳动定员与工作制度</w:t>
            </w:r>
          </w:p>
          <w:p w14:paraId="123AE175">
            <w:pPr>
              <w:spacing w:line="360" w:lineRule="auto"/>
              <w:ind w:firstLine="480" w:firstLineChars="200"/>
              <w:jc w:val="left"/>
              <w:rPr>
                <w:rFonts w:hint="default" w:eastAsia="宋体"/>
                <w:b w:val="0"/>
                <w:bCs w:val="0"/>
                <w:color w:val="auto"/>
                <w:sz w:val="24"/>
                <w:lang w:val="en-US" w:eastAsia="zh-CN"/>
              </w:rPr>
            </w:pPr>
            <w:r>
              <w:rPr>
                <w:rFonts w:hint="eastAsia"/>
                <w:b w:val="0"/>
                <w:bCs w:val="0"/>
                <w:color w:val="auto"/>
                <w:sz w:val="24"/>
                <w:lang w:val="en-US" w:eastAsia="zh-CN"/>
              </w:rPr>
              <w:t>项目劳动定员9人，全年工作日为365天，实行三班两运转工作制。</w:t>
            </w:r>
          </w:p>
          <w:p w14:paraId="2A3C86D7">
            <w:pPr>
              <w:spacing w:line="360" w:lineRule="auto"/>
              <w:ind w:firstLine="482" w:firstLineChars="200"/>
              <w:jc w:val="left"/>
              <w:rPr>
                <w:b/>
                <w:bCs/>
                <w:color w:val="auto"/>
                <w:sz w:val="24"/>
              </w:rPr>
            </w:pPr>
            <w:r>
              <w:rPr>
                <w:rFonts w:hint="eastAsia"/>
                <w:b/>
                <w:bCs/>
                <w:color w:val="auto"/>
                <w:sz w:val="24"/>
                <w:lang w:val="en-US" w:eastAsia="zh-CN"/>
              </w:rPr>
              <w:t>9</w:t>
            </w:r>
            <w:r>
              <w:rPr>
                <w:b/>
                <w:bCs/>
                <w:color w:val="auto"/>
                <w:sz w:val="24"/>
              </w:rPr>
              <w:t>、给、排水工程</w:t>
            </w:r>
          </w:p>
          <w:p w14:paraId="40BEC3F1">
            <w:pPr>
              <w:spacing w:line="360" w:lineRule="auto"/>
              <w:ind w:firstLine="480" w:firstLineChars="200"/>
              <w:jc w:val="left"/>
              <w:rPr>
                <w:b w:val="0"/>
                <w:bCs w:val="0"/>
                <w:color w:val="auto"/>
                <w:sz w:val="24"/>
                <w:szCs w:val="24"/>
              </w:rPr>
            </w:pPr>
            <w:r>
              <w:rPr>
                <w:b w:val="0"/>
                <w:bCs w:val="0"/>
                <w:color w:val="auto"/>
                <w:sz w:val="24"/>
              </w:rPr>
              <w:t>（1）</w:t>
            </w:r>
            <w:r>
              <w:rPr>
                <w:b w:val="0"/>
                <w:bCs w:val="0"/>
                <w:color w:val="auto"/>
                <w:sz w:val="24"/>
                <w:szCs w:val="24"/>
              </w:rPr>
              <w:t>给水</w:t>
            </w:r>
          </w:p>
          <w:p w14:paraId="672B5C1A">
            <w:pPr>
              <w:pStyle w:val="25"/>
              <w:spacing w:after="0" w:line="360" w:lineRule="auto"/>
              <w:ind w:left="0" w:leftChars="0" w:firstLine="480" w:firstLineChars="200"/>
              <w:jc w:val="left"/>
              <w:rPr>
                <w:rFonts w:hint="eastAsia"/>
                <w:color w:val="auto"/>
                <w:sz w:val="24"/>
                <w:szCs w:val="24"/>
              </w:rPr>
            </w:pPr>
            <w:r>
              <w:rPr>
                <w:rFonts w:hint="eastAsia"/>
                <w:color w:val="auto"/>
                <w:sz w:val="24"/>
                <w:szCs w:val="24"/>
              </w:rPr>
              <w:t>项目</w:t>
            </w:r>
            <w:r>
              <w:rPr>
                <w:rFonts w:hint="eastAsia"/>
                <w:color w:val="auto"/>
                <w:sz w:val="24"/>
                <w:szCs w:val="24"/>
                <w:lang w:val="en-US" w:eastAsia="zh-CN"/>
              </w:rPr>
              <w:t>用水主要为</w:t>
            </w:r>
            <w:r>
              <w:rPr>
                <w:rFonts w:hint="eastAsia"/>
                <w:color w:val="auto"/>
                <w:sz w:val="24"/>
                <w:szCs w:val="24"/>
              </w:rPr>
              <w:t>员工生活用水和生产用水，全部来自于自来水，</w:t>
            </w:r>
            <w:r>
              <w:rPr>
                <w:rFonts w:hint="eastAsia"/>
                <w:color w:val="auto"/>
                <w:sz w:val="24"/>
                <w:szCs w:val="24"/>
                <w:lang w:val="en-US" w:eastAsia="zh-CN"/>
              </w:rPr>
              <w:t>由市政供水管网供给。</w:t>
            </w:r>
          </w:p>
          <w:p w14:paraId="02B38D15">
            <w:pPr>
              <w:pStyle w:val="25"/>
              <w:keepNext w:val="0"/>
              <w:keepLines w:val="0"/>
              <w:pageBreakBefore w:val="0"/>
              <w:widowControl w:val="0"/>
              <w:kinsoku/>
              <w:wordWrap w:val="0"/>
              <w:overflowPunct/>
              <w:topLinePunct w:val="0"/>
              <w:autoSpaceDE/>
              <w:autoSpaceDN/>
              <w:bidi w:val="0"/>
              <w:adjustRightInd/>
              <w:snapToGrid/>
              <w:spacing w:after="0" w:line="360" w:lineRule="auto"/>
              <w:ind w:left="0" w:leftChars="0" w:firstLine="465"/>
              <w:jc w:val="left"/>
              <w:textAlignment w:val="auto"/>
              <w:rPr>
                <w:color w:val="auto"/>
                <w:sz w:val="24"/>
                <w:szCs w:val="24"/>
              </w:rPr>
            </w:pPr>
            <w:r>
              <w:rPr>
                <w:rFonts w:hint="eastAsia"/>
                <w:b/>
                <w:bCs/>
                <w:color w:val="auto"/>
                <w:sz w:val="24"/>
                <w:szCs w:val="24"/>
                <w:lang w:val="en-US" w:eastAsia="zh-CN"/>
              </w:rPr>
              <w:t>1）</w:t>
            </w:r>
            <w:r>
              <w:rPr>
                <w:b/>
                <w:bCs/>
                <w:color w:val="auto"/>
                <w:sz w:val="24"/>
                <w:szCs w:val="24"/>
              </w:rPr>
              <w:t>生活用水：</w:t>
            </w:r>
            <w:r>
              <w:rPr>
                <w:rFonts w:hint="eastAsia"/>
                <w:color w:val="auto"/>
                <w:sz w:val="24"/>
                <w:szCs w:val="24"/>
                <w:lang w:val="en-US" w:eastAsia="zh-CN"/>
              </w:rPr>
              <w:t>项目劳动人</w:t>
            </w:r>
            <w:r>
              <w:rPr>
                <w:color w:val="auto"/>
                <w:sz w:val="24"/>
                <w:szCs w:val="24"/>
              </w:rPr>
              <w:t>员</w:t>
            </w:r>
            <w:r>
              <w:rPr>
                <w:rFonts w:hint="eastAsia"/>
                <w:color w:val="auto"/>
                <w:sz w:val="24"/>
                <w:szCs w:val="24"/>
                <w:lang w:val="en-US" w:eastAsia="zh-CN"/>
              </w:rPr>
              <w:t>9</w:t>
            </w:r>
            <w:r>
              <w:rPr>
                <w:rFonts w:hint="eastAsia"/>
                <w:color w:val="auto"/>
                <w:sz w:val="24"/>
                <w:szCs w:val="24"/>
              </w:rPr>
              <w:t>人</w:t>
            </w:r>
            <w:r>
              <w:rPr>
                <w:rFonts w:hint="eastAsia"/>
                <w:color w:val="auto"/>
                <w:sz w:val="24"/>
                <w:szCs w:val="24"/>
                <w:lang w:val="en-US" w:eastAsia="zh-CN"/>
              </w:rPr>
              <w:t>，</w:t>
            </w:r>
            <w:r>
              <w:rPr>
                <w:color w:val="auto"/>
                <w:sz w:val="24"/>
                <w:szCs w:val="24"/>
              </w:rPr>
              <w:t>用水</w:t>
            </w:r>
            <w:r>
              <w:rPr>
                <w:rFonts w:hint="eastAsia"/>
                <w:color w:val="auto"/>
                <w:sz w:val="24"/>
                <w:szCs w:val="24"/>
                <w:lang w:val="en-US" w:eastAsia="zh-CN"/>
              </w:rPr>
              <w:t>参照</w:t>
            </w:r>
            <w:r>
              <w:rPr>
                <w:rFonts w:hint="eastAsia"/>
                <w:color w:val="auto"/>
                <w:sz w:val="24"/>
                <w:szCs w:val="24"/>
              </w:rPr>
              <w:t>《湖南省用水定额（DB43T388-2020》</w:t>
            </w:r>
            <w:r>
              <w:rPr>
                <w:color w:val="auto"/>
                <w:sz w:val="24"/>
                <w:szCs w:val="24"/>
              </w:rPr>
              <w:t>按照</w:t>
            </w:r>
            <w:r>
              <w:rPr>
                <w:rFonts w:hint="eastAsia"/>
                <w:color w:val="auto"/>
                <w:sz w:val="24"/>
                <w:szCs w:val="20"/>
              </w:rPr>
              <w:t>人均用水量按145L/人·d计</w:t>
            </w:r>
            <w:r>
              <w:rPr>
                <w:color w:val="auto"/>
                <w:sz w:val="24"/>
                <w:szCs w:val="24"/>
              </w:rPr>
              <w:t>，则本项目生活用水总量为</w:t>
            </w:r>
            <w:r>
              <w:rPr>
                <w:rFonts w:hint="eastAsia"/>
                <w:color w:val="auto"/>
                <w:sz w:val="24"/>
                <w:szCs w:val="24"/>
                <w:lang w:val="en-US" w:eastAsia="zh-CN"/>
              </w:rPr>
              <w:t>1.305</w:t>
            </w:r>
            <w:r>
              <w:rPr>
                <w:color w:val="auto"/>
                <w:sz w:val="24"/>
                <w:szCs w:val="24"/>
              </w:rPr>
              <w:t>m</w:t>
            </w:r>
            <w:r>
              <w:rPr>
                <w:color w:val="auto"/>
                <w:sz w:val="24"/>
                <w:szCs w:val="24"/>
                <w:vertAlign w:val="superscript"/>
              </w:rPr>
              <w:t>3</w:t>
            </w:r>
            <w:r>
              <w:rPr>
                <w:color w:val="auto"/>
                <w:sz w:val="24"/>
                <w:szCs w:val="24"/>
              </w:rPr>
              <w:t>/d（</w:t>
            </w:r>
            <w:r>
              <w:rPr>
                <w:rFonts w:hint="eastAsia"/>
                <w:color w:val="auto"/>
                <w:sz w:val="24"/>
                <w:szCs w:val="24"/>
                <w:lang w:val="en-US" w:eastAsia="zh-CN"/>
              </w:rPr>
              <w:t>476.325</w:t>
            </w:r>
            <w:r>
              <w:rPr>
                <w:color w:val="auto"/>
                <w:sz w:val="24"/>
                <w:szCs w:val="24"/>
              </w:rPr>
              <w:t>m</w:t>
            </w:r>
            <w:r>
              <w:rPr>
                <w:color w:val="auto"/>
                <w:sz w:val="24"/>
                <w:szCs w:val="24"/>
                <w:vertAlign w:val="superscript"/>
              </w:rPr>
              <w:t>3</w:t>
            </w:r>
            <w:r>
              <w:rPr>
                <w:color w:val="auto"/>
                <w:sz w:val="24"/>
                <w:szCs w:val="24"/>
              </w:rPr>
              <w:t>/a）。</w:t>
            </w:r>
          </w:p>
          <w:p w14:paraId="7A465A33">
            <w:pPr>
              <w:pStyle w:val="40"/>
              <w:numPr>
                <w:ilvl w:val="0"/>
                <w:numId w:val="0"/>
              </w:numPr>
              <w:spacing w:line="360" w:lineRule="auto"/>
              <w:ind w:firstLine="482" w:firstLineChars="200"/>
              <w:rPr>
                <w:rFonts w:hint="eastAsia" w:ascii="Times New Roman" w:hAnsi="Times New Roman" w:eastAsia="宋体" w:cs="Times New Roman"/>
                <w:b/>
                <w:bCs/>
                <w:color w:val="auto"/>
                <w:kern w:val="2"/>
                <w:sz w:val="24"/>
                <w:szCs w:val="24"/>
                <w:lang w:val="en-US" w:eastAsia="zh-CN" w:bidi="ar-SA"/>
              </w:rPr>
            </w:pPr>
            <w:r>
              <w:rPr>
                <w:rFonts w:hint="eastAsia" w:ascii="Times New Roman" w:hAnsi="Times New Roman" w:cs="Times New Roman"/>
                <w:b/>
                <w:bCs/>
                <w:color w:val="auto"/>
                <w:kern w:val="2"/>
                <w:sz w:val="24"/>
                <w:szCs w:val="24"/>
                <w:lang w:val="en-US" w:eastAsia="zh-CN" w:bidi="ar-SA"/>
              </w:rPr>
              <w:t>2）</w:t>
            </w:r>
            <w:r>
              <w:rPr>
                <w:rFonts w:hint="eastAsia" w:ascii="Times New Roman" w:hAnsi="Times New Roman" w:eastAsia="宋体" w:cs="Times New Roman"/>
                <w:b/>
                <w:bCs/>
                <w:color w:val="auto"/>
                <w:kern w:val="2"/>
                <w:sz w:val="24"/>
                <w:szCs w:val="24"/>
                <w:lang w:val="en-US" w:eastAsia="zh-CN" w:bidi="ar-SA"/>
              </w:rPr>
              <w:t>生产用水</w:t>
            </w:r>
            <w:r>
              <w:rPr>
                <w:rFonts w:hint="eastAsia" w:ascii="Times New Roman" w:hAnsi="Times New Roman" w:cs="Times New Roman"/>
                <w:b/>
                <w:bCs/>
                <w:color w:val="auto"/>
                <w:kern w:val="2"/>
                <w:sz w:val="24"/>
                <w:szCs w:val="24"/>
                <w:lang w:val="en-US" w:eastAsia="zh-CN" w:bidi="ar-SA"/>
              </w:rPr>
              <w:t>：</w:t>
            </w:r>
          </w:p>
          <w:p w14:paraId="404DFC64">
            <w:pPr>
              <w:pStyle w:val="40"/>
              <w:numPr>
                <w:ilvl w:val="0"/>
                <w:numId w:val="0"/>
              </w:numPr>
              <w:spacing w:line="360" w:lineRule="auto"/>
              <w:ind w:firstLine="480" w:firstLineChars="200"/>
              <w:rPr>
                <w:rFonts w:hint="default" w:ascii="Times New Roman" w:hAnsi="Times New Roman" w:cs="Times New Roman"/>
                <w:color w:val="auto"/>
                <w:sz w:val="24"/>
                <w:szCs w:val="20"/>
                <w:lang w:eastAsia="zh-CN"/>
              </w:rPr>
            </w:pPr>
            <w:r>
              <w:rPr>
                <w:rFonts w:hint="default" w:ascii="Times New Roman" w:hAnsi="Times New Roman" w:cs="Times New Roman"/>
                <w:color w:val="auto"/>
                <w:sz w:val="24"/>
                <w:szCs w:val="20"/>
              </w:rPr>
              <w:t>①</w:t>
            </w:r>
            <w:r>
              <w:rPr>
                <w:rFonts w:hint="default" w:ascii="Times New Roman" w:hAnsi="Times New Roman" w:cs="Times New Roman"/>
                <w:color w:val="auto"/>
                <w:sz w:val="24"/>
                <w:szCs w:val="20"/>
                <w:lang w:val="en-US" w:eastAsia="zh-CN"/>
              </w:rPr>
              <w:t>根据建设单位提供，</w:t>
            </w:r>
            <w:r>
              <w:rPr>
                <w:rFonts w:hint="default" w:ascii="Times New Roman" w:hAnsi="Times New Roman" w:cs="Times New Roman"/>
                <w:color w:val="auto"/>
                <w:sz w:val="24"/>
                <w:szCs w:val="20"/>
              </w:rPr>
              <w:t>化验室用水量约为</w:t>
            </w:r>
            <w:r>
              <w:rPr>
                <w:rFonts w:hint="default" w:ascii="Times New Roman" w:hAnsi="Times New Roman" w:cs="Times New Roman"/>
                <w:color w:val="auto"/>
                <w:sz w:val="24"/>
                <w:szCs w:val="20"/>
                <w:lang w:val="en-US" w:eastAsia="zh-CN"/>
              </w:rPr>
              <w:t>0.</w:t>
            </w:r>
            <w:r>
              <w:rPr>
                <w:rFonts w:hint="eastAsia" w:ascii="Times New Roman" w:hAnsi="Times New Roman" w:cs="Times New Roman"/>
                <w:color w:val="auto"/>
                <w:sz w:val="24"/>
                <w:szCs w:val="20"/>
                <w:lang w:val="en-US" w:eastAsia="zh-CN"/>
              </w:rPr>
              <w:t>4</w:t>
            </w:r>
            <w:r>
              <w:rPr>
                <w:rFonts w:hint="default" w:ascii="Times New Roman" w:hAnsi="Times New Roman" w:cs="Times New Roman"/>
                <w:color w:val="auto"/>
                <w:sz w:val="24"/>
                <w:szCs w:val="20"/>
              </w:rPr>
              <w:t>m</w:t>
            </w:r>
            <w:r>
              <w:rPr>
                <w:rFonts w:hint="default" w:ascii="Times New Roman" w:hAnsi="Times New Roman" w:cs="Times New Roman"/>
                <w:color w:val="auto"/>
                <w:sz w:val="24"/>
                <w:szCs w:val="20"/>
                <w:vertAlign w:val="superscript"/>
              </w:rPr>
              <w:t>3</w:t>
            </w:r>
            <w:r>
              <w:rPr>
                <w:rFonts w:hint="default" w:ascii="Times New Roman" w:hAnsi="Times New Roman" w:cs="Times New Roman"/>
                <w:color w:val="auto"/>
                <w:sz w:val="24"/>
                <w:szCs w:val="20"/>
              </w:rPr>
              <w:t>/d（</w:t>
            </w:r>
            <w:r>
              <w:rPr>
                <w:rFonts w:hint="eastAsia" w:ascii="Times New Roman" w:hAnsi="Times New Roman" w:cs="Times New Roman"/>
                <w:color w:val="auto"/>
                <w:sz w:val="24"/>
                <w:szCs w:val="20"/>
                <w:lang w:val="en-US" w:eastAsia="zh-CN"/>
              </w:rPr>
              <w:t>146</w:t>
            </w:r>
            <w:r>
              <w:rPr>
                <w:rFonts w:hint="default" w:ascii="Times New Roman" w:hAnsi="Times New Roman" w:cs="Times New Roman"/>
                <w:color w:val="auto"/>
                <w:sz w:val="24"/>
                <w:szCs w:val="20"/>
              </w:rPr>
              <w:t>m</w:t>
            </w:r>
            <w:r>
              <w:rPr>
                <w:rFonts w:hint="default" w:ascii="Times New Roman" w:hAnsi="Times New Roman" w:eastAsia="宋体" w:cs="Times New Roman"/>
                <w:color w:val="auto"/>
                <w:sz w:val="24"/>
                <w:szCs w:val="20"/>
                <w:vertAlign w:val="superscript"/>
              </w:rPr>
              <w:t>3</w:t>
            </w:r>
            <w:r>
              <w:rPr>
                <w:rFonts w:hint="default" w:ascii="Times New Roman" w:hAnsi="Times New Roman" w:cs="Times New Roman"/>
                <w:color w:val="auto"/>
                <w:sz w:val="24"/>
                <w:szCs w:val="20"/>
              </w:rPr>
              <w:t>/a）</w:t>
            </w:r>
            <w:r>
              <w:rPr>
                <w:rFonts w:hint="default" w:ascii="Times New Roman" w:hAnsi="Times New Roman" w:cs="Times New Roman"/>
                <w:color w:val="auto"/>
                <w:sz w:val="24"/>
                <w:szCs w:val="20"/>
                <w:lang w:eastAsia="zh-CN"/>
              </w:rPr>
              <w:t>。</w:t>
            </w:r>
          </w:p>
          <w:p w14:paraId="6E464C2E">
            <w:pPr>
              <w:keepNext w:val="0"/>
              <w:keepLines w:val="0"/>
              <w:pageBreakBefore w:val="0"/>
              <w:widowControl/>
              <w:numPr>
                <w:ilvl w:val="0"/>
                <w:numId w:val="0"/>
              </w:numPr>
              <w:kinsoku/>
              <w:wordWrap w:val="0"/>
              <w:overflowPunct/>
              <w:topLinePunct/>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0"/>
              </w:rPr>
            </w:pPr>
            <w:r>
              <w:rPr>
                <w:rFonts w:hint="default" w:ascii="Times New Roman" w:hAnsi="Times New Roman" w:cs="Times New Roman"/>
                <w:color w:val="auto"/>
                <w:sz w:val="24"/>
                <w:szCs w:val="20"/>
                <w:lang w:val="en-US" w:eastAsia="zh-CN"/>
              </w:rPr>
              <w:t>②</w:t>
            </w:r>
            <w:r>
              <w:rPr>
                <w:rFonts w:hint="default" w:ascii="Times New Roman" w:hAnsi="Times New Roman" w:cs="Times New Roman"/>
                <w:color w:val="auto"/>
                <w:sz w:val="24"/>
                <w:szCs w:val="20"/>
              </w:rPr>
              <w:t>生物滤池加湿喷淋用水，为维持生物滤床良好生物环境，恶臭气体收集后需进行加湿预处理，加湿采用喷淋水循环，除臭系统循环水量为</w:t>
            </w:r>
            <w:r>
              <w:rPr>
                <w:rFonts w:hint="eastAsia" w:ascii="Times New Roman" w:hAnsi="Times New Roman" w:cs="Times New Roman"/>
                <w:color w:val="auto"/>
                <w:sz w:val="24"/>
                <w:szCs w:val="20"/>
                <w:lang w:val="en-US" w:eastAsia="zh-CN"/>
              </w:rPr>
              <w:t>4</w:t>
            </w:r>
            <w:r>
              <w:rPr>
                <w:rFonts w:hint="default" w:ascii="Times New Roman" w:hAnsi="Times New Roman" w:cs="Times New Roman"/>
                <w:color w:val="auto"/>
                <w:sz w:val="24"/>
                <w:szCs w:val="20"/>
              </w:rPr>
              <w:t>m</w:t>
            </w:r>
            <w:r>
              <w:rPr>
                <w:rFonts w:hint="default" w:ascii="Times New Roman" w:hAnsi="Times New Roman" w:eastAsia="宋体" w:cs="Times New Roman"/>
                <w:color w:val="auto"/>
                <w:sz w:val="24"/>
                <w:szCs w:val="20"/>
                <w:vertAlign w:val="superscript"/>
              </w:rPr>
              <w:t>3</w:t>
            </w:r>
            <w:r>
              <w:rPr>
                <w:rFonts w:hint="default" w:ascii="Times New Roman" w:hAnsi="Times New Roman" w:cs="Times New Roman"/>
                <w:color w:val="auto"/>
                <w:sz w:val="24"/>
                <w:szCs w:val="20"/>
              </w:rPr>
              <w:t>/h，喷淋水温度为20℃，补水量按循环水量1～2%计</w:t>
            </w:r>
            <w:r>
              <w:rPr>
                <w:rFonts w:hint="eastAsia" w:ascii="Times New Roman" w:hAnsi="Times New Roman" w:cs="Times New Roman"/>
                <w:color w:val="auto"/>
                <w:sz w:val="24"/>
                <w:szCs w:val="20"/>
                <w:lang w:eastAsia="zh-CN"/>
              </w:rPr>
              <w:t>（本次采用</w:t>
            </w:r>
            <w:r>
              <w:rPr>
                <w:rFonts w:hint="eastAsia" w:ascii="Times New Roman" w:hAnsi="Times New Roman" w:cs="Times New Roman"/>
                <w:color w:val="auto"/>
                <w:sz w:val="24"/>
                <w:szCs w:val="20"/>
                <w:lang w:val="en-US" w:eastAsia="zh-CN"/>
              </w:rPr>
              <w:t>2%</w:t>
            </w:r>
            <w:r>
              <w:rPr>
                <w:rFonts w:hint="eastAsia" w:ascii="Times New Roman" w:hAnsi="Times New Roman" w:cs="Times New Roman"/>
                <w:color w:val="auto"/>
                <w:sz w:val="24"/>
                <w:szCs w:val="20"/>
                <w:lang w:eastAsia="zh-CN"/>
              </w:rPr>
              <w:t>）</w:t>
            </w:r>
            <w:r>
              <w:rPr>
                <w:rFonts w:hint="default" w:ascii="Times New Roman" w:hAnsi="Times New Roman" w:cs="Times New Roman"/>
                <w:color w:val="auto"/>
                <w:sz w:val="24"/>
                <w:szCs w:val="20"/>
              </w:rPr>
              <w:t>，则补水量约为</w:t>
            </w:r>
            <w:r>
              <w:rPr>
                <w:rFonts w:hint="eastAsia" w:ascii="Times New Roman" w:hAnsi="Times New Roman" w:cs="Times New Roman"/>
                <w:color w:val="auto"/>
                <w:sz w:val="24"/>
                <w:szCs w:val="20"/>
                <w:lang w:val="en-US" w:eastAsia="zh-CN"/>
              </w:rPr>
              <w:t>700.8</w:t>
            </w:r>
            <w:r>
              <w:rPr>
                <w:rFonts w:hint="default" w:ascii="Times New Roman" w:hAnsi="Times New Roman" w:cs="Times New Roman"/>
                <w:color w:val="auto"/>
                <w:sz w:val="24"/>
                <w:szCs w:val="20"/>
              </w:rPr>
              <w:t>m</w:t>
            </w:r>
            <w:r>
              <w:rPr>
                <w:rFonts w:hint="default" w:ascii="Times New Roman" w:hAnsi="Times New Roman" w:cs="Times New Roman"/>
                <w:color w:val="auto"/>
                <w:sz w:val="24"/>
                <w:szCs w:val="20"/>
                <w:vertAlign w:val="superscript"/>
              </w:rPr>
              <w:t>3</w:t>
            </w:r>
            <w:r>
              <w:rPr>
                <w:rFonts w:hint="default" w:ascii="Times New Roman" w:hAnsi="Times New Roman" w:cs="Times New Roman"/>
                <w:color w:val="auto"/>
                <w:sz w:val="24"/>
                <w:szCs w:val="20"/>
              </w:rPr>
              <w:t>/a，采用新鲜水。</w:t>
            </w:r>
          </w:p>
          <w:p w14:paraId="3FB213DB">
            <w:pPr>
              <w:spacing w:line="360" w:lineRule="auto"/>
              <w:ind w:firstLine="480" w:firstLineChars="200"/>
              <w:jc w:val="left"/>
              <w:rPr>
                <w:rFonts w:hint="default" w:ascii="Times New Roman" w:hAnsi="Times New Roman" w:cs="Times New Roman"/>
                <w:b/>
                <w:bCs/>
                <w:color w:val="auto"/>
                <w:sz w:val="24"/>
              </w:rPr>
            </w:pPr>
            <w:r>
              <w:rPr>
                <w:rFonts w:hint="default" w:ascii="Times New Roman" w:hAnsi="Times New Roman" w:cs="Times New Roman"/>
                <w:color w:val="auto"/>
                <w:sz w:val="24"/>
                <w:szCs w:val="20"/>
                <w:lang w:val="en-US" w:eastAsia="zh-CN"/>
              </w:rPr>
              <w:t>③</w:t>
            </w:r>
            <w:r>
              <w:rPr>
                <w:rFonts w:hint="default" w:ascii="Times New Roman" w:hAnsi="Times New Roman" w:cs="Times New Roman"/>
                <w:color w:val="auto"/>
                <w:sz w:val="24"/>
                <w:szCs w:val="20"/>
              </w:rPr>
              <w:t>设备冲洗水需要定期冲洗脱水机、药液搅拌机、</w:t>
            </w:r>
            <w:r>
              <w:rPr>
                <w:rFonts w:hint="default" w:ascii="Times New Roman" w:hAnsi="Times New Roman" w:cs="Times New Roman"/>
                <w:color w:val="auto"/>
                <w:sz w:val="24"/>
                <w:szCs w:val="20"/>
                <w:lang w:val="en-US" w:eastAsia="zh-CN"/>
              </w:rPr>
              <w:t>滤布滤池</w:t>
            </w:r>
            <w:r>
              <w:rPr>
                <w:rFonts w:hint="default" w:ascii="Times New Roman" w:hAnsi="Times New Roman" w:cs="Times New Roman"/>
                <w:color w:val="auto"/>
                <w:sz w:val="24"/>
                <w:szCs w:val="20"/>
              </w:rPr>
              <w:t>等设备，设备冲洗水使用量约</w:t>
            </w:r>
            <w:r>
              <w:rPr>
                <w:rFonts w:hint="eastAsia" w:ascii="Times New Roman" w:hAnsi="Times New Roman" w:cs="Times New Roman"/>
                <w:color w:val="auto"/>
                <w:sz w:val="24"/>
                <w:szCs w:val="20"/>
                <w:lang w:val="en-US" w:eastAsia="zh-CN"/>
              </w:rPr>
              <w:t>0.8</w:t>
            </w:r>
            <w:r>
              <w:rPr>
                <w:rFonts w:hint="default" w:ascii="Times New Roman" w:hAnsi="Times New Roman" w:cs="Times New Roman"/>
                <w:color w:val="auto"/>
                <w:sz w:val="24"/>
                <w:szCs w:val="20"/>
              </w:rPr>
              <w:t>m</w:t>
            </w:r>
            <w:r>
              <w:rPr>
                <w:rFonts w:hint="default" w:ascii="Times New Roman" w:hAnsi="Times New Roman" w:cs="Times New Roman"/>
                <w:color w:val="auto"/>
                <w:sz w:val="24"/>
                <w:szCs w:val="20"/>
                <w:vertAlign w:val="superscript"/>
              </w:rPr>
              <w:t>3</w:t>
            </w:r>
            <w:r>
              <w:rPr>
                <w:rFonts w:hint="default" w:ascii="Times New Roman" w:hAnsi="Times New Roman" w:cs="Times New Roman"/>
                <w:color w:val="auto"/>
                <w:sz w:val="24"/>
                <w:szCs w:val="20"/>
              </w:rPr>
              <w:t>/d，年耗水量约</w:t>
            </w:r>
            <w:r>
              <w:rPr>
                <w:rFonts w:hint="eastAsia" w:ascii="Times New Roman" w:hAnsi="Times New Roman" w:cs="Times New Roman"/>
                <w:color w:val="auto"/>
                <w:sz w:val="24"/>
                <w:szCs w:val="20"/>
                <w:lang w:val="en-US" w:eastAsia="zh-CN"/>
              </w:rPr>
              <w:t>292</w:t>
            </w:r>
            <w:r>
              <w:rPr>
                <w:rFonts w:hint="default" w:ascii="Times New Roman" w:hAnsi="Times New Roman" w:cs="Times New Roman"/>
                <w:color w:val="auto"/>
                <w:sz w:val="24"/>
                <w:szCs w:val="20"/>
              </w:rPr>
              <w:t>t。</w:t>
            </w:r>
          </w:p>
          <w:p w14:paraId="5CE74D27">
            <w:pPr>
              <w:widowControl/>
              <w:numPr>
                <w:ilvl w:val="0"/>
                <w:numId w:val="2"/>
              </w:numPr>
              <w:wordWrap w:val="0"/>
              <w:topLinePunct/>
              <w:spacing w:line="360" w:lineRule="auto"/>
              <w:ind w:firstLine="480" w:firstLineChars="200"/>
              <w:rPr>
                <w:color w:val="auto"/>
                <w:sz w:val="24"/>
                <w:szCs w:val="20"/>
              </w:rPr>
            </w:pPr>
            <w:r>
              <w:rPr>
                <w:color w:val="auto"/>
                <w:sz w:val="24"/>
                <w:szCs w:val="20"/>
              </w:rPr>
              <w:t>排水</w:t>
            </w:r>
          </w:p>
          <w:p w14:paraId="2EC63570">
            <w:pPr>
              <w:keepNext w:val="0"/>
              <w:keepLines w:val="0"/>
              <w:pageBreakBefore w:val="0"/>
              <w:widowControl/>
              <w:numPr>
                <w:ilvl w:val="0"/>
                <w:numId w:val="0"/>
              </w:numPr>
              <w:kinsoku/>
              <w:wordWrap w:val="0"/>
              <w:overflowPunct/>
              <w:topLinePunct/>
              <w:autoSpaceDE/>
              <w:autoSpaceDN/>
              <w:bidi w:val="0"/>
              <w:adjustRightInd/>
              <w:snapToGrid/>
              <w:spacing w:line="360" w:lineRule="auto"/>
              <w:ind w:firstLine="480" w:firstLineChars="200"/>
              <w:textAlignment w:val="auto"/>
              <w:rPr>
                <w:rFonts w:hint="eastAsia"/>
                <w:color w:val="auto"/>
                <w:sz w:val="24"/>
                <w:szCs w:val="20"/>
              </w:rPr>
            </w:pPr>
            <w:r>
              <w:rPr>
                <w:rFonts w:hint="eastAsia"/>
                <w:color w:val="auto"/>
                <w:sz w:val="24"/>
                <w:szCs w:val="20"/>
              </w:rPr>
              <w:t>1）生活废水</w:t>
            </w:r>
          </w:p>
          <w:p w14:paraId="6E5220DB">
            <w:pPr>
              <w:keepNext w:val="0"/>
              <w:keepLines w:val="0"/>
              <w:pageBreakBefore w:val="0"/>
              <w:widowControl/>
              <w:numPr>
                <w:ilvl w:val="0"/>
                <w:numId w:val="0"/>
              </w:numPr>
              <w:kinsoku/>
              <w:wordWrap w:val="0"/>
              <w:overflowPunct/>
              <w:topLinePunct/>
              <w:autoSpaceDE/>
              <w:autoSpaceDN/>
              <w:bidi w:val="0"/>
              <w:adjustRightInd/>
              <w:snapToGrid/>
              <w:spacing w:line="360" w:lineRule="auto"/>
              <w:ind w:firstLine="480" w:firstLineChars="200"/>
              <w:textAlignment w:val="auto"/>
              <w:rPr>
                <w:rFonts w:hint="eastAsia"/>
                <w:color w:val="auto"/>
                <w:sz w:val="24"/>
                <w:szCs w:val="20"/>
              </w:rPr>
            </w:pPr>
            <w:r>
              <w:rPr>
                <w:rFonts w:hint="eastAsia"/>
                <w:color w:val="auto"/>
                <w:sz w:val="24"/>
                <w:szCs w:val="20"/>
              </w:rPr>
              <w:t>本项目劳动定员</w:t>
            </w:r>
            <w:r>
              <w:rPr>
                <w:rFonts w:hint="eastAsia"/>
                <w:color w:val="auto"/>
                <w:sz w:val="24"/>
                <w:szCs w:val="20"/>
                <w:lang w:val="en-US" w:eastAsia="zh-CN"/>
              </w:rPr>
              <w:t>共9</w:t>
            </w:r>
            <w:r>
              <w:rPr>
                <w:rFonts w:hint="eastAsia"/>
                <w:color w:val="auto"/>
                <w:sz w:val="24"/>
                <w:szCs w:val="20"/>
              </w:rPr>
              <w:t>人，</w:t>
            </w:r>
            <w:r>
              <w:rPr>
                <w:color w:val="auto"/>
                <w:sz w:val="24"/>
                <w:szCs w:val="24"/>
              </w:rPr>
              <w:t>生活用水总量为</w:t>
            </w:r>
            <w:r>
              <w:rPr>
                <w:rFonts w:hint="eastAsia"/>
                <w:color w:val="auto"/>
                <w:sz w:val="24"/>
                <w:szCs w:val="24"/>
                <w:lang w:val="en-US" w:eastAsia="zh-CN"/>
              </w:rPr>
              <w:t>1.305</w:t>
            </w:r>
            <w:r>
              <w:rPr>
                <w:color w:val="auto"/>
                <w:sz w:val="24"/>
                <w:szCs w:val="24"/>
              </w:rPr>
              <w:t>m</w:t>
            </w:r>
            <w:r>
              <w:rPr>
                <w:color w:val="auto"/>
                <w:sz w:val="24"/>
                <w:szCs w:val="24"/>
                <w:vertAlign w:val="superscript"/>
              </w:rPr>
              <w:t>3</w:t>
            </w:r>
            <w:r>
              <w:rPr>
                <w:color w:val="auto"/>
                <w:sz w:val="24"/>
                <w:szCs w:val="24"/>
              </w:rPr>
              <w:t>/d（</w:t>
            </w:r>
            <w:r>
              <w:rPr>
                <w:rFonts w:hint="eastAsia"/>
                <w:color w:val="auto"/>
                <w:sz w:val="24"/>
                <w:szCs w:val="24"/>
                <w:lang w:val="en-US" w:eastAsia="zh-CN"/>
              </w:rPr>
              <w:t>476.325</w:t>
            </w:r>
            <w:r>
              <w:rPr>
                <w:color w:val="auto"/>
                <w:sz w:val="24"/>
                <w:szCs w:val="24"/>
              </w:rPr>
              <w:t>m</w:t>
            </w:r>
            <w:r>
              <w:rPr>
                <w:color w:val="auto"/>
                <w:sz w:val="24"/>
                <w:szCs w:val="24"/>
                <w:vertAlign w:val="superscript"/>
              </w:rPr>
              <w:t>3</w:t>
            </w:r>
            <w:r>
              <w:rPr>
                <w:color w:val="auto"/>
                <w:sz w:val="24"/>
                <w:szCs w:val="24"/>
              </w:rPr>
              <w:t>/a）</w:t>
            </w:r>
            <w:r>
              <w:rPr>
                <w:rFonts w:hint="eastAsia"/>
                <w:color w:val="auto"/>
                <w:sz w:val="24"/>
                <w:szCs w:val="20"/>
              </w:rPr>
              <w:t>，生活污水产生指数为0.8，核算本项目员工生活污水产生量为</w:t>
            </w:r>
            <w:r>
              <w:rPr>
                <w:rFonts w:hint="eastAsia"/>
                <w:color w:val="auto"/>
                <w:sz w:val="24"/>
                <w:szCs w:val="24"/>
                <w:highlight w:val="none"/>
                <w:lang w:val="en-US" w:eastAsia="zh-CN"/>
              </w:rPr>
              <w:t>1.044m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/d（381.06m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/a）</w:t>
            </w:r>
            <w:r>
              <w:rPr>
                <w:rFonts w:hint="eastAsia"/>
                <w:color w:val="auto"/>
                <w:sz w:val="24"/>
                <w:szCs w:val="20"/>
              </w:rPr>
              <w:t>。主要污染物为COD、BOD</w:t>
            </w:r>
            <w:r>
              <w:rPr>
                <w:rFonts w:hint="eastAsia"/>
                <w:color w:val="auto"/>
                <w:sz w:val="24"/>
                <w:szCs w:val="20"/>
                <w:vertAlign w:val="subscript"/>
              </w:rPr>
              <w:t>5</w:t>
            </w:r>
            <w:r>
              <w:rPr>
                <w:rFonts w:hint="eastAsia"/>
                <w:color w:val="auto"/>
                <w:sz w:val="24"/>
                <w:szCs w:val="20"/>
              </w:rPr>
              <w:t>、SS、氨氮等，食堂废水经油水分离器预处理后与其它生活污水一起排入厂区污水处理系统。</w:t>
            </w:r>
          </w:p>
          <w:p w14:paraId="49673AAA">
            <w:pPr>
              <w:keepNext w:val="0"/>
              <w:keepLines w:val="0"/>
              <w:pageBreakBefore w:val="0"/>
              <w:widowControl/>
              <w:numPr>
                <w:ilvl w:val="0"/>
                <w:numId w:val="0"/>
              </w:numPr>
              <w:kinsoku/>
              <w:wordWrap w:val="0"/>
              <w:overflowPunct/>
              <w:topLinePunct/>
              <w:autoSpaceDE/>
              <w:autoSpaceDN/>
              <w:bidi w:val="0"/>
              <w:adjustRightInd/>
              <w:snapToGrid/>
              <w:spacing w:line="360" w:lineRule="auto"/>
              <w:ind w:firstLine="480" w:firstLineChars="200"/>
              <w:textAlignment w:val="auto"/>
              <w:rPr>
                <w:rFonts w:hint="eastAsia"/>
                <w:color w:val="auto"/>
                <w:sz w:val="24"/>
                <w:szCs w:val="20"/>
              </w:rPr>
            </w:pPr>
            <w:r>
              <w:rPr>
                <w:rFonts w:hint="eastAsia"/>
                <w:color w:val="auto"/>
                <w:sz w:val="24"/>
                <w:szCs w:val="20"/>
              </w:rPr>
              <w:t>2）生产废水</w:t>
            </w:r>
          </w:p>
          <w:p w14:paraId="069A03AA">
            <w:pPr>
              <w:keepNext w:val="0"/>
              <w:keepLines w:val="0"/>
              <w:pageBreakBefore w:val="0"/>
              <w:widowControl/>
              <w:numPr>
                <w:ilvl w:val="0"/>
                <w:numId w:val="0"/>
              </w:numPr>
              <w:kinsoku/>
              <w:wordWrap w:val="0"/>
              <w:overflowPunct/>
              <w:topLinePunct/>
              <w:autoSpaceDE/>
              <w:autoSpaceDN/>
              <w:bidi w:val="0"/>
              <w:adjustRightInd/>
              <w:snapToGrid/>
              <w:spacing w:line="360" w:lineRule="auto"/>
              <w:ind w:firstLine="480" w:firstLineChars="200"/>
              <w:textAlignment w:val="auto"/>
              <w:rPr>
                <w:rFonts w:hint="eastAsia"/>
                <w:color w:val="auto"/>
                <w:sz w:val="24"/>
                <w:szCs w:val="20"/>
              </w:rPr>
            </w:pPr>
            <w:r>
              <w:rPr>
                <w:rFonts w:hint="eastAsia"/>
                <w:color w:val="auto"/>
                <w:sz w:val="24"/>
                <w:szCs w:val="20"/>
              </w:rPr>
              <w:t>①化验室用水量约为</w:t>
            </w:r>
            <w:r>
              <w:rPr>
                <w:rFonts w:hint="eastAsia"/>
                <w:color w:val="auto"/>
                <w:sz w:val="24"/>
                <w:szCs w:val="20"/>
                <w:lang w:val="en-US" w:eastAsia="zh-CN"/>
              </w:rPr>
              <w:t>0.4</w:t>
            </w:r>
            <w:r>
              <w:rPr>
                <w:rFonts w:hint="eastAsia"/>
                <w:color w:val="auto"/>
                <w:sz w:val="24"/>
                <w:szCs w:val="20"/>
              </w:rPr>
              <w:t>m</w:t>
            </w:r>
            <w:r>
              <w:rPr>
                <w:rFonts w:hint="eastAsia"/>
                <w:color w:val="auto"/>
                <w:sz w:val="24"/>
                <w:szCs w:val="20"/>
                <w:vertAlign w:val="superscript"/>
              </w:rPr>
              <w:t>3</w:t>
            </w:r>
            <w:r>
              <w:rPr>
                <w:rFonts w:hint="eastAsia"/>
                <w:color w:val="auto"/>
                <w:sz w:val="24"/>
                <w:szCs w:val="20"/>
              </w:rPr>
              <w:t>/d（</w:t>
            </w:r>
            <w:r>
              <w:rPr>
                <w:rFonts w:hint="eastAsia"/>
                <w:color w:val="auto"/>
                <w:sz w:val="24"/>
                <w:szCs w:val="20"/>
                <w:lang w:val="en-US" w:eastAsia="zh-CN"/>
              </w:rPr>
              <w:t>146</w:t>
            </w:r>
            <w:r>
              <w:rPr>
                <w:rFonts w:hint="eastAsia"/>
                <w:color w:val="auto"/>
                <w:sz w:val="24"/>
                <w:szCs w:val="20"/>
              </w:rPr>
              <w:t>m</w:t>
            </w:r>
            <w:r>
              <w:rPr>
                <w:rFonts w:hint="eastAsia" w:ascii="Times New Roman" w:hAnsi="Times New Roman" w:eastAsia="宋体" w:cs="Times New Roman"/>
                <w:color w:val="auto"/>
                <w:sz w:val="24"/>
                <w:szCs w:val="20"/>
                <w:vertAlign w:val="superscript"/>
              </w:rPr>
              <w:t>3</w:t>
            </w:r>
            <w:r>
              <w:rPr>
                <w:rFonts w:hint="eastAsia"/>
                <w:color w:val="auto"/>
                <w:sz w:val="24"/>
                <w:szCs w:val="20"/>
              </w:rPr>
              <w:t>/a），采用新鲜水，化验废水量约</w:t>
            </w:r>
            <w:r>
              <w:rPr>
                <w:rFonts w:hint="eastAsia"/>
                <w:color w:val="auto"/>
                <w:sz w:val="24"/>
                <w:szCs w:val="20"/>
                <w:lang w:val="en-US" w:eastAsia="zh-CN"/>
              </w:rPr>
              <w:t>0.4</w:t>
            </w:r>
            <w:r>
              <w:rPr>
                <w:rFonts w:hint="eastAsia"/>
                <w:color w:val="auto"/>
                <w:sz w:val="24"/>
                <w:szCs w:val="20"/>
              </w:rPr>
              <w:t>m</w:t>
            </w:r>
            <w:r>
              <w:rPr>
                <w:rFonts w:hint="eastAsia"/>
                <w:color w:val="auto"/>
                <w:sz w:val="24"/>
                <w:szCs w:val="20"/>
                <w:vertAlign w:val="superscript"/>
              </w:rPr>
              <w:t>3</w:t>
            </w:r>
            <w:r>
              <w:rPr>
                <w:rFonts w:hint="eastAsia"/>
                <w:color w:val="auto"/>
                <w:sz w:val="24"/>
                <w:szCs w:val="20"/>
              </w:rPr>
              <w:t>/d（</w:t>
            </w:r>
            <w:r>
              <w:rPr>
                <w:rFonts w:hint="eastAsia"/>
                <w:color w:val="auto"/>
                <w:sz w:val="24"/>
                <w:szCs w:val="20"/>
                <w:lang w:val="en-US" w:eastAsia="zh-CN"/>
              </w:rPr>
              <w:t>146</w:t>
            </w:r>
            <w:r>
              <w:rPr>
                <w:rFonts w:hint="eastAsia"/>
                <w:color w:val="auto"/>
                <w:sz w:val="24"/>
                <w:szCs w:val="20"/>
              </w:rPr>
              <w:t>m</w:t>
            </w:r>
            <w:r>
              <w:rPr>
                <w:rFonts w:hint="eastAsia" w:ascii="Times New Roman" w:hAnsi="Times New Roman" w:eastAsia="宋体" w:cs="Times New Roman"/>
                <w:color w:val="auto"/>
                <w:sz w:val="24"/>
                <w:szCs w:val="20"/>
                <w:vertAlign w:val="superscript"/>
              </w:rPr>
              <w:t>3</w:t>
            </w:r>
            <w:r>
              <w:rPr>
                <w:rFonts w:hint="eastAsia"/>
                <w:color w:val="auto"/>
                <w:sz w:val="24"/>
                <w:szCs w:val="20"/>
              </w:rPr>
              <w:t>/a），实验室化验废水主要是化验COD、氨氮、BOD</w:t>
            </w:r>
            <w:r>
              <w:rPr>
                <w:rFonts w:hint="eastAsia"/>
                <w:color w:val="auto"/>
                <w:sz w:val="24"/>
                <w:szCs w:val="20"/>
                <w:vertAlign w:val="subscript"/>
              </w:rPr>
              <w:t>5</w:t>
            </w:r>
            <w:r>
              <w:rPr>
                <w:rFonts w:hint="eastAsia"/>
                <w:color w:val="auto"/>
                <w:sz w:val="24"/>
                <w:szCs w:val="20"/>
              </w:rPr>
              <w:t>等产生的酸、碱性废水，收集后预处理后，进入污水处理系统处理。</w:t>
            </w:r>
          </w:p>
          <w:p w14:paraId="6E7A783B">
            <w:pPr>
              <w:keepNext w:val="0"/>
              <w:keepLines w:val="0"/>
              <w:pageBreakBefore w:val="0"/>
              <w:widowControl/>
              <w:numPr>
                <w:ilvl w:val="0"/>
                <w:numId w:val="0"/>
              </w:numPr>
              <w:kinsoku/>
              <w:wordWrap w:val="0"/>
              <w:overflowPunct/>
              <w:topLinePunct/>
              <w:autoSpaceDE/>
              <w:autoSpaceDN/>
              <w:bidi w:val="0"/>
              <w:adjustRightInd/>
              <w:snapToGrid/>
              <w:spacing w:line="360" w:lineRule="auto"/>
              <w:ind w:firstLine="480" w:firstLineChars="200"/>
              <w:textAlignment w:val="auto"/>
              <w:rPr>
                <w:rFonts w:hint="eastAsia"/>
                <w:color w:val="auto"/>
                <w:sz w:val="24"/>
                <w:szCs w:val="20"/>
              </w:rPr>
            </w:pPr>
            <w:r>
              <w:rPr>
                <w:rFonts w:hint="eastAsia"/>
                <w:color w:val="auto"/>
                <w:sz w:val="24"/>
                <w:szCs w:val="20"/>
              </w:rPr>
              <w:t>②生物滤池加湿喷淋用水，为维持生物滤床良好生物环境，恶臭气体收集后需进行加湿预处理，加湿采用喷淋水循环，除臭系统循环水量为</w:t>
            </w:r>
            <w:r>
              <w:rPr>
                <w:rFonts w:hint="eastAsia"/>
                <w:color w:val="auto"/>
                <w:sz w:val="24"/>
                <w:szCs w:val="20"/>
                <w:lang w:val="en-US" w:eastAsia="zh-CN"/>
              </w:rPr>
              <w:t>4</w:t>
            </w:r>
            <w:r>
              <w:rPr>
                <w:rFonts w:hint="eastAsia"/>
                <w:color w:val="auto"/>
                <w:sz w:val="24"/>
                <w:szCs w:val="20"/>
              </w:rPr>
              <w:t>m</w:t>
            </w:r>
            <w:r>
              <w:rPr>
                <w:rFonts w:hint="eastAsia" w:ascii="Times New Roman" w:hAnsi="Times New Roman" w:eastAsia="宋体" w:cs="Times New Roman"/>
                <w:color w:val="auto"/>
                <w:sz w:val="24"/>
                <w:szCs w:val="20"/>
                <w:vertAlign w:val="superscript"/>
              </w:rPr>
              <w:t>3</w:t>
            </w:r>
            <w:r>
              <w:rPr>
                <w:rFonts w:hint="eastAsia"/>
                <w:color w:val="auto"/>
                <w:sz w:val="24"/>
                <w:szCs w:val="20"/>
              </w:rPr>
              <w:t>/h，喷淋水温度为20℃，补水量按循环水量1～2%计，则补水量约为</w:t>
            </w:r>
            <w:r>
              <w:rPr>
                <w:rFonts w:hint="eastAsia" w:ascii="Times New Roman" w:hAnsi="Times New Roman" w:cs="Times New Roman"/>
                <w:color w:val="auto"/>
                <w:sz w:val="24"/>
                <w:szCs w:val="20"/>
                <w:lang w:val="en-US" w:eastAsia="zh-CN"/>
              </w:rPr>
              <w:t>700.8</w:t>
            </w:r>
            <w:r>
              <w:rPr>
                <w:rFonts w:hint="default" w:ascii="Times New Roman" w:hAnsi="Times New Roman" w:cs="Times New Roman"/>
                <w:color w:val="auto"/>
                <w:sz w:val="24"/>
                <w:szCs w:val="20"/>
              </w:rPr>
              <w:t>m</w:t>
            </w:r>
            <w:r>
              <w:rPr>
                <w:rFonts w:hint="default" w:ascii="Times New Roman" w:hAnsi="Times New Roman" w:cs="Times New Roman"/>
                <w:color w:val="auto"/>
                <w:sz w:val="24"/>
                <w:szCs w:val="20"/>
                <w:vertAlign w:val="superscript"/>
              </w:rPr>
              <w:t>3</w:t>
            </w:r>
            <w:r>
              <w:rPr>
                <w:rFonts w:hint="default" w:ascii="Times New Roman" w:hAnsi="Times New Roman" w:cs="Times New Roman"/>
                <w:color w:val="auto"/>
                <w:sz w:val="24"/>
                <w:szCs w:val="20"/>
              </w:rPr>
              <w:t>/a</w:t>
            </w:r>
            <w:r>
              <w:rPr>
                <w:rFonts w:hint="eastAsia"/>
                <w:color w:val="auto"/>
                <w:sz w:val="24"/>
                <w:szCs w:val="20"/>
              </w:rPr>
              <w:t>，采用新鲜水。</w:t>
            </w:r>
          </w:p>
          <w:p w14:paraId="1ED651D1">
            <w:pPr>
              <w:keepNext w:val="0"/>
              <w:keepLines w:val="0"/>
              <w:pageBreakBefore w:val="0"/>
              <w:widowControl/>
              <w:numPr>
                <w:ilvl w:val="0"/>
                <w:numId w:val="0"/>
              </w:numPr>
              <w:kinsoku/>
              <w:wordWrap w:val="0"/>
              <w:overflowPunct/>
              <w:topLinePunct/>
              <w:autoSpaceDE/>
              <w:autoSpaceDN/>
              <w:bidi w:val="0"/>
              <w:adjustRightInd/>
              <w:snapToGrid/>
              <w:spacing w:line="360" w:lineRule="auto"/>
              <w:ind w:firstLine="480" w:firstLineChars="200"/>
              <w:textAlignment w:val="auto"/>
              <w:rPr>
                <w:rFonts w:hint="eastAsia"/>
                <w:color w:val="auto"/>
                <w:sz w:val="24"/>
                <w:szCs w:val="20"/>
              </w:rPr>
            </w:pPr>
            <w:r>
              <w:rPr>
                <w:rFonts w:hint="eastAsia"/>
                <w:color w:val="auto"/>
                <w:sz w:val="24"/>
                <w:szCs w:val="20"/>
                <w:lang w:val="en-US" w:eastAsia="zh-CN"/>
              </w:rPr>
              <w:t>③</w:t>
            </w:r>
            <w:r>
              <w:rPr>
                <w:rFonts w:hint="eastAsia"/>
                <w:color w:val="auto"/>
                <w:sz w:val="24"/>
                <w:szCs w:val="20"/>
              </w:rPr>
              <w:t>污泥脱水分离的污水污泥脱水分离的污水均来源于自身污水处理系统可直接排入本项目处理。</w:t>
            </w:r>
          </w:p>
          <w:p w14:paraId="093D630D">
            <w:pPr>
              <w:keepNext w:val="0"/>
              <w:keepLines w:val="0"/>
              <w:pageBreakBefore w:val="0"/>
              <w:widowControl/>
              <w:numPr>
                <w:ilvl w:val="0"/>
                <w:numId w:val="0"/>
              </w:numPr>
              <w:kinsoku/>
              <w:wordWrap w:val="0"/>
              <w:overflowPunct/>
              <w:topLinePunct/>
              <w:autoSpaceDE/>
              <w:autoSpaceDN/>
              <w:bidi w:val="0"/>
              <w:adjustRightInd/>
              <w:snapToGrid/>
              <w:spacing w:line="360" w:lineRule="auto"/>
              <w:ind w:firstLine="480" w:firstLineChars="200"/>
              <w:textAlignment w:val="auto"/>
              <w:rPr>
                <w:rFonts w:hint="eastAsia"/>
                <w:color w:val="auto"/>
                <w:sz w:val="24"/>
                <w:szCs w:val="20"/>
              </w:rPr>
            </w:pPr>
            <w:r>
              <w:rPr>
                <w:rFonts w:hint="eastAsia"/>
                <w:color w:val="auto"/>
                <w:sz w:val="24"/>
                <w:szCs w:val="20"/>
                <w:lang w:val="en-US" w:eastAsia="zh-CN"/>
              </w:rPr>
              <w:t>④</w:t>
            </w:r>
            <w:r>
              <w:rPr>
                <w:rFonts w:hint="eastAsia"/>
                <w:color w:val="auto"/>
                <w:sz w:val="24"/>
                <w:szCs w:val="20"/>
              </w:rPr>
              <w:t>设备冲洗水需要定期冲洗脱水机、药液搅拌机、</w:t>
            </w:r>
            <w:r>
              <w:rPr>
                <w:rFonts w:hint="eastAsia"/>
                <w:color w:val="auto"/>
                <w:sz w:val="24"/>
                <w:szCs w:val="20"/>
                <w:lang w:val="en-US" w:eastAsia="zh-CN"/>
              </w:rPr>
              <w:t>滤布滤池</w:t>
            </w:r>
            <w:r>
              <w:rPr>
                <w:rFonts w:hint="eastAsia"/>
                <w:color w:val="auto"/>
                <w:sz w:val="24"/>
                <w:szCs w:val="20"/>
              </w:rPr>
              <w:t>等设备，设备冲洗水使用量约</w:t>
            </w:r>
            <w:r>
              <w:rPr>
                <w:rFonts w:hint="eastAsia"/>
                <w:color w:val="auto"/>
                <w:sz w:val="24"/>
                <w:szCs w:val="20"/>
                <w:lang w:val="en-US" w:eastAsia="zh-CN"/>
              </w:rPr>
              <w:t>0.8</w:t>
            </w:r>
            <w:r>
              <w:rPr>
                <w:rFonts w:hint="eastAsia"/>
                <w:color w:val="auto"/>
                <w:sz w:val="24"/>
                <w:szCs w:val="20"/>
              </w:rPr>
              <w:t>m</w:t>
            </w:r>
            <w:r>
              <w:rPr>
                <w:rFonts w:hint="eastAsia"/>
                <w:color w:val="auto"/>
                <w:sz w:val="24"/>
                <w:szCs w:val="20"/>
                <w:vertAlign w:val="superscript"/>
              </w:rPr>
              <w:t>3</w:t>
            </w:r>
            <w:r>
              <w:rPr>
                <w:rFonts w:hint="eastAsia"/>
                <w:color w:val="auto"/>
                <w:sz w:val="24"/>
                <w:szCs w:val="20"/>
              </w:rPr>
              <w:t>/d，年耗水量约</w:t>
            </w:r>
            <w:r>
              <w:rPr>
                <w:rFonts w:hint="eastAsia" w:ascii="Times New Roman" w:hAnsi="Times New Roman" w:cs="Times New Roman"/>
                <w:color w:val="auto"/>
                <w:sz w:val="24"/>
                <w:szCs w:val="20"/>
                <w:lang w:val="en-US" w:eastAsia="zh-CN"/>
              </w:rPr>
              <w:t>292</w:t>
            </w:r>
            <w:r>
              <w:rPr>
                <w:rFonts w:hint="eastAsia"/>
                <w:color w:val="auto"/>
                <w:sz w:val="24"/>
                <w:szCs w:val="20"/>
              </w:rPr>
              <w:t>t。</w:t>
            </w:r>
          </w:p>
          <w:p w14:paraId="7E0CD001">
            <w:pPr>
              <w:spacing w:line="360" w:lineRule="auto"/>
              <w:jc w:val="center"/>
              <w:rPr>
                <w:rFonts w:hint="eastAsia" w:eastAsia="宋体"/>
                <w:b/>
                <w:bCs/>
                <w:color w:val="auto"/>
                <w:sz w:val="24"/>
                <w:u w:val="single"/>
                <w:lang w:eastAsia="zh-CN"/>
              </w:rPr>
            </w:pPr>
            <w:r>
              <w:rPr>
                <w:rFonts w:hint="eastAsia" w:eastAsia="宋体"/>
                <w:b/>
                <w:bCs/>
                <w:color w:val="auto"/>
                <w:sz w:val="24"/>
                <w:u w:val="single"/>
                <w:lang w:eastAsia="zh-CN"/>
              </w:rPr>
              <w:drawing>
                <wp:inline distT="0" distB="0" distL="114300" distR="114300">
                  <wp:extent cx="5524500" cy="2526665"/>
                  <wp:effectExtent l="0" t="0" r="0" b="6985"/>
                  <wp:docPr id="42" name="图片 42" descr="173587822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1735878225437"/>
                          <pic:cNvPicPr>
                            <a:picLocks noChangeAspect="1"/>
                          </pic:cNvPicPr>
                        </pic:nvPicPr>
                        <pic:blipFill>
                          <a:blip r:embed="rId21"/>
                          <a:stretch>
                            <a:fillRect/>
                          </a:stretch>
                        </pic:blipFill>
                        <pic:spPr>
                          <a:xfrm>
                            <a:off x="0" y="0"/>
                            <a:ext cx="5524500" cy="2526665"/>
                          </a:xfrm>
                          <a:prstGeom prst="rect">
                            <a:avLst/>
                          </a:prstGeom>
                        </pic:spPr>
                      </pic:pic>
                    </a:graphicData>
                  </a:graphic>
                </wp:inline>
              </w:drawing>
            </w:r>
          </w:p>
          <w:p w14:paraId="71221B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color w:val="auto"/>
                <w:sz w:val="21"/>
                <w:szCs w:val="21"/>
                <w:highlight w:val="none"/>
                <w:u w:val="single"/>
              </w:rPr>
            </w:pPr>
            <w:r>
              <w:rPr>
                <w:rFonts w:hint="eastAsia"/>
                <w:b/>
                <w:bCs/>
                <w:color w:val="auto"/>
                <w:sz w:val="21"/>
                <w:szCs w:val="21"/>
                <w:highlight w:val="none"/>
                <w:u w:val="single"/>
                <w:lang w:val="en-US" w:eastAsia="zh-CN"/>
              </w:rPr>
              <w:t>图</w:t>
            </w:r>
            <w:r>
              <w:rPr>
                <w:b/>
                <w:bCs/>
                <w:color w:val="auto"/>
                <w:sz w:val="21"/>
                <w:szCs w:val="21"/>
                <w:highlight w:val="none"/>
                <w:u w:val="single"/>
              </w:rPr>
              <w:t>2-</w:t>
            </w:r>
            <w:r>
              <w:rPr>
                <w:rFonts w:hint="eastAsia"/>
                <w:b/>
                <w:bCs/>
                <w:color w:val="auto"/>
                <w:sz w:val="21"/>
                <w:szCs w:val="21"/>
                <w:highlight w:val="none"/>
                <w:u w:val="single"/>
                <w:lang w:val="en-US" w:eastAsia="zh-CN"/>
              </w:rPr>
              <w:t>1</w:t>
            </w:r>
            <w:r>
              <w:rPr>
                <w:b/>
                <w:bCs/>
                <w:color w:val="auto"/>
                <w:sz w:val="21"/>
                <w:szCs w:val="21"/>
                <w:highlight w:val="none"/>
                <w:u w:val="single"/>
              </w:rPr>
              <w:t xml:space="preserve">  项目</w:t>
            </w:r>
            <w:r>
              <w:rPr>
                <w:rFonts w:hint="eastAsia"/>
                <w:b/>
                <w:bCs/>
                <w:color w:val="auto"/>
                <w:sz w:val="21"/>
                <w:szCs w:val="21"/>
                <w:highlight w:val="none"/>
                <w:u w:val="single"/>
                <w:lang w:val="en-US" w:eastAsia="zh-CN"/>
              </w:rPr>
              <w:t>水平衡图（m</w:t>
            </w:r>
            <w:r>
              <w:rPr>
                <w:rFonts w:hint="eastAsia"/>
                <w:b/>
                <w:bCs/>
                <w:color w:val="auto"/>
                <w:sz w:val="21"/>
                <w:szCs w:val="21"/>
                <w:highlight w:val="none"/>
                <w:u w:val="single"/>
                <w:vertAlign w:val="superscript"/>
                <w:lang w:val="en-US" w:eastAsia="zh-CN"/>
              </w:rPr>
              <w:t>3</w:t>
            </w:r>
            <w:r>
              <w:rPr>
                <w:rFonts w:hint="eastAsia"/>
                <w:b/>
                <w:bCs/>
                <w:color w:val="auto"/>
                <w:sz w:val="21"/>
                <w:szCs w:val="21"/>
                <w:highlight w:val="none"/>
                <w:u w:val="single"/>
                <w:lang w:val="en-US" w:eastAsia="zh-CN"/>
              </w:rPr>
              <w:t>/d）</w:t>
            </w:r>
          </w:p>
          <w:p w14:paraId="7FA6E53C">
            <w:pPr>
              <w:spacing w:line="360" w:lineRule="auto"/>
              <w:ind w:firstLine="361" w:firstLineChars="150"/>
              <w:jc w:val="left"/>
              <w:rPr>
                <w:b/>
                <w:bCs/>
                <w:color w:val="auto"/>
                <w:sz w:val="24"/>
                <w:highlight w:val="none"/>
              </w:rPr>
            </w:pPr>
            <w:r>
              <w:rPr>
                <w:b/>
                <w:bCs/>
                <w:color w:val="auto"/>
                <w:sz w:val="24"/>
                <w:highlight w:val="none"/>
              </w:rPr>
              <w:t>（</w:t>
            </w:r>
            <w:r>
              <w:rPr>
                <w:rFonts w:hint="eastAsia"/>
                <w:b/>
                <w:bCs/>
                <w:color w:val="auto"/>
                <w:sz w:val="24"/>
                <w:highlight w:val="none"/>
                <w:lang w:val="en-US" w:eastAsia="zh-CN"/>
              </w:rPr>
              <w:t>2</w:t>
            </w:r>
            <w:r>
              <w:rPr>
                <w:b/>
                <w:bCs/>
                <w:color w:val="auto"/>
                <w:sz w:val="24"/>
                <w:highlight w:val="none"/>
              </w:rPr>
              <w:t>）供电</w:t>
            </w:r>
          </w:p>
          <w:p w14:paraId="3A78AA26">
            <w:pPr>
              <w:pStyle w:val="25"/>
              <w:spacing w:after="0" w:line="360" w:lineRule="auto"/>
              <w:ind w:left="0" w:leftChars="0" w:firstLine="465"/>
              <w:jc w:val="left"/>
              <w:rPr>
                <w:rFonts w:hint="default" w:eastAsia="宋体"/>
                <w:color w:val="auto"/>
                <w:sz w:val="24"/>
                <w:szCs w:val="24"/>
                <w:lang w:val="en-US" w:eastAsia="zh-CN"/>
              </w:rPr>
            </w:pPr>
            <w:r>
              <w:rPr>
                <w:rFonts w:hint="eastAsia"/>
                <w:color w:val="auto"/>
                <w:sz w:val="24"/>
                <w:szCs w:val="24"/>
                <w:highlight w:val="none"/>
              </w:rPr>
              <w:t>污水处理厂主要用电负荷集</w:t>
            </w:r>
            <w:r>
              <w:rPr>
                <w:rFonts w:hint="eastAsia"/>
                <w:color w:val="auto"/>
                <w:sz w:val="24"/>
                <w:szCs w:val="24"/>
              </w:rPr>
              <w:t>中在鼓风机房。根据厂区工艺流程及总图布置，按变配电设备尽可能靠近负荷中心的原则，将总变配电室与鼓风机房建于一起</w:t>
            </w:r>
            <w:r>
              <w:rPr>
                <w:rFonts w:hint="eastAsia"/>
                <w:color w:val="auto"/>
                <w:sz w:val="24"/>
                <w:szCs w:val="24"/>
                <w:lang w:eastAsia="zh-CN"/>
              </w:rPr>
              <w:t>；</w:t>
            </w:r>
            <w:r>
              <w:rPr>
                <w:rFonts w:hint="eastAsia"/>
                <w:color w:val="auto"/>
                <w:sz w:val="24"/>
                <w:szCs w:val="24"/>
              </w:rPr>
              <w:t>变配电室设一套10kV变配电系统</w:t>
            </w:r>
            <w:r>
              <w:rPr>
                <w:rFonts w:hint="eastAsia"/>
                <w:color w:val="auto"/>
                <w:sz w:val="24"/>
                <w:szCs w:val="24"/>
                <w:lang w:eastAsia="zh-CN"/>
              </w:rPr>
              <w:t>；</w:t>
            </w:r>
            <w:r>
              <w:rPr>
                <w:rFonts w:hint="eastAsia"/>
                <w:color w:val="auto"/>
                <w:sz w:val="24"/>
                <w:szCs w:val="24"/>
              </w:rPr>
              <w:t>装设两台600kVA/10/0.4kV变压器</w:t>
            </w:r>
            <w:r>
              <w:rPr>
                <w:rFonts w:hint="eastAsia"/>
                <w:color w:val="auto"/>
                <w:sz w:val="24"/>
                <w:szCs w:val="24"/>
                <w:lang w:eastAsia="zh-CN"/>
              </w:rPr>
              <w:t>（</w:t>
            </w:r>
            <w:r>
              <w:rPr>
                <w:rFonts w:hint="eastAsia"/>
                <w:color w:val="auto"/>
                <w:sz w:val="24"/>
                <w:szCs w:val="24"/>
                <w:lang w:val="en-US" w:eastAsia="zh-CN"/>
              </w:rPr>
              <w:t>一用一备</w:t>
            </w:r>
            <w:r>
              <w:rPr>
                <w:rFonts w:hint="eastAsia"/>
                <w:color w:val="auto"/>
                <w:sz w:val="24"/>
                <w:szCs w:val="24"/>
                <w:lang w:eastAsia="zh-CN"/>
              </w:rPr>
              <w:t>）</w:t>
            </w:r>
            <w:r>
              <w:rPr>
                <w:rFonts w:hint="eastAsia"/>
                <w:color w:val="auto"/>
                <w:sz w:val="24"/>
                <w:szCs w:val="24"/>
              </w:rPr>
              <w:t>，用于进水泵房、风机房、污泥泵房、脱水间等380V低压设</w:t>
            </w:r>
            <w:r>
              <w:rPr>
                <w:rFonts w:hint="eastAsia"/>
                <w:color w:val="auto"/>
                <w:sz w:val="24"/>
                <w:szCs w:val="24"/>
                <w:lang w:val="en-US" w:eastAsia="zh-CN"/>
              </w:rPr>
              <w:t>备配电。项目年用电量约为25万kWh。</w:t>
            </w:r>
          </w:p>
          <w:p w14:paraId="2A1F8F1E">
            <w:pPr>
              <w:spacing w:line="360" w:lineRule="auto"/>
              <w:ind w:firstLine="482" w:firstLineChars="200"/>
              <w:jc w:val="left"/>
              <w:rPr>
                <w:b/>
                <w:bCs/>
                <w:color w:val="auto"/>
                <w:sz w:val="24"/>
              </w:rPr>
            </w:pPr>
            <w:r>
              <w:rPr>
                <w:rFonts w:hint="eastAsia"/>
                <w:b/>
                <w:bCs/>
                <w:color w:val="auto"/>
                <w:sz w:val="24"/>
                <w:lang w:val="en-US" w:eastAsia="zh-CN"/>
              </w:rPr>
              <w:t>10</w:t>
            </w:r>
            <w:r>
              <w:rPr>
                <w:b/>
                <w:bCs/>
                <w:color w:val="auto"/>
                <w:sz w:val="24"/>
              </w:rPr>
              <w:t>、</w:t>
            </w:r>
            <w:r>
              <w:rPr>
                <w:rFonts w:hint="eastAsia"/>
                <w:b/>
                <w:bCs/>
                <w:color w:val="auto"/>
                <w:sz w:val="24"/>
                <w:lang w:val="en-US" w:eastAsia="zh-CN"/>
              </w:rPr>
              <w:t>厂区平面布置</w:t>
            </w:r>
          </w:p>
          <w:p w14:paraId="45F63BE2">
            <w:pPr>
              <w:spacing w:line="360" w:lineRule="auto"/>
              <w:ind w:firstLine="480" w:firstLineChars="200"/>
              <w:jc w:val="left"/>
              <w:rPr>
                <w:rFonts w:hint="eastAsia"/>
                <w:bCs/>
                <w:color w:val="auto"/>
                <w:kern w:val="0"/>
                <w:sz w:val="24"/>
              </w:rPr>
            </w:pPr>
            <w:r>
              <w:rPr>
                <w:rFonts w:hint="eastAsia"/>
                <w:bCs/>
                <w:color w:val="auto"/>
                <w:kern w:val="0"/>
                <w:sz w:val="24"/>
              </w:rPr>
              <w:t>污水厂根据功能可分为以下区域：</w:t>
            </w:r>
          </w:p>
          <w:p w14:paraId="059E3C8C">
            <w:pPr>
              <w:spacing w:line="360" w:lineRule="auto"/>
              <w:ind w:firstLine="480" w:firstLineChars="200"/>
              <w:jc w:val="left"/>
              <w:rPr>
                <w:rFonts w:hint="eastAsia"/>
                <w:bCs/>
                <w:color w:val="auto"/>
                <w:kern w:val="0"/>
                <w:sz w:val="24"/>
              </w:rPr>
            </w:pPr>
            <w:r>
              <w:rPr>
                <w:rFonts w:hint="eastAsia"/>
                <w:bCs/>
                <w:color w:val="auto"/>
                <w:kern w:val="0"/>
                <w:sz w:val="24"/>
              </w:rPr>
              <w:t>（1）厂前生产管理区：本工程将厂区综合楼建设于厂区西南侧，位于夏季主导风向的上风向，此外厂区预处理、生化处理单元位于厂区的</w:t>
            </w:r>
            <w:r>
              <w:rPr>
                <w:rFonts w:hint="eastAsia"/>
                <w:bCs/>
                <w:color w:val="auto"/>
                <w:kern w:val="0"/>
                <w:sz w:val="24"/>
                <w:lang w:eastAsia="zh-CN"/>
              </w:rPr>
              <w:t>东</w:t>
            </w:r>
            <w:r>
              <w:rPr>
                <w:rFonts w:hint="eastAsia"/>
                <w:bCs/>
                <w:color w:val="auto"/>
                <w:kern w:val="0"/>
                <w:sz w:val="24"/>
              </w:rPr>
              <w:t>部，对厂前区的影响较小。为进一步减轻生产区气体对厂前区的不利影响，将用绿化隔离带与生产区之间分开，以保护厂前区的良好环境。厂前区布置有综合楼，设计地坪标高469.00m，对外向</w:t>
            </w:r>
            <w:r>
              <w:rPr>
                <w:rFonts w:hint="eastAsia"/>
                <w:bCs/>
                <w:color w:val="auto"/>
                <w:kern w:val="0"/>
                <w:sz w:val="24"/>
                <w:lang w:eastAsia="zh-CN"/>
              </w:rPr>
              <w:t>北侧</w:t>
            </w:r>
            <w:r>
              <w:rPr>
                <w:rFonts w:hint="eastAsia"/>
                <w:bCs/>
                <w:color w:val="auto"/>
                <w:kern w:val="0"/>
                <w:sz w:val="24"/>
              </w:rPr>
              <w:t>接进场道路，与外界联系方便。</w:t>
            </w:r>
          </w:p>
          <w:p w14:paraId="074AC601">
            <w:pPr>
              <w:spacing w:line="360" w:lineRule="auto"/>
              <w:ind w:firstLine="480" w:firstLineChars="200"/>
              <w:jc w:val="left"/>
              <w:rPr>
                <w:rFonts w:hint="eastAsia"/>
                <w:bCs/>
                <w:color w:val="auto"/>
                <w:kern w:val="0"/>
                <w:sz w:val="24"/>
              </w:rPr>
            </w:pPr>
            <w:r>
              <w:rPr>
                <w:rFonts w:hint="eastAsia"/>
                <w:bCs/>
                <w:color w:val="auto"/>
                <w:kern w:val="0"/>
                <w:sz w:val="24"/>
              </w:rPr>
              <w:t>（2）预处理区：预处理区位于厂区东部，便于与远期衔接，预处理系统依次布置粗格栅及提升泵站、细格栅及旋流沉砂池。</w:t>
            </w:r>
          </w:p>
          <w:p w14:paraId="0B85D3D3">
            <w:pPr>
              <w:spacing w:line="360" w:lineRule="auto"/>
              <w:ind w:firstLine="480" w:firstLineChars="200"/>
              <w:jc w:val="left"/>
              <w:rPr>
                <w:rFonts w:hint="eastAsia"/>
                <w:bCs/>
                <w:color w:val="auto"/>
                <w:kern w:val="0"/>
                <w:sz w:val="24"/>
              </w:rPr>
            </w:pPr>
            <w:r>
              <w:rPr>
                <w:rFonts w:hint="eastAsia"/>
                <w:bCs/>
                <w:color w:val="auto"/>
                <w:kern w:val="0"/>
                <w:sz w:val="24"/>
              </w:rPr>
              <w:t>（3）二级生化污水处理区：生化污水处理区位于厂区中部，预处理西侧，布置有AAO及二沉池。</w:t>
            </w:r>
          </w:p>
          <w:p w14:paraId="26448BC6">
            <w:pPr>
              <w:spacing w:line="360" w:lineRule="auto"/>
              <w:ind w:firstLine="480" w:firstLineChars="200"/>
              <w:jc w:val="left"/>
              <w:rPr>
                <w:rFonts w:hint="eastAsia"/>
                <w:bCs/>
                <w:color w:val="auto"/>
                <w:kern w:val="0"/>
                <w:sz w:val="24"/>
              </w:rPr>
            </w:pPr>
            <w:r>
              <w:rPr>
                <w:rFonts w:hint="eastAsia"/>
                <w:bCs/>
                <w:color w:val="auto"/>
                <w:kern w:val="0"/>
                <w:sz w:val="24"/>
              </w:rPr>
              <w:t>（4）污水深度处理区：污水深度处理区位于厂区</w:t>
            </w:r>
            <w:r>
              <w:rPr>
                <w:rFonts w:hint="eastAsia"/>
                <w:bCs/>
                <w:color w:val="auto"/>
                <w:kern w:val="0"/>
                <w:sz w:val="24"/>
                <w:lang w:eastAsia="zh-CN"/>
              </w:rPr>
              <w:t>西</w:t>
            </w:r>
            <w:r>
              <w:rPr>
                <w:rFonts w:hint="eastAsia"/>
                <w:bCs/>
                <w:color w:val="auto"/>
                <w:kern w:val="0"/>
                <w:sz w:val="24"/>
              </w:rPr>
              <w:t>部，由北至南依次布置有高效沉淀池、滤布滤池及紫外消毒。</w:t>
            </w:r>
          </w:p>
          <w:p w14:paraId="6BA3EEE8">
            <w:pPr>
              <w:spacing w:line="360" w:lineRule="auto"/>
              <w:ind w:firstLine="480" w:firstLineChars="200"/>
              <w:jc w:val="left"/>
              <w:rPr>
                <w:rFonts w:hint="eastAsia"/>
                <w:bCs/>
                <w:color w:val="auto"/>
                <w:kern w:val="0"/>
                <w:sz w:val="24"/>
              </w:rPr>
            </w:pPr>
            <w:r>
              <w:rPr>
                <w:rFonts w:hint="eastAsia"/>
                <w:bCs/>
                <w:color w:val="auto"/>
                <w:kern w:val="0"/>
                <w:sz w:val="24"/>
              </w:rPr>
              <w:t>（5）污泥处理区：污泥处理区，位于厂区深度处理区东南侧，主要布置有污泥浓缩池、污泥均衡池、污泥脱水车间。</w:t>
            </w:r>
          </w:p>
          <w:p w14:paraId="4711B3A0">
            <w:pPr>
              <w:spacing w:line="360" w:lineRule="auto"/>
              <w:ind w:firstLine="480" w:firstLineChars="200"/>
              <w:jc w:val="left"/>
              <w:rPr>
                <w:rFonts w:hint="eastAsia" w:eastAsia="宋体"/>
                <w:bCs/>
                <w:color w:val="auto"/>
                <w:kern w:val="0"/>
                <w:sz w:val="24"/>
                <w:lang w:eastAsia="zh-CN"/>
              </w:rPr>
            </w:pPr>
            <w:r>
              <w:rPr>
                <w:rFonts w:hint="eastAsia"/>
                <w:bCs/>
                <w:color w:val="auto"/>
                <w:kern w:val="0"/>
                <w:sz w:val="24"/>
              </w:rPr>
              <w:t>（6）辅助生产区：辅助生产区位于综合楼北侧，布置鼓风机房及配电间</w:t>
            </w:r>
            <w:r>
              <w:rPr>
                <w:rFonts w:hint="eastAsia"/>
                <w:bCs/>
                <w:color w:val="auto"/>
                <w:kern w:val="0"/>
                <w:sz w:val="24"/>
                <w:lang w:eastAsia="zh-CN"/>
              </w:rPr>
              <w:t>、危废间</w:t>
            </w:r>
            <w:r>
              <w:rPr>
                <w:rFonts w:hint="eastAsia"/>
                <w:bCs/>
                <w:color w:val="auto"/>
                <w:kern w:val="0"/>
                <w:sz w:val="24"/>
              </w:rPr>
              <w:t>等</w:t>
            </w:r>
            <w:r>
              <w:rPr>
                <w:rFonts w:hint="eastAsia"/>
                <w:bCs/>
                <w:color w:val="auto"/>
                <w:kern w:val="0"/>
                <w:sz w:val="24"/>
                <w:lang w:eastAsia="zh-CN"/>
              </w:rPr>
              <w:t>。</w:t>
            </w:r>
          </w:p>
          <w:p w14:paraId="2B154F2D">
            <w:pPr>
              <w:spacing w:line="360" w:lineRule="auto"/>
              <w:ind w:firstLine="480" w:firstLineChars="200"/>
              <w:jc w:val="left"/>
              <w:rPr>
                <w:rFonts w:hint="eastAsia" w:eastAsia="宋体"/>
                <w:bCs/>
                <w:color w:val="auto"/>
                <w:kern w:val="0"/>
                <w:sz w:val="24"/>
                <w:lang w:val="en-US" w:eastAsia="zh-CN"/>
              </w:rPr>
            </w:pPr>
            <w:r>
              <w:rPr>
                <w:rFonts w:hint="eastAsia"/>
                <w:bCs/>
                <w:color w:val="auto"/>
                <w:kern w:val="0"/>
                <w:sz w:val="24"/>
                <w:lang w:val="en-US" w:eastAsia="zh-CN"/>
              </w:rPr>
              <w:t>考虑到位于本项目的东侧、西侧岩子坡、胡家院子居民点，因此，将本项目的生物处理组合池布设在厂区的中部，远离居民居住点，降低项目生产运行过程中产生的恶臭气体对居民的影响。紫外消毒池和计量槽布置在厂区的西南侧，便于尾水的排放</w:t>
            </w:r>
            <w:r>
              <w:rPr>
                <w:rFonts w:hint="eastAsia"/>
                <w:bCs/>
                <w:color w:val="auto"/>
                <w:kern w:val="0"/>
                <w:sz w:val="24"/>
                <w:lang w:eastAsia="zh-CN"/>
              </w:rPr>
              <w:t>。</w:t>
            </w:r>
            <w:r>
              <w:rPr>
                <w:rFonts w:hint="eastAsia" w:eastAsia="宋体"/>
                <w:bCs/>
                <w:color w:val="auto"/>
                <w:kern w:val="0"/>
                <w:sz w:val="24"/>
                <w:lang w:val="en-US" w:eastAsia="zh-CN"/>
              </w:rPr>
              <w:t>项目建设不涉及拆迁。</w:t>
            </w:r>
          </w:p>
          <w:p w14:paraId="7DABD8CC">
            <w:pPr>
              <w:spacing w:line="360" w:lineRule="auto"/>
              <w:ind w:firstLine="480" w:firstLineChars="200"/>
              <w:jc w:val="left"/>
              <w:rPr>
                <w:rFonts w:hint="eastAsia" w:eastAsia="宋体"/>
                <w:bCs/>
                <w:color w:val="auto"/>
                <w:kern w:val="0"/>
                <w:sz w:val="24"/>
                <w:lang w:val="en-US" w:eastAsia="zh-CN"/>
              </w:rPr>
            </w:pPr>
            <w:r>
              <w:rPr>
                <w:rFonts w:hint="eastAsia" w:eastAsia="宋体"/>
                <w:bCs/>
                <w:color w:val="auto"/>
                <w:kern w:val="0"/>
                <w:sz w:val="24"/>
                <w:lang w:val="en-US" w:eastAsia="zh-CN"/>
              </w:rPr>
              <w:t>综上，本项目污水处理厂区总平面布置合理。</w:t>
            </w:r>
          </w:p>
          <w:p w14:paraId="4FC47A8F">
            <w:pPr>
              <w:spacing w:line="360" w:lineRule="auto"/>
              <w:ind w:firstLine="480" w:firstLineChars="200"/>
              <w:jc w:val="left"/>
              <w:rPr>
                <w:rFonts w:hint="eastAsia" w:eastAsia="宋体"/>
                <w:bCs/>
                <w:color w:val="auto"/>
                <w:kern w:val="0"/>
                <w:sz w:val="24"/>
                <w:u w:val="single"/>
                <w:lang w:val="en-US" w:eastAsia="zh-CN"/>
              </w:rPr>
            </w:pPr>
            <w:r>
              <w:rPr>
                <w:rFonts w:hint="eastAsia" w:eastAsia="宋体"/>
                <w:bCs/>
                <w:color w:val="auto"/>
                <w:kern w:val="0"/>
                <w:sz w:val="24"/>
                <w:u w:val="single"/>
                <w:lang w:val="en-US" w:eastAsia="zh-CN"/>
              </w:rPr>
              <w:t>11、项目土石方平衡</w:t>
            </w:r>
          </w:p>
          <w:p w14:paraId="14E00A93">
            <w:pPr>
              <w:spacing w:line="360" w:lineRule="auto"/>
              <w:ind w:firstLine="480" w:firstLineChars="200"/>
              <w:jc w:val="left"/>
              <w:rPr>
                <w:rFonts w:hint="eastAsia"/>
                <w:bCs/>
                <w:color w:val="auto"/>
                <w:kern w:val="0"/>
                <w:sz w:val="24"/>
              </w:rPr>
            </w:pPr>
            <w:r>
              <w:rPr>
                <w:rFonts w:hint="eastAsia" w:eastAsia="宋体"/>
                <w:bCs/>
                <w:color w:val="auto"/>
                <w:kern w:val="0"/>
                <w:sz w:val="24"/>
                <w:u w:val="single"/>
                <w:lang w:val="en-US" w:eastAsia="zh-CN"/>
              </w:rPr>
              <w:t>根据项目可研报告可知，项目总挖方量为</w:t>
            </w:r>
            <w:r>
              <w:rPr>
                <w:rFonts w:hint="default" w:eastAsia="宋体"/>
                <w:bCs/>
                <w:color w:val="auto"/>
                <w:kern w:val="0"/>
                <w:sz w:val="24"/>
                <w:u w:val="single"/>
                <w:lang w:val="en-US" w:eastAsia="zh-CN"/>
              </w:rPr>
              <w:t>17500.00m³</w:t>
            </w:r>
            <w:r>
              <w:rPr>
                <w:rFonts w:hint="eastAsia" w:eastAsia="宋体"/>
                <w:bCs/>
                <w:color w:val="auto"/>
                <w:kern w:val="0"/>
                <w:sz w:val="24"/>
                <w:u w:val="single"/>
                <w:lang w:val="en-US" w:eastAsia="zh-CN"/>
              </w:rPr>
              <w:t>，填方量为</w:t>
            </w:r>
            <w:r>
              <w:rPr>
                <w:rFonts w:hint="default" w:eastAsia="宋体"/>
                <w:bCs/>
                <w:color w:val="auto"/>
                <w:kern w:val="0"/>
                <w:sz w:val="24"/>
                <w:u w:val="single"/>
                <w:lang w:val="en-US" w:eastAsia="zh-CN"/>
              </w:rPr>
              <w:t>12538.00m³</w:t>
            </w:r>
            <w:r>
              <w:rPr>
                <w:rFonts w:hint="eastAsia" w:eastAsia="宋体"/>
                <w:bCs/>
                <w:color w:val="auto"/>
                <w:kern w:val="0"/>
                <w:sz w:val="24"/>
                <w:u w:val="single"/>
                <w:lang w:val="en-US" w:eastAsia="zh-CN"/>
              </w:rPr>
              <w:t>，项目弃土产生量为4962</w:t>
            </w:r>
            <w:r>
              <w:rPr>
                <w:rFonts w:hint="default" w:eastAsia="宋体"/>
                <w:bCs/>
                <w:color w:val="auto"/>
                <w:kern w:val="0"/>
                <w:sz w:val="24"/>
                <w:u w:val="single"/>
                <w:lang w:val="en-US" w:eastAsia="zh-CN"/>
              </w:rPr>
              <w:t>m³</w:t>
            </w:r>
            <w:r>
              <w:rPr>
                <w:rFonts w:hint="eastAsia" w:eastAsia="宋体"/>
                <w:bCs/>
                <w:color w:val="auto"/>
                <w:kern w:val="0"/>
                <w:sz w:val="24"/>
                <w:u w:val="single"/>
                <w:lang w:val="en-US" w:eastAsia="zh-CN"/>
              </w:rPr>
              <w:t>，根据建设单位提供，项目弃土运至规定的弃土场，不在施工场地堆放。</w:t>
            </w:r>
          </w:p>
        </w:tc>
      </w:tr>
      <w:tr w14:paraId="7A52F3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455" w:type="dxa"/>
            <w:vAlign w:val="center"/>
          </w:tcPr>
          <w:p w14:paraId="6CF810A7">
            <w:pPr>
              <w:pStyle w:val="27"/>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rPr>
              <w:t>工艺流程和产排污环节</w:t>
            </w:r>
          </w:p>
        </w:tc>
        <w:tc>
          <w:tcPr>
            <w:tcW w:w="8833" w:type="dxa"/>
            <w:vAlign w:val="top"/>
          </w:tcPr>
          <w:p w14:paraId="157715E9">
            <w:pPr>
              <w:pStyle w:val="104"/>
              <w:ind w:firstLine="0" w:firstLineChars="0"/>
              <w:rPr>
                <w:b/>
                <w:bCs/>
                <w:color w:val="auto"/>
                <w:u w:val="none"/>
              </w:rPr>
            </w:pPr>
            <w:r>
              <w:rPr>
                <w:rFonts w:hint="eastAsia"/>
                <w:b/>
                <w:bCs/>
                <w:color w:val="auto"/>
                <w:u w:val="none"/>
              </w:rPr>
              <w:t>一、</w:t>
            </w:r>
            <w:r>
              <w:rPr>
                <w:rFonts w:hint="eastAsia"/>
                <w:b/>
                <w:bCs/>
                <w:color w:val="auto"/>
                <w:u w:val="none"/>
                <w:lang w:val="en-US" w:eastAsia="zh-CN"/>
              </w:rPr>
              <w:t>施工期</w:t>
            </w:r>
          </w:p>
          <w:p w14:paraId="4BA10ECD">
            <w:pPr>
              <w:pStyle w:val="104"/>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eastAsia="宋体"/>
                <w:color w:val="auto"/>
                <w:sz w:val="24"/>
                <w:u w:val="single"/>
                <w:lang w:eastAsia="zh-CN"/>
              </w:rPr>
            </w:pPr>
            <w:r>
              <w:rPr>
                <w:rFonts w:hint="eastAsia"/>
                <w:color w:val="auto"/>
                <w:sz w:val="24"/>
                <w:u w:val="none"/>
              </w:rPr>
              <w:t>本项目施工期主要包括基础工程施工、主体工程施工及附属工程施工和设备安装调试阶段。基础工程施工主要为山体开挖、场地平整，主体工程施工为污水处理基础设施建设、设备安装和污水管网铺设等。以上工段将产生扬尘、固体废物、少量污水和废气等污染物，排放量随施工强度和工期不同而有所变化。</w:t>
            </w:r>
            <w:r>
              <w:rPr>
                <w:rFonts w:hint="eastAsia"/>
                <w:color w:val="auto"/>
                <w:sz w:val="24"/>
                <w:u w:val="none"/>
                <w:lang w:eastAsia="zh-CN"/>
              </w:rPr>
              <w:t>根据项目可研设计可知，</w:t>
            </w:r>
            <w:r>
              <w:rPr>
                <w:rFonts w:hint="eastAsia"/>
                <w:color w:val="auto"/>
                <w:sz w:val="24"/>
                <w:u w:val="single"/>
                <w:lang w:eastAsia="zh-CN"/>
              </w:rPr>
              <w:t>项目纳污范围内为城镇规划区，管道沿道路铺设，管段不跨河跨桥，不涉水施工。</w:t>
            </w:r>
          </w:p>
          <w:p w14:paraId="4B2B036D">
            <w:pPr>
              <w:pStyle w:val="104"/>
              <w:keepNext w:val="0"/>
              <w:keepLines w:val="0"/>
              <w:pageBreakBefore w:val="0"/>
              <w:widowControl w:val="0"/>
              <w:kinsoku/>
              <w:wordWrap/>
              <w:overflowPunct/>
              <w:topLinePunct w:val="0"/>
              <w:autoSpaceDE/>
              <w:autoSpaceDN/>
              <w:bidi w:val="0"/>
              <w:adjustRightInd/>
              <w:snapToGrid/>
              <w:ind w:firstLine="480" w:firstLineChars="200"/>
              <w:jc w:val="center"/>
              <w:textAlignment w:val="auto"/>
              <w:rPr>
                <w:rFonts w:hint="eastAsia"/>
                <w:color w:val="auto"/>
                <w:sz w:val="24"/>
                <w:u w:val="none"/>
                <w:lang w:eastAsia="zh-CN"/>
              </w:rPr>
            </w:pPr>
            <w:r>
              <w:rPr>
                <w:rFonts w:hint="eastAsia"/>
                <w:color w:val="auto"/>
                <w:sz w:val="24"/>
                <w:u w:val="none"/>
              </w:rPr>
              <w:t>污水处理厂和管网工程施工期的工艺流程及产污情况见下图。</w:t>
            </w:r>
            <w:r>
              <w:rPr>
                <w:rFonts w:hint="eastAsia"/>
                <w:color w:val="auto"/>
                <w:sz w:val="24"/>
                <w:u w:val="none"/>
                <w:lang w:eastAsia="zh-CN"/>
              </w:rPr>
              <w:drawing>
                <wp:inline distT="0" distB="0" distL="114300" distR="114300">
                  <wp:extent cx="4153535" cy="2477770"/>
                  <wp:effectExtent l="0" t="0" r="18415" b="17780"/>
                  <wp:docPr id="35" name="图片 35" descr="170635351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706353513119"/>
                          <pic:cNvPicPr>
                            <a:picLocks noChangeAspect="1"/>
                          </pic:cNvPicPr>
                        </pic:nvPicPr>
                        <pic:blipFill>
                          <a:blip r:embed="rId22"/>
                          <a:stretch>
                            <a:fillRect/>
                          </a:stretch>
                        </pic:blipFill>
                        <pic:spPr>
                          <a:xfrm>
                            <a:off x="0" y="0"/>
                            <a:ext cx="4153535" cy="2477770"/>
                          </a:xfrm>
                          <a:prstGeom prst="rect">
                            <a:avLst/>
                          </a:prstGeom>
                        </pic:spPr>
                      </pic:pic>
                    </a:graphicData>
                  </a:graphic>
                </wp:inline>
              </w:drawing>
            </w:r>
          </w:p>
          <w:p w14:paraId="2D3A3EA2">
            <w:pPr>
              <w:pStyle w:val="104"/>
              <w:keepNext w:val="0"/>
              <w:keepLines w:val="0"/>
              <w:pageBreakBefore w:val="0"/>
              <w:widowControl w:val="0"/>
              <w:kinsoku/>
              <w:wordWrap/>
              <w:overflowPunct/>
              <w:topLinePunct w:val="0"/>
              <w:autoSpaceDE/>
              <w:autoSpaceDN/>
              <w:bidi w:val="0"/>
              <w:adjustRightInd/>
              <w:snapToGrid/>
              <w:ind w:firstLine="480" w:firstLineChars="200"/>
              <w:jc w:val="center"/>
              <w:textAlignment w:val="auto"/>
              <w:rPr>
                <w:rFonts w:hint="eastAsia"/>
                <w:color w:val="auto"/>
                <w:sz w:val="24"/>
                <w:u w:val="none"/>
                <w:lang w:eastAsia="zh-CN"/>
              </w:rPr>
            </w:pPr>
            <w:r>
              <w:rPr>
                <w:rFonts w:hint="eastAsia"/>
                <w:color w:val="auto"/>
                <w:sz w:val="24"/>
                <w:u w:val="none"/>
                <w:lang w:eastAsia="zh-CN"/>
              </w:rPr>
              <w:t>污水处理厂施工工艺流程</w:t>
            </w:r>
          </w:p>
          <w:p w14:paraId="093320DC">
            <w:pPr>
              <w:pStyle w:val="133"/>
              <w:bidi w:val="0"/>
              <w:rPr>
                <w:rFonts w:hint="eastAsia"/>
                <w:lang w:eastAsia="zh-CN"/>
              </w:rPr>
            </w:pPr>
            <w:r>
              <w:rPr>
                <w:rFonts w:hint="eastAsia"/>
                <w:lang w:eastAsia="zh-CN"/>
              </w:rPr>
              <w:drawing>
                <wp:inline distT="0" distB="0" distL="114300" distR="114300">
                  <wp:extent cx="4629150" cy="3140710"/>
                  <wp:effectExtent l="0" t="0" r="0" b="2540"/>
                  <wp:docPr id="37" name="图片 37" descr="1706353698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706353698479"/>
                          <pic:cNvPicPr>
                            <a:picLocks noChangeAspect="1"/>
                          </pic:cNvPicPr>
                        </pic:nvPicPr>
                        <pic:blipFill>
                          <a:blip r:embed="rId23"/>
                          <a:stretch>
                            <a:fillRect/>
                          </a:stretch>
                        </pic:blipFill>
                        <pic:spPr>
                          <a:xfrm>
                            <a:off x="0" y="0"/>
                            <a:ext cx="4629150" cy="3140710"/>
                          </a:xfrm>
                          <a:prstGeom prst="rect">
                            <a:avLst/>
                          </a:prstGeom>
                        </pic:spPr>
                      </pic:pic>
                    </a:graphicData>
                  </a:graphic>
                </wp:inline>
              </w:drawing>
            </w:r>
          </w:p>
          <w:p w14:paraId="4C86187C">
            <w:pPr>
              <w:pStyle w:val="133"/>
              <w:bidi w:val="0"/>
              <w:jc w:val="center"/>
              <w:rPr>
                <w:rFonts w:hint="eastAsia"/>
                <w:lang w:eastAsia="zh-CN"/>
              </w:rPr>
            </w:pPr>
            <w:r>
              <w:rPr>
                <w:rFonts w:hint="eastAsia"/>
                <w:lang w:eastAsia="zh-CN"/>
              </w:rPr>
              <w:t>管网施工工艺流程</w:t>
            </w:r>
          </w:p>
          <w:p w14:paraId="63473DB0">
            <w:pPr>
              <w:pStyle w:val="104"/>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sz w:val="24"/>
                <w:u w:val="none"/>
                <w:lang w:eastAsia="zh-CN"/>
              </w:rPr>
            </w:pPr>
            <w:r>
              <w:rPr>
                <w:rFonts w:hint="eastAsia"/>
                <w:color w:val="auto"/>
                <w:sz w:val="24"/>
                <w:u w:val="none"/>
                <w:lang w:eastAsia="zh-CN"/>
              </w:rPr>
              <w:t>（1）施工准备</w:t>
            </w:r>
          </w:p>
          <w:p w14:paraId="5E837117">
            <w:pPr>
              <w:pStyle w:val="104"/>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sz w:val="24"/>
                <w:u w:val="none"/>
                <w:lang w:eastAsia="zh-CN"/>
              </w:rPr>
            </w:pPr>
            <w:r>
              <w:rPr>
                <w:rFonts w:hint="eastAsia"/>
                <w:color w:val="auto"/>
                <w:sz w:val="24"/>
                <w:u w:val="none"/>
                <w:lang w:eastAsia="zh-CN"/>
              </w:rPr>
              <w:t>工程开工前，测设管道中心线、开挖沟槽边线及附属构筑物的位置。</w:t>
            </w:r>
          </w:p>
          <w:p w14:paraId="2B937818">
            <w:pPr>
              <w:pStyle w:val="104"/>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sz w:val="24"/>
                <w:u w:val="none"/>
                <w:lang w:eastAsia="zh-CN"/>
              </w:rPr>
            </w:pPr>
            <w:r>
              <w:rPr>
                <w:rFonts w:hint="eastAsia"/>
                <w:color w:val="auto"/>
                <w:sz w:val="24"/>
                <w:u w:val="none"/>
                <w:lang w:eastAsia="zh-CN"/>
              </w:rPr>
              <w:t>（2）管道开挖</w:t>
            </w:r>
          </w:p>
          <w:p w14:paraId="799F975A">
            <w:pPr>
              <w:pStyle w:val="104"/>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sz w:val="24"/>
                <w:highlight w:val="none"/>
                <w:u w:val="single"/>
                <w:lang w:eastAsia="zh-CN"/>
              </w:rPr>
            </w:pPr>
            <w:r>
              <w:rPr>
                <w:rFonts w:hint="eastAsia"/>
                <w:color w:val="auto"/>
                <w:sz w:val="24"/>
                <w:highlight w:val="none"/>
                <w:u w:val="single"/>
                <w:lang w:eastAsia="zh-CN"/>
              </w:rPr>
              <w:t>根据现场实际情况对管道进行开挖，多余的土方临时堆放于管道两侧，回填后多余土方运送至污水厂厂区进行填方。</w:t>
            </w:r>
          </w:p>
          <w:p w14:paraId="7D7C43A6">
            <w:pPr>
              <w:pStyle w:val="104"/>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sz w:val="24"/>
                <w:highlight w:val="none"/>
                <w:u w:val="single"/>
                <w:lang w:eastAsia="zh-CN"/>
              </w:rPr>
            </w:pPr>
            <w:r>
              <w:rPr>
                <w:rFonts w:hint="eastAsia"/>
                <w:color w:val="auto"/>
                <w:sz w:val="24"/>
                <w:highlight w:val="none"/>
                <w:u w:val="single"/>
                <w:lang w:eastAsia="zh-CN"/>
              </w:rPr>
              <w:t>（3）管道敷设及检查井建设</w:t>
            </w:r>
          </w:p>
          <w:p w14:paraId="651D4516">
            <w:pPr>
              <w:pStyle w:val="104"/>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sz w:val="24"/>
                <w:u w:val="single"/>
                <w:lang w:eastAsia="zh-CN"/>
              </w:rPr>
            </w:pPr>
            <w:r>
              <w:rPr>
                <w:rFonts w:hint="eastAsia"/>
                <w:color w:val="auto"/>
                <w:sz w:val="24"/>
                <w:u w:val="single"/>
                <w:lang w:eastAsia="zh-CN"/>
              </w:rPr>
              <w:t>在管道开挖后，开始建设检查井及管道的敷设，并在检查井上安装盖板、井盖，最后将管道与检查井衔接。</w:t>
            </w:r>
          </w:p>
          <w:p w14:paraId="3C6D3A70">
            <w:pPr>
              <w:pStyle w:val="104"/>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sz w:val="24"/>
                <w:u w:val="single"/>
                <w:lang w:eastAsia="zh-CN"/>
              </w:rPr>
            </w:pPr>
            <w:r>
              <w:rPr>
                <w:rFonts w:hint="eastAsia"/>
                <w:color w:val="auto"/>
                <w:sz w:val="24"/>
                <w:u w:val="single"/>
                <w:lang w:eastAsia="zh-CN"/>
              </w:rPr>
              <w:t>（4）管道闭水试验</w:t>
            </w:r>
          </w:p>
          <w:p w14:paraId="72986A6F">
            <w:pPr>
              <w:pStyle w:val="104"/>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sz w:val="24"/>
                <w:u w:val="single"/>
                <w:lang w:eastAsia="zh-CN"/>
              </w:rPr>
            </w:pPr>
            <w:r>
              <w:rPr>
                <w:rFonts w:hint="eastAsia"/>
                <w:color w:val="auto"/>
                <w:sz w:val="24"/>
                <w:u w:val="single"/>
                <w:lang w:eastAsia="zh-CN"/>
              </w:rPr>
              <w:t>管道安装完成后，应立即对管道进行闭水试验，闭水用水可取附近沟渠水。</w:t>
            </w:r>
          </w:p>
          <w:p w14:paraId="1B8BCC52">
            <w:pPr>
              <w:pStyle w:val="104"/>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sz w:val="24"/>
                <w:u w:val="single"/>
                <w:lang w:eastAsia="zh-CN"/>
              </w:rPr>
            </w:pPr>
            <w:r>
              <w:rPr>
                <w:rFonts w:hint="eastAsia"/>
                <w:color w:val="auto"/>
                <w:sz w:val="24"/>
                <w:u w:val="single"/>
                <w:lang w:eastAsia="zh-CN"/>
              </w:rPr>
              <w:t>（5）沟槽土回填</w:t>
            </w:r>
          </w:p>
          <w:p w14:paraId="091E68A2">
            <w:pPr>
              <w:pStyle w:val="104"/>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sz w:val="24"/>
                <w:u w:val="single"/>
                <w:lang w:eastAsia="zh-CN"/>
              </w:rPr>
            </w:pPr>
            <w:r>
              <w:rPr>
                <w:rFonts w:hint="eastAsia"/>
                <w:color w:val="auto"/>
                <w:sz w:val="24"/>
                <w:u w:val="single"/>
                <w:lang w:eastAsia="zh-CN"/>
              </w:rPr>
              <w:t>污水管线闭水试验合格后，即可回填沟槽土方。沟槽回填时采用人工和机械回填，填方时应从场地最低处开始，有坑应先填，再水平分层整片回填碾压（或夯实）。管道两侧回填土压实度达到底95%以上，管顶0.5m以内不宜用机械碾压，管顶0.5m 以上回填土压实度应达到85%。</w:t>
            </w:r>
          </w:p>
          <w:p w14:paraId="62DB6D39">
            <w:pPr>
              <w:pStyle w:val="104"/>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sz w:val="24"/>
                <w:u w:val="none"/>
                <w:lang w:eastAsia="zh-CN"/>
              </w:rPr>
            </w:pPr>
            <w:r>
              <w:rPr>
                <w:rFonts w:hint="eastAsia"/>
                <w:color w:val="auto"/>
                <w:sz w:val="24"/>
                <w:u w:val="none"/>
                <w:lang w:eastAsia="zh-CN"/>
              </w:rPr>
              <w:t>6）余土外运处理。</w:t>
            </w:r>
          </w:p>
          <w:p w14:paraId="5F358D08">
            <w:pPr>
              <w:pStyle w:val="104"/>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sz w:val="24"/>
                <w:u w:val="none"/>
                <w:lang w:eastAsia="zh-CN"/>
              </w:rPr>
            </w:pPr>
            <w:r>
              <w:rPr>
                <w:rFonts w:hint="eastAsia"/>
                <w:color w:val="auto"/>
                <w:sz w:val="24"/>
                <w:u w:val="none"/>
                <w:lang w:eastAsia="zh-CN"/>
              </w:rPr>
              <w:t>输入管线回填完后，剩余部分弃土必须外运处理。应用装载机将土装上自卸汽车，运送至污水处理厂厂区进行填方。</w:t>
            </w:r>
          </w:p>
          <w:p w14:paraId="3C392263">
            <w:pPr>
              <w:pStyle w:val="104"/>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sz w:val="24"/>
                <w:u w:val="none"/>
                <w:lang w:eastAsia="zh-CN"/>
              </w:rPr>
            </w:pPr>
            <w:r>
              <w:rPr>
                <w:rFonts w:hint="eastAsia"/>
                <w:color w:val="auto"/>
                <w:sz w:val="24"/>
                <w:u w:val="none"/>
                <w:lang w:eastAsia="zh-CN"/>
              </w:rPr>
              <w:t>7）路面恢复，道路建设</w:t>
            </w:r>
          </w:p>
          <w:p w14:paraId="6B9DCF8B">
            <w:pPr>
              <w:pStyle w:val="104"/>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sz w:val="24"/>
                <w:u w:val="none"/>
                <w:lang w:eastAsia="zh-CN"/>
              </w:rPr>
            </w:pPr>
            <w:r>
              <w:rPr>
                <w:rFonts w:hint="eastAsia"/>
                <w:color w:val="auto"/>
                <w:sz w:val="24"/>
                <w:u w:val="none"/>
                <w:lang w:eastAsia="zh-CN"/>
              </w:rPr>
              <w:t>将余土外运后，需将路面进行恢复，完成道路的建设。</w:t>
            </w:r>
          </w:p>
          <w:p w14:paraId="4C3DC85D">
            <w:pPr>
              <w:pStyle w:val="104"/>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sz w:val="24"/>
                <w:u w:val="none"/>
                <w:lang w:eastAsia="zh-CN"/>
              </w:rPr>
            </w:pPr>
            <w:r>
              <w:rPr>
                <w:rFonts w:hint="eastAsia"/>
                <w:color w:val="auto"/>
                <w:sz w:val="24"/>
                <w:u w:val="none"/>
                <w:lang w:eastAsia="zh-CN"/>
              </w:rPr>
              <w:t xml:space="preserve"> 施工期产排污环节：</w:t>
            </w:r>
          </w:p>
          <w:p w14:paraId="1B82E21F">
            <w:pPr>
              <w:pStyle w:val="104"/>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sz w:val="24"/>
                <w:u w:val="none"/>
                <w:lang w:eastAsia="zh-CN"/>
              </w:rPr>
            </w:pPr>
            <w:r>
              <w:rPr>
                <w:rFonts w:hint="eastAsia"/>
                <w:color w:val="auto"/>
                <w:sz w:val="24"/>
                <w:u w:val="none"/>
                <w:lang w:eastAsia="zh-CN"/>
              </w:rPr>
              <w:t>废水W：施工阶段的废水主要为施工人员的生活污水、建筑废水。</w:t>
            </w:r>
          </w:p>
          <w:p w14:paraId="49ADDCD8">
            <w:pPr>
              <w:pStyle w:val="104"/>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sz w:val="24"/>
                <w:u w:val="none"/>
                <w:lang w:eastAsia="zh-CN"/>
              </w:rPr>
            </w:pPr>
            <w:r>
              <w:rPr>
                <w:rFonts w:hint="eastAsia"/>
                <w:color w:val="auto"/>
                <w:sz w:val="24"/>
                <w:u w:val="none"/>
                <w:lang w:eastAsia="zh-CN"/>
              </w:rPr>
              <w:t>废气G：项目施工期主要废气来源于扬尘和施工机械燃油废气。</w:t>
            </w:r>
          </w:p>
          <w:p w14:paraId="106677C9">
            <w:pPr>
              <w:pStyle w:val="104"/>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sz w:val="24"/>
                <w:u w:val="none"/>
                <w:lang w:eastAsia="zh-CN"/>
              </w:rPr>
            </w:pPr>
            <w:r>
              <w:rPr>
                <w:rFonts w:hint="eastAsia"/>
                <w:color w:val="auto"/>
                <w:sz w:val="24"/>
                <w:u w:val="none"/>
                <w:lang w:eastAsia="zh-CN"/>
              </w:rPr>
              <w:t>噪声N：施工期噪声污染源主要是施工机械和运输车辆产生的噪声。</w:t>
            </w:r>
          </w:p>
          <w:p w14:paraId="1521AA9D">
            <w:pPr>
              <w:pStyle w:val="104"/>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color w:val="auto"/>
                <w:sz w:val="24"/>
                <w:u w:val="none"/>
                <w:lang w:eastAsia="zh-CN"/>
              </w:rPr>
            </w:pPr>
            <w:r>
              <w:rPr>
                <w:rFonts w:hint="eastAsia"/>
                <w:color w:val="auto"/>
                <w:sz w:val="24"/>
                <w:u w:val="none"/>
                <w:lang w:eastAsia="zh-CN"/>
              </w:rPr>
              <w:t>固废S：施工期的固体废弃物主要为建筑垃圾、施工人员生活垃圾和开挖过程产生的土方。</w:t>
            </w:r>
          </w:p>
          <w:p w14:paraId="7A8017E0">
            <w:pPr>
              <w:pStyle w:val="104"/>
              <w:numPr>
                <w:ilvl w:val="0"/>
                <w:numId w:val="3"/>
              </w:numPr>
              <w:ind w:firstLine="0" w:firstLineChars="0"/>
              <w:rPr>
                <w:rFonts w:hint="eastAsia"/>
                <w:b/>
                <w:bCs/>
                <w:color w:val="auto"/>
                <w:lang w:val="en-US" w:eastAsia="zh-CN"/>
              </w:rPr>
            </w:pPr>
            <w:r>
              <w:rPr>
                <w:rFonts w:hint="eastAsia"/>
                <w:b/>
                <w:bCs/>
                <w:color w:val="auto"/>
                <w:lang w:val="en-US" w:eastAsia="zh-CN"/>
              </w:rPr>
              <w:t>运营期</w:t>
            </w:r>
          </w:p>
          <w:p w14:paraId="45A813C1">
            <w:pPr>
              <w:rPr>
                <w:rFonts w:hint="eastAsia" w:eastAsia="宋体"/>
                <w:b/>
                <w:bCs/>
                <w:color w:val="auto"/>
                <w:lang w:eastAsia="zh-CN"/>
              </w:rPr>
            </w:pPr>
            <w:r>
              <w:rPr>
                <w:rFonts w:hint="eastAsia" w:eastAsia="宋体"/>
                <w:b/>
                <w:bCs/>
                <w:color w:val="auto"/>
                <w:lang w:eastAsia="zh-CN"/>
              </w:rPr>
              <w:drawing>
                <wp:inline distT="0" distB="0" distL="114300" distR="114300">
                  <wp:extent cx="5471795" cy="2622550"/>
                  <wp:effectExtent l="0" t="0" r="14605" b="6350"/>
                  <wp:docPr id="52" name="图片 52" descr="1733375727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1733375727571"/>
                          <pic:cNvPicPr>
                            <a:picLocks noChangeAspect="1"/>
                          </pic:cNvPicPr>
                        </pic:nvPicPr>
                        <pic:blipFill>
                          <a:blip r:embed="rId24"/>
                          <a:stretch>
                            <a:fillRect/>
                          </a:stretch>
                        </pic:blipFill>
                        <pic:spPr>
                          <a:xfrm>
                            <a:off x="0" y="0"/>
                            <a:ext cx="5471795" cy="2622550"/>
                          </a:xfrm>
                          <a:prstGeom prst="rect">
                            <a:avLst/>
                          </a:prstGeom>
                        </pic:spPr>
                      </pic:pic>
                    </a:graphicData>
                  </a:graphic>
                </wp:inline>
              </w:drawing>
            </w:r>
          </w:p>
          <w:p w14:paraId="5B84603B">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b/>
                <w:bCs/>
                <w:color w:val="auto"/>
              </w:rPr>
            </w:pPr>
            <w:r>
              <w:rPr>
                <w:b/>
                <w:bCs/>
                <w:color w:val="auto"/>
              </w:rPr>
              <w:t xml:space="preserve">图2-1 </w:t>
            </w:r>
            <w:r>
              <w:rPr>
                <w:rFonts w:hint="eastAsia"/>
                <w:b/>
                <w:bCs/>
                <w:color w:val="auto"/>
              </w:rPr>
              <w:t xml:space="preserve"> </w:t>
            </w:r>
            <w:r>
              <w:rPr>
                <w:rFonts w:hint="eastAsia"/>
                <w:b/>
                <w:bCs/>
                <w:color w:val="auto"/>
                <w:lang w:val="en-US" w:eastAsia="zh-CN"/>
              </w:rPr>
              <w:t>污水处理厂污水处理</w:t>
            </w:r>
            <w:r>
              <w:rPr>
                <w:b/>
                <w:bCs/>
                <w:color w:val="auto"/>
              </w:rPr>
              <w:t>工艺流程及产污环节图</w:t>
            </w:r>
          </w:p>
          <w:p w14:paraId="37FE8020">
            <w:pPr>
              <w:keepNext w:val="0"/>
              <w:keepLines w:val="0"/>
              <w:pageBreakBefore w:val="0"/>
              <w:widowControl w:val="0"/>
              <w:kinsoku/>
              <w:wordWrap/>
              <w:overflowPunct/>
              <w:topLinePunct w:val="0"/>
              <w:autoSpaceDE w:val="0"/>
              <w:autoSpaceDN w:val="0"/>
              <w:bidi w:val="0"/>
              <w:adjustRightInd w:val="0"/>
              <w:snapToGrid/>
              <w:spacing w:line="360" w:lineRule="auto"/>
              <w:jc w:val="left"/>
              <w:textAlignment w:val="auto"/>
              <w:rPr>
                <w:rFonts w:ascii="宋体" w:cs="宋体"/>
                <w:b/>
                <w:bCs/>
                <w:color w:val="auto"/>
                <w:kern w:val="0"/>
                <w:sz w:val="24"/>
              </w:rPr>
            </w:pPr>
            <w:r>
              <w:rPr>
                <w:rFonts w:hint="eastAsia" w:ascii="宋体" w:cs="宋体"/>
                <w:b/>
                <w:bCs/>
                <w:color w:val="auto"/>
                <w:kern w:val="0"/>
                <w:sz w:val="24"/>
                <w:lang w:val="en-US" w:eastAsia="zh-CN"/>
              </w:rPr>
              <w:t>污水处理</w:t>
            </w:r>
            <w:r>
              <w:rPr>
                <w:rFonts w:hint="eastAsia" w:ascii="宋体" w:cs="宋体"/>
                <w:b/>
                <w:bCs/>
                <w:color w:val="auto"/>
                <w:kern w:val="0"/>
                <w:sz w:val="24"/>
              </w:rPr>
              <w:t>工艺流程说明：</w:t>
            </w:r>
          </w:p>
          <w:p w14:paraId="4E713949">
            <w:pPr>
              <w:autoSpaceDE w:val="0"/>
              <w:autoSpaceDN w:val="0"/>
              <w:adjustRightInd w:val="0"/>
              <w:spacing w:line="360" w:lineRule="auto"/>
              <w:ind w:firstLine="480" w:firstLineChars="200"/>
              <w:jc w:val="left"/>
              <w:rPr>
                <w:rFonts w:hint="default" w:ascii="Times New Roman" w:hAnsi="Times New Roman" w:cs="Times New Roman"/>
                <w:b w:val="0"/>
                <w:bCs w:val="0"/>
                <w:color w:val="auto"/>
                <w:kern w:val="0"/>
                <w:sz w:val="24"/>
                <w:lang w:val="en-US" w:eastAsia="zh-CN"/>
              </w:rPr>
            </w:pPr>
            <w:r>
              <w:rPr>
                <w:rFonts w:hint="default" w:ascii="Times New Roman" w:hAnsi="Times New Roman" w:cs="Times New Roman"/>
                <w:b w:val="0"/>
                <w:bCs w:val="0"/>
                <w:color w:val="auto"/>
                <w:kern w:val="0"/>
                <w:sz w:val="24"/>
                <w:lang w:val="en-US" w:eastAsia="zh-CN"/>
              </w:rPr>
              <w:t>高铁新城污水处理厂主要工艺构筑物由粗格栅及提升泵站、细格栅及旋流沉砂池、</w:t>
            </w:r>
            <w:r>
              <w:rPr>
                <w:rFonts w:hint="eastAsia" w:cs="Times New Roman"/>
                <w:b w:val="0"/>
                <w:bCs w:val="0"/>
                <w:color w:val="auto"/>
                <w:kern w:val="0"/>
                <w:sz w:val="24"/>
                <w:lang w:val="en-US" w:eastAsia="zh-CN"/>
              </w:rPr>
              <w:t>水解酸化池、</w:t>
            </w:r>
            <w:r>
              <w:rPr>
                <w:rFonts w:hint="default" w:ascii="Times New Roman" w:hAnsi="Times New Roman" w:cs="Times New Roman"/>
                <w:b w:val="0"/>
                <w:bCs w:val="0"/>
                <w:color w:val="auto"/>
                <w:kern w:val="0"/>
                <w:sz w:val="24"/>
                <w:lang w:val="en-US" w:eastAsia="zh-CN"/>
              </w:rPr>
              <w:t>AAO池、二沉池、中间提升泵站、高效沉淀池、滤布滤池、消毒池、污泥泵站、污泥浓缩池、污泥脱水间及加药间、鼓风机房等组成。</w:t>
            </w:r>
          </w:p>
          <w:p w14:paraId="58698E2A">
            <w:pPr>
              <w:autoSpaceDE w:val="0"/>
              <w:autoSpaceDN w:val="0"/>
              <w:adjustRightInd w:val="0"/>
              <w:spacing w:line="360" w:lineRule="auto"/>
              <w:ind w:firstLine="480" w:firstLineChars="200"/>
              <w:jc w:val="left"/>
              <w:rPr>
                <w:rFonts w:hint="default" w:ascii="Times New Roman" w:hAnsi="Times New Roman" w:cs="Times New Roman"/>
                <w:b w:val="0"/>
                <w:bCs w:val="0"/>
                <w:color w:val="auto"/>
                <w:kern w:val="0"/>
                <w:sz w:val="24"/>
                <w:highlight w:val="none"/>
                <w:lang w:val="en-US" w:eastAsia="zh-CN"/>
              </w:rPr>
            </w:pPr>
            <w:r>
              <w:rPr>
                <w:rFonts w:hint="default" w:ascii="Times New Roman" w:hAnsi="Times New Roman" w:cs="Times New Roman"/>
                <w:b w:val="0"/>
                <w:bCs w:val="0"/>
                <w:color w:val="auto"/>
                <w:kern w:val="0"/>
                <w:sz w:val="24"/>
                <w:lang w:val="en-US" w:eastAsia="zh-CN"/>
              </w:rPr>
              <w:t>污水通过污水收集系统进入污水厂后，首先经粗格栅去除较大固体杂物，进入提升泵站，由泵提升的污水经细格栅进一步去除固体杂物后，经过旋流沉砂池沉砂处理，再进入AAO池，通过厌氧、缺氧、曝气，在微生物作用下，将城市污水中有机污染物及氨氮等污染物质分解或转化为H</w:t>
            </w:r>
            <w:r>
              <w:rPr>
                <w:rFonts w:hint="default" w:ascii="Times New Roman" w:hAnsi="Times New Roman" w:cs="Times New Roman"/>
                <w:b w:val="0"/>
                <w:bCs w:val="0"/>
                <w:color w:val="auto"/>
                <w:kern w:val="0"/>
                <w:sz w:val="24"/>
                <w:vertAlign w:val="subscript"/>
                <w:lang w:val="en-US" w:eastAsia="zh-CN"/>
              </w:rPr>
              <w:t>2</w:t>
            </w:r>
            <w:r>
              <w:rPr>
                <w:rFonts w:hint="default" w:ascii="Times New Roman" w:hAnsi="Times New Roman" w:cs="Times New Roman"/>
                <w:b w:val="0"/>
                <w:bCs w:val="0"/>
                <w:color w:val="auto"/>
                <w:kern w:val="0"/>
                <w:sz w:val="24"/>
                <w:lang w:val="en-US" w:eastAsia="zh-CN"/>
              </w:rPr>
              <w:t>O、CO</w:t>
            </w:r>
            <w:r>
              <w:rPr>
                <w:rFonts w:hint="default" w:ascii="Times New Roman" w:hAnsi="Times New Roman" w:cs="Times New Roman"/>
                <w:b w:val="0"/>
                <w:bCs w:val="0"/>
                <w:color w:val="auto"/>
                <w:kern w:val="0"/>
                <w:sz w:val="24"/>
                <w:vertAlign w:val="subscript"/>
                <w:lang w:val="en-US" w:eastAsia="zh-CN"/>
              </w:rPr>
              <w:t>2</w:t>
            </w:r>
            <w:r>
              <w:rPr>
                <w:rFonts w:hint="default" w:ascii="Times New Roman" w:hAnsi="Times New Roman" w:cs="Times New Roman"/>
                <w:b w:val="0"/>
                <w:bCs w:val="0"/>
                <w:color w:val="auto"/>
                <w:kern w:val="0"/>
                <w:sz w:val="24"/>
                <w:lang w:val="en-US" w:eastAsia="zh-CN"/>
              </w:rPr>
              <w:t>、N</w:t>
            </w:r>
            <w:r>
              <w:rPr>
                <w:rFonts w:hint="default" w:ascii="Times New Roman" w:hAnsi="Times New Roman" w:cs="Times New Roman"/>
                <w:b w:val="0"/>
                <w:bCs w:val="0"/>
                <w:color w:val="auto"/>
                <w:kern w:val="0"/>
                <w:sz w:val="24"/>
                <w:vertAlign w:val="subscript"/>
                <w:lang w:val="en-US" w:eastAsia="zh-CN"/>
              </w:rPr>
              <w:t>2</w:t>
            </w:r>
            <w:r>
              <w:rPr>
                <w:rFonts w:hint="default" w:ascii="Times New Roman" w:hAnsi="Times New Roman" w:cs="Times New Roman"/>
                <w:b w:val="0"/>
                <w:bCs w:val="0"/>
                <w:color w:val="auto"/>
                <w:kern w:val="0"/>
                <w:sz w:val="24"/>
                <w:lang w:val="en-US" w:eastAsia="zh-CN"/>
              </w:rPr>
              <w:t>等物质。生化池泥水混合物出水进入二沉池，进行初步沉淀分离；二沉池出水清液接至高效沉淀池进行加药絮凝沉淀，之后再进入滤布滤池进行过滤，去除绝大部分SS后进行消毒，最后达标排放。二沉池中的活性污泥则进入污泥泵站，由泵提升回流至AAO生化池，与污水混合进入污水处理系统。剩余污泥由污泥泵抽升进入污泥浓缩池，之后进入污泥脱水车间经污泥改性+板框污泥脱水机脱水至污饼含水率≤60%后外运至</w:t>
            </w:r>
            <w:r>
              <w:rPr>
                <w:rFonts w:hint="eastAsia" w:cs="Times New Roman"/>
                <w:b w:val="0"/>
                <w:bCs w:val="0"/>
                <w:color w:val="auto"/>
                <w:kern w:val="0"/>
                <w:sz w:val="24"/>
                <w:highlight w:val="none"/>
                <w:lang w:val="en-US" w:eastAsia="zh-CN"/>
              </w:rPr>
              <w:t>龙山县二级生活垃圾转运站收集后外运至永顺县生活垃圾焚烧发电厂</w:t>
            </w:r>
            <w:r>
              <w:rPr>
                <w:rFonts w:hint="default" w:ascii="Times New Roman" w:hAnsi="Times New Roman" w:cs="Times New Roman"/>
                <w:b w:val="0"/>
                <w:bCs w:val="0"/>
                <w:color w:val="auto"/>
                <w:kern w:val="0"/>
                <w:sz w:val="24"/>
                <w:highlight w:val="none"/>
                <w:lang w:val="en-US" w:eastAsia="zh-CN"/>
              </w:rPr>
              <w:t>。</w:t>
            </w:r>
          </w:p>
          <w:p w14:paraId="13A6DDFC">
            <w:pPr>
              <w:autoSpaceDE w:val="0"/>
              <w:autoSpaceDN w:val="0"/>
              <w:adjustRightInd w:val="0"/>
              <w:spacing w:line="360" w:lineRule="auto"/>
              <w:ind w:firstLine="482" w:firstLineChars="200"/>
              <w:jc w:val="left"/>
              <w:rPr>
                <w:rFonts w:hint="eastAsia" w:ascii="宋体" w:hAnsi="宋体" w:cs="宋体"/>
                <w:b/>
                <w:bCs/>
                <w:color w:val="auto"/>
                <w:kern w:val="0"/>
                <w:sz w:val="24"/>
                <w:highlight w:val="none"/>
                <w:lang w:val="en-US" w:eastAsia="zh-CN"/>
              </w:rPr>
            </w:pPr>
            <w:r>
              <w:rPr>
                <w:rFonts w:hint="eastAsia" w:ascii="宋体" w:hAnsi="宋体" w:cs="宋体"/>
                <w:b/>
                <w:bCs/>
                <w:color w:val="auto"/>
                <w:kern w:val="0"/>
                <w:sz w:val="24"/>
                <w:highlight w:val="none"/>
                <w:lang w:val="en-US" w:eastAsia="zh-CN"/>
              </w:rPr>
              <w:t>除臭工艺</w:t>
            </w:r>
          </w:p>
          <w:p w14:paraId="33A2FB2E">
            <w:pPr>
              <w:autoSpaceDE w:val="0"/>
              <w:autoSpaceDN w:val="0"/>
              <w:adjustRightInd w:val="0"/>
              <w:spacing w:line="360" w:lineRule="auto"/>
              <w:ind w:firstLine="480" w:firstLineChars="200"/>
              <w:jc w:val="left"/>
              <w:rPr>
                <w:rFonts w:hint="default" w:ascii="Times New Roman" w:hAnsi="Times New Roman" w:cs="Times New Roman"/>
                <w:b w:val="0"/>
                <w:bCs w:val="0"/>
                <w:color w:val="auto"/>
                <w:kern w:val="0"/>
                <w:sz w:val="24"/>
                <w:lang w:val="en-US" w:eastAsia="zh-CN"/>
              </w:rPr>
            </w:pPr>
            <w:r>
              <w:rPr>
                <w:rFonts w:hint="default" w:ascii="Times New Roman" w:hAnsi="Times New Roman" w:cs="Times New Roman"/>
                <w:b w:val="0"/>
                <w:bCs w:val="0"/>
                <w:color w:val="auto"/>
                <w:kern w:val="0"/>
                <w:sz w:val="24"/>
                <w:lang w:val="en-US" w:eastAsia="zh-CN"/>
              </w:rPr>
              <w:t>本工程拟采用生物除臭法，生物法（主要有填充式生物除臭法）则有着经济、高效和环保的优点。具体来说，生物法除臭具在下述工程特点：</w:t>
            </w:r>
          </w:p>
          <w:p w14:paraId="23CEB775">
            <w:pPr>
              <w:autoSpaceDE w:val="0"/>
              <w:autoSpaceDN w:val="0"/>
              <w:adjustRightInd w:val="0"/>
              <w:spacing w:line="360" w:lineRule="auto"/>
              <w:ind w:firstLine="480" w:firstLineChars="200"/>
              <w:jc w:val="left"/>
              <w:rPr>
                <w:rFonts w:hint="default" w:ascii="Times New Roman" w:hAnsi="Times New Roman" w:cs="Times New Roman"/>
                <w:b w:val="0"/>
                <w:bCs w:val="0"/>
                <w:color w:val="auto"/>
                <w:kern w:val="0"/>
                <w:sz w:val="24"/>
                <w:lang w:val="en-US" w:eastAsia="zh-CN"/>
              </w:rPr>
            </w:pPr>
            <w:r>
              <w:rPr>
                <w:rFonts w:hint="default" w:ascii="Times New Roman" w:hAnsi="Times New Roman" w:cs="Times New Roman"/>
                <w:b w:val="0"/>
                <w:bCs w:val="0"/>
                <w:color w:val="auto"/>
                <w:kern w:val="0"/>
                <w:sz w:val="24"/>
                <w:lang w:val="en-US" w:eastAsia="zh-CN"/>
              </w:rPr>
              <w:t>a.对硫化氢、甲硫醇等去除率极高，达97%以上，对硫化甲醇、硫化二甲脂、氨等恶臭物质的去除率为60～80%；</w:t>
            </w:r>
          </w:p>
          <w:p w14:paraId="70FFC29E">
            <w:pPr>
              <w:autoSpaceDE w:val="0"/>
              <w:autoSpaceDN w:val="0"/>
              <w:adjustRightInd w:val="0"/>
              <w:spacing w:line="360" w:lineRule="auto"/>
              <w:ind w:firstLine="480" w:firstLineChars="200"/>
              <w:jc w:val="left"/>
              <w:rPr>
                <w:rFonts w:hint="default" w:ascii="Times New Roman" w:hAnsi="Times New Roman" w:cs="Times New Roman"/>
                <w:b w:val="0"/>
                <w:bCs w:val="0"/>
                <w:color w:val="auto"/>
                <w:kern w:val="0"/>
                <w:sz w:val="24"/>
                <w:lang w:val="en-US" w:eastAsia="zh-CN"/>
              </w:rPr>
            </w:pPr>
            <w:r>
              <w:rPr>
                <w:rFonts w:hint="default" w:ascii="Times New Roman" w:hAnsi="Times New Roman" w:cs="Times New Roman"/>
                <w:b w:val="0"/>
                <w:bCs w:val="0"/>
                <w:color w:val="auto"/>
                <w:kern w:val="0"/>
                <w:sz w:val="24"/>
                <w:lang w:val="en-US" w:eastAsia="zh-CN"/>
              </w:rPr>
              <w:t>b.能源消耗低，运转费用低；</w:t>
            </w:r>
          </w:p>
          <w:p w14:paraId="34E62D9E">
            <w:pPr>
              <w:autoSpaceDE w:val="0"/>
              <w:autoSpaceDN w:val="0"/>
              <w:adjustRightInd w:val="0"/>
              <w:spacing w:line="360" w:lineRule="auto"/>
              <w:ind w:firstLine="480" w:firstLineChars="200"/>
              <w:jc w:val="left"/>
              <w:rPr>
                <w:rFonts w:hint="default" w:ascii="Times New Roman" w:hAnsi="Times New Roman" w:cs="Times New Roman"/>
                <w:b w:val="0"/>
                <w:bCs w:val="0"/>
                <w:color w:val="auto"/>
                <w:kern w:val="0"/>
                <w:sz w:val="24"/>
                <w:lang w:val="en-US" w:eastAsia="zh-CN"/>
              </w:rPr>
            </w:pPr>
            <w:r>
              <w:rPr>
                <w:rFonts w:hint="default" w:ascii="Times New Roman" w:hAnsi="Times New Roman" w:cs="Times New Roman"/>
                <w:b w:val="0"/>
                <w:bCs w:val="0"/>
                <w:color w:val="auto"/>
                <w:kern w:val="0"/>
                <w:sz w:val="24"/>
                <w:lang w:val="en-US" w:eastAsia="zh-CN"/>
              </w:rPr>
              <w:t>c.运行安全可靠，维护管理简单；</w:t>
            </w:r>
          </w:p>
          <w:p w14:paraId="23B865A3">
            <w:pPr>
              <w:autoSpaceDE w:val="0"/>
              <w:autoSpaceDN w:val="0"/>
              <w:adjustRightInd w:val="0"/>
              <w:spacing w:line="360" w:lineRule="auto"/>
              <w:ind w:firstLine="480" w:firstLineChars="200"/>
              <w:jc w:val="left"/>
              <w:rPr>
                <w:rFonts w:hint="default" w:ascii="Times New Roman" w:hAnsi="Times New Roman" w:cs="Times New Roman"/>
                <w:b w:val="0"/>
                <w:bCs w:val="0"/>
                <w:color w:val="auto"/>
                <w:kern w:val="0"/>
                <w:sz w:val="24"/>
                <w:lang w:val="en-US" w:eastAsia="zh-CN"/>
              </w:rPr>
            </w:pPr>
            <w:r>
              <w:rPr>
                <w:rFonts w:hint="default" w:ascii="Times New Roman" w:hAnsi="Times New Roman" w:cs="Times New Roman"/>
                <w:b w:val="0"/>
                <w:bCs w:val="0"/>
                <w:color w:val="auto"/>
                <w:kern w:val="0"/>
                <w:sz w:val="24"/>
                <w:lang w:val="en-US" w:eastAsia="zh-CN"/>
              </w:rPr>
              <w:t>d.处理过程不产生二次污染。</w:t>
            </w:r>
          </w:p>
          <w:p w14:paraId="240058B3">
            <w:pPr>
              <w:autoSpaceDE w:val="0"/>
              <w:autoSpaceDN w:val="0"/>
              <w:adjustRightInd w:val="0"/>
              <w:spacing w:line="360" w:lineRule="auto"/>
              <w:ind w:firstLine="482" w:firstLineChars="200"/>
              <w:jc w:val="left"/>
              <w:rPr>
                <w:rFonts w:hint="eastAsia" w:ascii="宋体" w:hAnsi="宋体" w:cs="宋体"/>
                <w:color w:val="auto"/>
                <w:kern w:val="0"/>
                <w:sz w:val="24"/>
              </w:rPr>
            </w:pPr>
            <w:r>
              <w:rPr>
                <w:rFonts w:hint="eastAsia" w:ascii="宋体" w:hAnsi="宋体" w:cs="宋体"/>
                <w:b/>
                <w:bCs/>
                <w:color w:val="auto"/>
                <w:kern w:val="0"/>
                <w:sz w:val="24"/>
                <w:lang w:val="en-US" w:eastAsia="zh-CN"/>
              </w:rPr>
              <w:t>出水消毒</w:t>
            </w:r>
            <w:r>
              <w:rPr>
                <w:rFonts w:hint="eastAsia" w:ascii="宋体" w:hAnsi="宋体" w:cs="宋体"/>
                <w:b/>
                <w:bCs/>
                <w:color w:val="auto"/>
                <w:kern w:val="0"/>
                <w:sz w:val="24"/>
              </w:rPr>
              <w:t>：</w:t>
            </w:r>
            <w:r>
              <w:rPr>
                <w:rFonts w:hint="eastAsia" w:ascii="宋体" w:hAnsi="宋体" w:cs="宋体"/>
                <w:color w:val="auto"/>
                <w:kern w:val="0"/>
                <w:sz w:val="24"/>
              </w:rPr>
              <w:t>根据《城市污水处理工程项目建议标准》第二十二条规定：为保证公共卫生安全，防治传染性疾病传播，城市污水处理厂应设立消毒设施。污水厂出水消毒工艺应根据污水水质与受纳水体功能要求综合考虑确定，宜采用加氯消毒或其它的有效措施。目前，国内采用的药剂主要有液氯、臭氧、二氧化氯、紫外线等。结合国内各城市污水处理厂消毒实例，</w:t>
            </w:r>
            <w:r>
              <w:rPr>
                <w:rFonts w:hint="eastAsia" w:ascii="宋体" w:hAnsi="宋体" w:cs="宋体"/>
                <w:b/>
                <w:bCs/>
                <w:color w:val="auto"/>
                <w:kern w:val="0"/>
                <w:sz w:val="24"/>
              </w:rPr>
              <w:t>本次采用紫外线消毒作为本污水处理厂的消毒方式</w:t>
            </w:r>
            <w:r>
              <w:rPr>
                <w:rFonts w:hint="eastAsia" w:ascii="宋体" w:hAnsi="宋体" w:cs="宋体"/>
                <w:color w:val="auto"/>
                <w:kern w:val="0"/>
                <w:sz w:val="24"/>
              </w:rPr>
              <w:t>。</w:t>
            </w:r>
          </w:p>
          <w:p w14:paraId="390D8F65">
            <w:pPr>
              <w:pStyle w:val="6"/>
              <w:spacing w:line="360" w:lineRule="auto"/>
              <w:rPr>
                <w:rFonts w:hint="eastAsia" w:ascii="Times New Roman" w:hAnsi="Times New Roman" w:eastAsia="宋体" w:cs="Times New Roman"/>
                <w:b/>
                <w:bCs/>
                <w:color w:val="auto"/>
                <w:kern w:val="0"/>
                <w:sz w:val="24"/>
                <w:szCs w:val="24"/>
                <w:u w:val="single"/>
                <w:lang w:val="en-US" w:eastAsia="zh-CN" w:bidi="ar-SA"/>
              </w:rPr>
            </w:pPr>
            <w:r>
              <w:rPr>
                <w:rFonts w:hint="eastAsia" w:ascii="Times New Roman" w:hAnsi="Times New Roman" w:eastAsia="宋体" w:cs="Times New Roman"/>
                <w:b/>
                <w:bCs/>
                <w:color w:val="auto"/>
                <w:kern w:val="0"/>
                <w:sz w:val="24"/>
                <w:szCs w:val="24"/>
                <w:u w:val="single"/>
                <w:lang w:val="en-US" w:eastAsia="zh-CN" w:bidi="ar-SA"/>
              </w:rPr>
              <w:t>污水处理工艺比选：</w:t>
            </w:r>
          </w:p>
          <w:p w14:paraId="7C0E311D">
            <w:pPr>
              <w:pStyle w:val="6"/>
              <w:spacing w:line="360" w:lineRule="auto"/>
              <w:rPr>
                <w:rFonts w:hint="eastAsia" w:ascii="Times New Roman" w:hAnsi="Times New Roman" w:eastAsia="宋体" w:cs="Times New Roman"/>
                <w:b w:val="0"/>
                <w:bCs w:val="0"/>
                <w:color w:val="auto"/>
                <w:kern w:val="0"/>
                <w:sz w:val="24"/>
                <w:szCs w:val="24"/>
                <w:u w:val="single"/>
                <w:lang w:val="en-US" w:eastAsia="zh-CN" w:bidi="ar-SA"/>
              </w:rPr>
            </w:pPr>
            <w:r>
              <w:rPr>
                <w:rFonts w:hint="eastAsia" w:ascii="Times New Roman" w:hAnsi="Times New Roman" w:eastAsia="宋体" w:cs="Times New Roman"/>
                <w:b w:val="0"/>
                <w:bCs w:val="0"/>
                <w:color w:val="auto"/>
                <w:kern w:val="0"/>
                <w:sz w:val="24"/>
                <w:szCs w:val="24"/>
                <w:u w:val="single"/>
                <w:lang w:val="en-US" w:eastAsia="zh-CN" w:bidi="ar-SA"/>
              </w:rPr>
              <w:t>污水处理工艺的选用应根据污水进出水水质、处理程度的要求、用地面积和工程规模等多因素综合考虑，适宜的污水处理工艺不仅可以降低工程投资，还有利于污水处理站的运行管理以及减少污水处理站的经营费用，保证出厂水水质。</w:t>
            </w:r>
          </w:p>
          <w:p w14:paraId="55FC0570">
            <w:pPr>
              <w:keepNext w:val="0"/>
              <w:keepLines w:val="0"/>
              <w:pageBreakBefore w:val="0"/>
              <w:widowControl w:val="0"/>
              <w:kinsoku/>
              <w:wordWrap/>
              <w:overflowPunct/>
              <w:topLinePunct w:val="0"/>
              <w:autoSpaceDE/>
              <w:autoSpaceDN/>
              <w:bidi w:val="0"/>
              <w:adjustRightInd/>
              <w:snapToGrid/>
              <w:spacing w:before="48" w:beforeLines="15" w:after="48" w:afterLines="15" w:line="240" w:lineRule="auto"/>
              <w:jc w:val="center"/>
              <w:textAlignment w:val="auto"/>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表4-</w:t>
            </w:r>
            <w:r>
              <w:rPr>
                <w:rFonts w:hint="eastAsia" w:cs="Times New Roman"/>
                <w:b/>
                <w:bCs/>
                <w:color w:val="auto"/>
                <w:u w:val="single"/>
                <w:lang w:val="en-US" w:eastAsia="zh-CN"/>
              </w:rPr>
              <w:t>5</w:t>
            </w:r>
            <w:r>
              <w:rPr>
                <w:rFonts w:hint="eastAsia" w:ascii="Times New Roman" w:hAnsi="Times New Roman" w:eastAsia="宋体" w:cs="Times New Roman"/>
                <w:b/>
                <w:bCs/>
                <w:color w:val="auto"/>
                <w:u w:val="single"/>
                <w:lang w:val="en-US" w:eastAsia="zh-CN"/>
              </w:rPr>
              <w:t xml:space="preserve"> 污染物排放一览表</w:t>
            </w:r>
          </w:p>
          <w:tbl>
            <w:tblPr>
              <w:tblStyle w:val="32"/>
              <w:tblW w:w="865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84"/>
              <w:gridCol w:w="2008"/>
              <w:gridCol w:w="2284"/>
              <w:gridCol w:w="2376"/>
            </w:tblGrid>
            <w:tr w14:paraId="60A299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1984" w:type="dxa"/>
                  <w:tcBorders>
                    <w:tl2br w:val="nil"/>
                    <w:tr2bl w:val="nil"/>
                  </w:tcBorders>
                  <w:vAlign w:val="center"/>
                </w:tcPr>
                <w:p w14:paraId="59FD4B4E">
                  <w:pPr>
                    <w:jc w:val="center"/>
                    <w:rPr>
                      <w:rFonts w:hint="eastAsia" w:eastAsia="宋体"/>
                      <w:b/>
                      <w:bCs/>
                      <w:color w:val="auto"/>
                      <w:sz w:val="21"/>
                      <w:szCs w:val="21"/>
                      <w:u w:val="single"/>
                      <w:lang w:eastAsia="zh-CN"/>
                    </w:rPr>
                  </w:pPr>
                  <w:r>
                    <w:rPr>
                      <w:rFonts w:hint="eastAsia"/>
                      <w:b/>
                      <w:bCs/>
                      <w:color w:val="auto"/>
                      <w:sz w:val="21"/>
                      <w:szCs w:val="21"/>
                      <w:u w:val="single"/>
                      <w:lang w:eastAsia="zh-CN"/>
                    </w:rPr>
                    <w:t>比较项目</w:t>
                  </w:r>
                </w:p>
              </w:tc>
              <w:tc>
                <w:tcPr>
                  <w:tcW w:w="2008" w:type="dxa"/>
                  <w:tcBorders>
                    <w:tl2br w:val="nil"/>
                    <w:tr2bl w:val="nil"/>
                  </w:tcBorders>
                  <w:vAlign w:val="center"/>
                </w:tcPr>
                <w:p w14:paraId="13C0F5C7">
                  <w:pPr>
                    <w:jc w:val="center"/>
                    <w:rPr>
                      <w:rFonts w:hint="default" w:eastAsia="宋体"/>
                      <w:b/>
                      <w:bCs/>
                      <w:color w:val="auto"/>
                      <w:sz w:val="21"/>
                      <w:szCs w:val="21"/>
                      <w:u w:val="single"/>
                      <w:lang w:val="en-US" w:eastAsia="zh-CN"/>
                    </w:rPr>
                  </w:pPr>
                  <w:r>
                    <w:rPr>
                      <w:rFonts w:hint="eastAsia"/>
                      <w:b/>
                      <w:bCs/>
                      <w:color w:val="auto"/>
                      <w:sz w:val="21"/>
                      <w:szCs w:val="21"/>
                      <w:u w:val="single"/>
                      <w:lang w:val="en-US" w:eastAsia="zh-CN"/>
                    </w:rPr>
                    <w:t>A/A/O工艺</w:t>
                  </w:r>
                </w:p>
              </w:tc>
              <w:tc>
                <w:tcPr>
                  <w:tcW w:w="2284" w:type="dxa"/>
                  <w:tcBorders>
                    <w:tl2br w:val="nil"/>
                    <w:tr2bl w:val="nil"/>
                  </w:tcBorders>
                  <w:vAlign w:val="center"/>
                </w:tcPr>
                <w:p w14:paraId="029CE222">
                  <w:pPr>
                    <w:jc w:val="center"/>
                    <w:rPr>
                      <w:rFonts w:hint="eastAsia" w:eastAsia="宋体"/>
                      <w:b/>
                      <w:bCs/>
                      <w:color w:val="auto"/>
                      <w:sz w:val="21"/>
                      <w:szCs w:val="21"/>
                      <w:u w:val="single"/>
                      <w:lang w:eastAsia="zh-CN"/>
                    </w:rPr>
                  </w:pPr>
                  <w:r>
                    <w:rPr>
                      <w:rFonts w:hint="eastAsia"/>
                      <w:b/>
                      <w:bCs/>
                      <w:color w:val="auto"/>
                      <w:sz w:val="21"/>
                      <w:szCs w:val="21"/>
                      <w:u w:val="single"/>
                      <w:lang w:eastAsia="zh-CN"/>
                    </w:rPr>
                    <w:t>改良型氧化沟工艺</w:t>
                  </w:r>
                </w:p>
              </w:tc>
              <w:tc>
                <w:tcPr>
                  <w:tcW w:w="2376" w:type="dxa"/>
                  <w:tcBorders>
                    <w:tl2br w:val="nil"/>
                    <w:tr2bl w:val="nil"/>
                  </w:tcBorders>
                  <w:vAlign w:val="center"/>
                </w:tcPr>
                <w:p w14:paraId="4D8401A5">
                  <w:pPr>
                    <w:jc w:val="center"/>
                    <w:rPr>
                      <w:rFonts w:hint="default" w:eastAsia="宋体"/>
                      <w:b/>
                      <w:bCs/>
                      <w:color w:val="auto"/>
                      <w:sz w:val="21"/>
                      <w:szCs w:val="21"/>
                      <w:u w:val="single"/>
                      <w:lang w:val="en-US" w:eastAsia="zh-CN"/>
                    </w:rPr>
                  </w:pPr>
                  <w:r>
                    <w:rPr>
                      <w:rFonts w:hint="eastAsia"/>
                      <w:b/>
                      <w:bCs/>
                      <w:color w:val="auto"/>
                      <w:sz w:val="21"/>
                      <w:szCs w:val="21"/>
                      <w:u w:val="single"/>
                      <w:lang w:val="en-US" w:eastAsia="zh-CN"/>
                    </w:rPr>
                    <w:t>CASS工艺</w:t>
                  </w:r>
                </w:p>
              </w:tc>
            </w:tr>
            <w:tr w14:paraId="3B8A43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984" w:type="dxa"/>
                  <w:tcBorders>
                    <w:tl2br w:val="nil"/>
                    <w:tr2bl w:val="nil"/>
                  </w:tcBorders>
                  <w:vAlign w:val="center"/>
                </w:tcPr>
                <w:p w14:paraId="1AC2FC8E">
                  <w:pPr>
                    <w:jc w:val="center"/>
                    <w:rPr>
                      <w:rFonts w:hint="eastAsia" w:eastAsia="宋体"/>
                      <w:color w:val="auto"/>
                      <w:sz w:val="21"/>
                      <w:szCs w:val="21"/>
                      <w:u w:val="single"/>
                      <w:lang w:eastAsia="zh-CN"/>
                    </w:rPr>
                  </w:pPr>
                  <w:r>
                    <w:rPr>
                      <w:rFonts w:hint="eastAsia"/>
                      <w:color w:val="auto"/>
                      <w:sz w:val="21"/>
                      <w:szCs w:val="21"/>
                      <w:u w:val="single"/>
                      <w:lang w:val="en-US" w:eastAsia="zh-CN"/>
                    </w:rPr>
                    <w:t xml:space="preserve"> </w:t>
                  </w:r>
                  <w:r>
                    <w:rPr>
                      <w:rFonts w:hint="eastAsia"/>
                      <w:color w:val="auto"/>
                      <w:sz w:val="21"/>
                      <w:szCs w:val="21"/>
                      <w:u w:val="single"/>
                      <w:lang w:eastAsia="zh-CN"/>
                    </w:rPr>
                    <w:t>投资</w:t>
                  </w:r>
                </w:p>
              </w:tc>
              <w:tc>
                <w:tcPr>
                  <w:tcW w:w="2008" w:type="dxa"/>
                  <w:tcBorders>
                    <w:tl2br w:val="nil"/>
                    <w:tr2bl w:val="nil"/>
                  </w:tcBorders>
                  <w:vAlign w:val="center"/>
                </w:tcPr>
                <w:p w14:paraId="46F5E5A1">
                  <w:pPr>
                    <w:jc w:val="center"/>
                    <w:rPr>
                      <w:rFonts w:hint="eastAsia" w:eastAsia="宋体"/>
                      <w:color w:val="auto"/>
                      <w:sz w:val="21"/>
                      <w:szCs w:val="21"/>
                      <w:highlight w:val="none"/>
                      <w:u w:val="single"/>
                      <w:lang w:eastAsia="zh-CN"/>
                    </w:rPr>
                  </w:pPr>
                  <w:r>
                    <w:rPr>
                      <w:rFonts w:hint="eastAsia"/>
                      <w:color w:val="auto"/>
                      <w:sz w:val="21"/>
                      <w:szCs w:val="21"/>
                      <w:highlight w:val="none"/>
                      <w:u w:val="single"/>
                      <w:lang w:eastAsia="zh-CN"/>
                    </w:rPr>
                    <w:t>大（需鼓风机房）</w:t>
                  </w:r>
                </w:p>
              </w:tc>
              <w:tc>
                <w:tcPr>
                  <w:tcW w:w="2284" w:type="dxa"/>
                  <w:tcBorders>
                    <w:tl2br w:val="nil"/>
                    <w:tr2bl w:val="nil"/>
                  </w:tcBorders>
                  <w:vAlign w:val="center"/>
                </w:tcPr>
                <w:p w14:paraId="52CCF7BE">
                  <w:pPr>
                    <w:jc w:val="center"/>
                    <w:rPr>
                      <w:rFonts w:hint="eastAsia" w:eastAsia="宋体"/>
                      <w:color w:val="auto"/>
                      <w:sz w:val="21"/>
                      <w:szCs w:val="21"/>
                      <w:highlight w:val="none"/>
                      <w:u w:val="single"/>
                      <w:lang w:eastAsia="zh-CN"/>
                    </w:rPr>
                  </w:pPr>
                  <w:r>
                    <w:rPr>
                      <w:rFonts w:hint="eastAsia"/>
                      <w:color w:val="auto"/>
                      <w:sz w:val="21"/>
                      <w:szCs w:val="21"/>
                      <w:highlight w:val="none"/>
                      <w:u w:val="single"/>
                      <w:lang w:eastAsia="zh-CN"/>
                    </w:rPr>
                    <w:t>无需鼓风机房</w:t>
                  </w:r>
                </w:p>
              </w:tc>
              <w:tc>
                <w:tcPr>
                  <w:tcW w:w="2376" w:type="dxa"/>
                  <w:tcBorders>
                    <w:tl2br w:val="nil"/>
                    <w:tr2bl w:val="nil"/>
                  </w:tcBorders>
                  <w:vAlign w:val="center"/>
                </w:tcPr>
                <w:p w14:paraId="620F157D">
                  <w:pPr>
                    <w:jc w:val="center"/>
                    <w:rPr>
                      <w:rFonts w:hint="eastAsia" w:eastAsia="宋体"/>
                      <w:color w:val="auto"/>
                      <w:sz w:val="21"/>
                      <w:szCs w:val="21"/>
                      <w:highlight w:val="none"/>
                      <w:u w:val="single"/>
                      <w:lang w:eastAsia="zh-CN"/>
                    </w:rPr>
                  </w:pPr>
                  <w:r>
                    <w:rPr>
                      <w:rFonts w:hint="eastAsia"/>
                      <w:color w:val="auto"/>
                      <w:sz w:val="21"/>
                      <w:szCs w:val="21"/>
                      <w:highlight w:val="none"/>
                      <w:u w:val="single"/>
                      <w:lang w:eastAsia="zh-CN"/>
                    </w:rPr>
                    <w:t>大（需鼓风机房）</w:t>
                  </w:r>
                </w:p>
              </w:tc>
            </w:tr>
            <w:tr w14:paraId="35678B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1984" w:type="dxa"/>
                  <w:tcBorders>
                    <w:tl2br w:val="nil"/>
                    <w:tr2bl w:val="nil"/>
                  </w:tcBorders>
                  <w:vAlign w:val="center"/>
                </w:tcPr>
                <w:p w14:paraId="6D1EBD7A">
                  <w:pPr>
                    <w:jc w:val="center"/>
                    <w:rPr>
                      <w:rFonts w:hint="eastAsia"/>
                      <w:color w:val="auto"/>
                      <w:sz w:val="21"/>
                      <w:szCs w:val="21"/>
                      <w:u w:val="single"/>
                      <w:lang w:val="en-US" w:eastAsia="zh-CN"/>
                    </w:rPr>
                  </w:pPr>
                  <w:r>
                    <w:rPr>
                      <w:rFonts w:hint="eastAsia"/>
                      <w:color w:val="auto"/>
                      <w:sz w:val="21"/>
                      <w:szCs w:val="21"/>
                      <w:u w:val="single"/>
                      <w:lang w:val="en-US" w:eastAsia="zh-CN"/>
                    </w:rPr>
                    <w:t>运行电耗</w:t>
                  </w:r>
                </w:p>
              </w:tc>
              <w:tc>
                <w:tcPr>
                  <w:tcW w:w="2008" w:type="dxa"/>
                  <w:tcBorders>
                    <w:tl2br w:val="nil"/>
                    <w:tr2bl w:val="nil"/>
                  </w:tcBorders>
                  <w:vAlign w:val="center"/>
                </w:tcPr>
                <w:p w14:paraId="7B72BDEE">
                  <w:pPr>
                    <w:jc w:val="center"/>
                    <w:rPr>
                      <w:rFonts w:hint="eastAsia" w:eastAsia="宋体"/>
                      <w:color w:val="auto"/>
                      <w:sz w:val="21"/>
                      <w:szCs w:val="21"/>
                      <w:highlight w:val="none"/>
                      <w:u w:val="single"/>
                      <w:lang w:eastAsia="zh-CN"/>
                    </w:rPr>
                  </w:pPr>
                  <w:r>
                    <w:rPr>
                      <w:rFonts w:hint="eastAsia"/>
                      <w:color w:val="auto"/>
                      <w:sz w:val="21"/>
                      <w:szCs w:val="21"/>
                      <w:highlight w:val="none"/>
                      <w:u w:val="single"/>
                      <w:lang w:eastAsia="zh-CN"/>
                    </w:rPr>
                    <w:t>低</w:t>
                  </w:r>
                </w:p>
              </w:tc>
              <w:tc>
                <w:tcPr>
                  <w:tcW w:w="2284" w:type="dxa"/>
                  <w:tcBorders>
                    <w:tl2br w:val="nil"/>
                    <w:tr2bl w:val="nil"/>
                  </w:tcBorders>
                  <w:vAlign w:val="center"/>
                </w:tcPr>
                <w:p w14:paraId="1DAA579A">
                  <w:pPr>
                    <w:jc w:val="center"/>
                    <w:rPr>
                      <w:rFonts w:hint="eastAsia" w:eastAsia="宋体"/>
                      <w:color w:val="auto"/>
                      <w:sz w:val="21"/>
                      <w:szCs w:val="21"/>
                      <w:highlight w:val="none"/>
                      <w:u w:val="single"/>
                      <w:lang w:eastAsia="zh-CN"/>
                    </w:rPr>
                  </w:pPr>
                  <w:r>
                    <w:rPr>
                      <w:rFonts w:hint="eastAsia"/>
                      <w:color w:val="auto"/>
                      <w:sz w:val="21"/>
                      <w:szCs w:val="21"/>
                      <w:highlight w:val="none"/>
                      <w:u w:val="single"/>
                      <w:lang w:eastAsia="zh-CN"/>
                    </w:rPr>
                    <w:t>高</w:t>
                  </w:r>
                </w:p>
              </w:tc>
              <w:tc>
                <w:tcPr>
                  <w:tcW w:w="2376" w:type="dxa"/>
                  <w:tcBorders>
                    <w:tl2br w:val="nil"/>
                    <w:tr2bl w:val="nil"/>
                  </w:tcBorders>
                  <w:vAlign w:val="center"/>
                </w:tcPr>
                <w:p w14:paraId="20ABC87C">
                  <w:pPr>
                    <w:jc w:val="center"/>
                    <w:rPr>
                      <w:rFonts w:hint="eastAsia" w:eastAsia="宋体"/>
                      <w:color w:val="auto"/>
                      <w:sz w:val="21"/>
                      <w:szCs w:val="21"/>
                      <w:highlight w:val="none"/>
                      <w:u w:val="single"/>
                      <w:lang w:eastAsia="zh-CN"/>
                    </w:rPr>
                  </w:pPr>
                  <w:r>
                    <w:rPr>
                      <w:rFonts w:hint="eastAsia"/>
                      <w:color w:val="auto"/>
                      <w:sz w:val="21"/>
                      <w:szCs w:val="21"/>
                      <w:highlight w:val="none"/>
                      <w:u w:val="single"/>
                      <w:lang w:eastAsia="zh-CN"/>
                    </w:rPr>
                    <w:t>中</w:t>
                  </w:r>
                </w:p>
              </w:tc>
            </w:tr>
            <w:tr w14:paraId="52DD2E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984" w:type="dxa"/>
                  <w:tcBorders>
                    <w:tl2br w:val="nil"/>
                    <w:tr2bl w:val="nil"/>
                  </w:tcBorders>
                  <w:vAlign w:val="center"/>
                </w:tcPr>
                <w:p w14:paraId="048F12BD">
                  <w:pPr>
                    <w:jc w:val="center"/>
                    <w:rPr>
                      <w:rFonts w:hint="eastAsia"/>
                      <w:color w:val="auto"/>
                      <w:sz w:val="21"/>
                      <w:szCs w:val="21"/>
                      <w:u w:val="single"/>
                      <w:lang w:val="en-US" w:eastAsia="zh-CN"/>
                    </w:rPr>
                  </w:pPr>
                  <w:r>
                    <w:rPr>
                      <w:rFonts w:hint="eastAsia"/>
                      <w:color w:val="auto"/>
                      <w:sz w:val="21"/>
                      <w:szCs w:val="21"/>
                      <w:u w:val="single"/>
                      <w:lang w:val="en-US" w:eastAsia="zh-CN"/>
                    </w:rPr>
                    <w:t>工艺流程</w:t>
                  </w:r>
                </w:p>
              </w:tc>
              <w:tc>
                <w:tcPr>
                  <w:tcW w:w="2008" w:type="dxa"/>
                  <w:tcBorders>
                    <w:tl2br w:val="nil"/>
                    <w:tr2bl w:val="nil"/>
                  </w:tcBorders>
                  <w:vAlign w:val="center"/>
                </w:tcPr>
                <w:p w14:paraId="125A3528">
                  <w:pPr>
                    <w:jc w:val="center"/>
                    <w:rPr>
                      <w:rFonts w:hint="eastAsia" w:eastAsia="宋体"/>
                      <w:color w:val="auto"/>
                      <w:sz w:val="21"/>
                      <w:szCs w:val="21"/>
                      <w:highlight w:val="none"/>
                      <w:u w:val="single"/>
                      <w:lang w:eastAsia="zh-CN"/>
                    </w:rPr>
                  </w:pPr>
                  <w:r>
                    <w:rPr>
                      <w:rFonts w:hint="eastAsia"/>
                      <w:color w:val="auto"/>
                      <w:sz w:val="21"/>
                      <w:szCs w:val="21"/>
                      <w:highlight w:val="none"/>
                      <w:u w:val="single"/>
                      <w:lang w:eastAsia="zh-CN"/>
                    </w:rPr>
                    <w:t>最简单</w:t>
                  </w:r>
                </w:p>
              </w:tc>
              <w:tc>
                <w:tcPr>
                  <w:tcW w:w="2284" w:type="dxa"/>
                  <w:tcBorders>
                    <w:tl2br w:val="nil"/>
                    <w:tr2bl w:val="nil"/>
                  </w:tcBorders>
                  <w:vAlign w:val="center"/>
                </w:tcPr>
                <w:p w14:paraId="7DFF04C6">
                  <w:pPr>
                    <w:jc w:val="center"/>
                    <w:rPr>
                      <w:rFonts w:hint="eastAsia" w:eastAsia="宋体"/>
                      <w:color w:val="auto"/>
                      <w:sz w:val="21"/>
                      <w:szCs w:val="21"/>
                      <w:highlight w:val="none"/>
                      <w:u w:val="single"/>
                      <w:lang w:eastAsia="zh-CN"/>
                    </w:rPr>
                  </w:pPr>
                  <w:r>
                    <w:rPr>
                      <w:rFonts w:hint="eastAsia"/>
                      <w:color w:val="auto"/>
                      <w:sz w:val="21"/>
                      <w:szCs w:val="21"/>
                      <w:highlight w:val="none"/>
                      <w:u w:val="single"/>
                      <w:lang w:eastAsia="zh-CN"/>
                    </w:rPr>
                    <w:t>较简单</w:t>
                  </w:r>
                </w:p>
              </w:tc>
              <w:tc>
                <w:tcPr>
                  <w:tcW w:w="2376" w:type="dxa"/>
                  <w:tcBorders>
                    <w:tl2br w:val="nil"/>
                    <w:tr2bl w:val="nil"/>
                  </w:tcBorders>
                  <w:vAlign w:val="center"/>
                </w:tcPr>
                <w:p w14:paraId="724324EB">
                  <w:pPr>
                    <w:jc w:val="center"/>
                    <w:rPr>
                      <w:rFonts w:hint="eastAsia" w:eastAsia="宋体"/>
                      <w:color w:val="auto"/>
                      <w:sz w:val="21"/>
                      <w:szCs w:val="21"/>
                      <w:highlight w:val="none"/>
                      <w:u w:val="single"/>
                      <w:lang w:eastAsia="zh-CN"/>
                    </w:rPr>
                  </w:pPr>
                  <w:r>
                    <w:rPr>
                      <w:rFonts w:hint="eastAsia"/>
                      <w:color w:val="auto"/>
                      <w:sz w:val="21"/>
                      <w:szCs w:val="21"/>
                      <w:highlight w:val="none"/>
                      <w:u w:val="single"/>
                      <w:lang w:eastAsia="zh-CN"/>
                    </w:rPr>
                    <w:t>简单</w:t>
                  </w:r>
                </w:p>
              </w:tc>
            </w:tr>
            <w:tr w14:paraId="2582B4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984" w:type="dxa"/>
                  <w:tcBorders>
                    <w:tl2br w:val="nil"/>
                    <w:tr2bl w:val="nil"/>
                  </w:tcBorders>
                  <w:vAlign w:val="center"/>
                </w:tcPr>
                <w:p w14:paraId="123D2051">
                  <w:pPr>
                    <w:jc w:val="center"/>
                    <w:rPr>
                      <w:rFonts w:hint="eastAsia"/>
                      <w:color w:val="auto"/>
                      <w:sz w:val="21"/>
                      <w:szCs w:val="21"/>
                      <w:u w:val="single"/>
                      <w:lang w:val="en-US" w:eastAsia="zh-CN"/>
                    </w:rPr>
                  </w:pPr>
                  <w:r>
                    <w:rPr>
                      <w:rFonts w:hint="eastAsia"/>
                      <w:color w:val="auto"/>
                      <w:sz w:val="21"/>
                      <w:szCs w:val="21"/>
                      <w:u w:val="single"/>
                      <w:lang w:val="en-US" w:eastAsia="zh-CN"/>
                    </w:rPr>
                    <w:t>处理效果</w:t>
                  </w:r>
                </w:p>
              </w:tc>
              <w:tc>
                <w:tcPr>
                  <w:tcW w:w="2008" w:type="dxa"/>
                  <w:tcBorders>
                    <w:tl2br w:val="nil"/>
                    <w:tr2bl w:val="nil"/>
                  </w:tcBorders>
                  <w:vAlign w:val="center"/>
                </w:tcPr>
                <w:p w14:paraId="0D5D6A6C">
                  <w:pPr>
                    <w:jc w:val="center"/>
                    <w:rPr>
                      <w:rFonts w:hint="eastAsia" w:eastAsia="宋体"/>
                      <w:color w:val="auto"/>
                      <w:sz w:val="21"/>
                      <w:szCs w:val="21"/>
                      <w:highlight w:val="none"/>
                      <w:u w:val="single"/>
                      <w:lang w:eastAsia="zh-CN"/>
                    </w:rPr>
                  </w:pPr>
                  <w:r>
                    <w:rPr>
                      <w:rFonts w:hint="eastAsia"/>
                      <w:color w:val="auto"/>
                      <w:sz w:val="21"/>
                      <w:szCs w:val="21"/>
                      <w:highlight w:val="none"/>
                      <w:u w:val="single"/>
                      <w:lang w:eastAsia="zh-CN"/>
                    </w:rPr>
                    <w:t>稳定</w:t>
                  </w:r>
                </w:p>
              </w:tc>
              <w:tc>
                <w:tcPr>
                  <w:tcW w:w="2284" w:type="dxa"/>
                  <w:tcBorders>
                    <w:tl2br w:val="nil"/>
                    <w:tr2bl w:val="nil"/>
                  </w:tcBorders>
                  <w:vAlign w:val="center"/>
                </w:tcPr>
                <w:p w14:paraId="06B3B561">
                  <w:pPr>
                    <w:jc w:val="center"/>
                    <w:rPr>
                      <w:rFonts w:hint="eastAsia" w:eastAsia="宋体"/>
                      <w:color w:val="auto"/>
                      <w:sz w:val="21"/>
                      <w:szCs w:val="21"/>
                      <w:highlight w:val="none"/>
                      <w:u w:val="single"/>
                      <w:lang w:eastAsia="zh-CN"/>
                    </w:rPr>
                  </w:pPr>
                  <w:r>
                    <w:rPr>
                      <w:rFonts w:hint="eastAsia"/>
                      <w:color w:val="auto"/>
                      <w:sz w:val="21"/>
                      <w:szCs w:val="21"/>
                      <w:highlight w:val="none"/>
                      <w:u w:val="single"/>
                      <w:lang w:eastAsia="zh-CN"/>
                    </w:rPr>
                    <w:t>较稳定</w:t>
                  </w:r>
                </w:p>
              </w:tc>
              <w:tc>
                <w:tcPr>
                  <w:tcW w:w="2376" w:type="dxa"/>
                  <w:tcBorders>
                    <w:tl2br w:val="nil"/>
                    <w:tr2bl w:val="nil"/>
                  </w:tcBorders>
                  <w:vAlign w:val="center"/>
                </w:tcPr>
                <w:p w14:paraId="0380DC84">
                  <w:pPr>
                    <w:jc w:val="center"/>
                    <w:rPr>
                      <w:rFonts w:hint="eastAsia" w:eastAsia="宋体"/>
                      <w:color w:val="auto"/>
                      <w:sz w:val="21"/>
                      <w:szCs w:val="21"/>
                      <w:highlight w:val="none"/>
                      <w:u w:val="single"/>
                      <w:lang w:eastAsia="zh-CN"/>
                    </w:rPr>
                  </w:pPr>
                  <w:r>
                    <w:rPr>
                      <w:rFonts w:hint="eastAsia"/>
                      <w:color w:val="auto"/>
                      <w:sz w:val="21"/>
                      <w:szCs w:val="21"/>
                      <w:highlight w:val="none"/>
                      <w:u w:val="single"/>
                      <w:lang w:eastAsia="zh-CN"/>
                    </w:rPr>
                    <w:t>稳定</w:t>
                  </w:r>
                </w:p>
              </w:tc>
            </w:tr>
            <w:tr w14:paraId="149CE4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984" w:type="dxa"/>
                  <w:tcBorders>
                    <w:tl2br w:val="nil"/>
                    <w:tr2bl w:val="nil"/>
                  </w:tcBorders>
                  <w:vAlign w:val="center"/>
                </w:tcPr>
                <w:p w14:paraId="09EDE199">
                  <w:pPr>
                    <w:jc w:val="center"/>
                    <w:rPr>
                      <w:rFonts w:hint="eastAsia"/>
                      <w:color w:val="auto"/>
                      <w:sz w:val="21"/>
                      <w:szCs w:val="21"/>
                      <w:u w:val="single"/>
                      <w:lang w:val="en-US" w:eastAsia="zh-CN"/>
                    </w:rPr>
                  </w:pPr>
                  <w:r>
                    <w:rPr>
                      <w:rFonts w:hint="eastAsia"/>
                      <w:color w:val="auto"/>
                      <w:sz w:val="21"/>
                      <w:szCs w:val="21"/>
                      <w:u w:val="single"/>
                      <w:lang w:val="en-US" w:eastAsia="zh-CN"/>
                    </w:rPr>
                    <w:t>出水水质</w:t>
                  </w:r>
                </w:p>
              </w:tc>
              <w:tc>
                <w:tcPr>
                  <w:tcW w:w="2008" w:type="dxa"/>
                  <w:tcBorders>
                    <w:tl2br w:val="nil"/>
                    <w:tr2bl w:val="nil"/>
                  </w:tcBorders>
                  <w:vAlign w:val="center"/>
                </w:tcPr>
                <w:p w14:paraId="1DEB5C27">
                  <w:pPr>
                    <w:jc w:val="center"/>
                    <w:rPr>
                      <w:rFonts w:hint="eastAsia" w:eastAsia="宋体"/>
                      <w:color w:val="auto"/>
                      <w:sz w:val="21"/>
                      <w:szCs w:val="21"/>
                      <w:highlight w:val="none"/>
                      <w:u w:val="single"/>
                      <w:lang w:eastAsia="zh-CN"/>
                    </w:rPr>
                  </w:pPr>
                  <w:r>
                    <w:rPr>
                      <w:rFonts w:hint="eastAsia"/>
                      <w:color w:val="auto"/>
                      <w:sz w:val="21"/>
                      <w:szCs w:val="21"/>
                      <w:highlight w:val="none"/>
                      <w:u w:val="single"/>
                      <w:lang w:eastAsia="zh-CN"/>
                    </w:rPr>
                    <w:t>好</w:t>
                  </w:r>
                </w:p>
              </w:tc>
              <w:tc>
                <w:tcPr>
                  <w:tcW w:w="2284" w:type="dxa"/>
                  <w:tcBorders>
                    <w:tl2br w:val="nil"/>
                    <w:tr2bl w:val="nil"/>
                  </w:tcBorders>
                  <w:vAlign w:val="center"/>
                </w:tcPr>
                <w:p w14:paraId="1F813084">
                  <w:pPr>
                    <w:jc w:val="center"/>
                    <w:rPr>
                      <w:rFonts w:hint="eastAsia" w:eastAsia="宋体"/>
                      <w:color w:val="auto"/>
                      <w:sz w:val="21"/>
                      <w:szCs w:val="21"/>
                      <w:highlight w:val="none"/>
                      <w:u w:val="single"/>
                      <w:lang w:eastAsia="zh-CN"/>
                    </w:rPr>
                  </w:pPr>
                  <w:r>
                    <w:rPr>
                      <w:rFonts w:hint="eastAsia"/>
                      <w:color w:val="auto"/>
                      <w:sz w:val="21"/>
                      <w:szCs w:val="21"/>
                      <w:highlight w:val="none"/>
                      <w:u w:val="single"/>
                      <w:lang w:eastAsia="zh-CN"/>
                    </w:rPr>
                    <w:t>好</w:t>
                  </w:r>
                </w:p>
              </w:tc>
              <w:tc>
                <w:tcPr>
                  <w:tcW w:w="2376" w:type="dxa"/>
                  <w:tcBorders>
                    <w:tl2br w:val="nil"/>
                    <w:tr2bl w:val="nil"/>
                  </w:tcBorders>
                  <w:vAlign w:val="center"/>
                </w:tcPr>
                <w:p w14:paraId="35480490">
                  <w:pPr>
                    <w:jc w:val="center"/>
                    <w:rPr>
                      <w:rFonts w:hint="eastAsia" w:eastAsia="宋体"/>
                      <w:color w:val="auto"/>
                      <w:sz w:val="21"/>
                      <w:szCs w:val="21"/>
                      <w:highlight w:val="none"/>
                      <w:u w:val="single"/>
                      <w:lang w:eastAsia="zh-CN"/>
                    </w:rPr>
                  </w:pPr>
                  <w:r>
                    <w:rPr>
                      <w:rFonts w:hint="eastAsia"/>
                      <w:color w:val="auto"/>
                      <w:sz w:val="21"/>
                      <w:szCs w:val="21"/>
                      <w:highlight w:val="none"/>
                      <w:u w:val="single"/>
                      <w:lang w:eastAsia="zh-CN"/>
                    </w:rPr>
                    <w:t>好</w:t>
                  </w:r>
                </w:p>
              </w:tc>
            </w:tr>
            <w:tr w14:paraId="217950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1984" w:type="dxa"/>
                  <w:tcBorders>
                    <w:tl2br w:val="nil"/>
                    <w:tr2bl w:val="nil"/>
                  </w:tcBorders>
                  <w:vAlign w:val="center"/>
                </w:tcPr>
                <w:p w14:paraId="5F8DD45E">
                  <w:pPr>
                    <w:jc w:val="center"/>
                    <w:rPr>
                      <w:rFonts w:hint="eastAsia"/>
                      <w:color w:val="auto"/>
                      <w:sz w:val="21"/>
                      <w:szCs w:val="21"/>
                      <w:u w:val="single"/>
                      <w:lang w:val="en-US" w:eastAsia="zh-CN"/>
                    </w:rPr>
                  </w:pPr>
                  <w:r>
                    <w:rPr>
                      <w:rFonts w:hint="eastAsia"/>
                      <w:color w:val="auto"/>
                      <w:sz w:val="21"/>
                      <w:szCs w:val="21"/>
                      <w:u w:val="single"/>
                      <w:lang w:val="en-US" w:eastAsia="zh-CN"/>
                    </w:rPr>
                    <w:t>除磷脱氮效果</w:t>
                  </w:r>
                </w:p>
              </w:tc>
              <w:tc>
                <w:tcPr>
                  <w:tcW w:w="2008" w:type="dxa"/>
                  <w:tcBorders>
                    <w:tl2br w:val="nil"/>
                    <w:tr2bl w:val="nil"/>
                  </w:tcBorders>
                  <w:vAlign w:val="center"/>
                </w:tcPr>
                <w:p w14:paraId="6CABEBF5">
                  <w:pPr>
                    <w:jc w:val="center"/>
                    <w:rPr>
                      <w:rFonts w:hint="eastAsia" w:eastAsia="宋体"/>
                      <w:color w:val="auto"/>
                      <w:sz w:val="21"/>
                      <w:szCs w:val="21"/>
                      <w:highlight w:val="none"/>
                      <w:u w:val="single"/>
                      <w:lang w:eastAsia="zh-CN"/>
                    </w:rPr>
                  </w:pPr>
                  <w:r>
                    <w:rPr>
                      <w:rFonts w:hint="eastAsia"/>
                      <w:color w:val="auto"/>
                      <w:sz w:val="21"/>
                      <w:szCs w:val="21"/>
                      <w:highlight w:val="none"/>
                      <w:u w:val="single"/>
                      <w:lang w:eastAsia="zh-CN"/>
                    </w:rPr>
                    <w:t>好</w:t>
                  </w:r>
                </w:p>
              </w:tc>
              <w:tc>
                <w:tcPr>
                  <w:tcW w:w="2284" w:type="dxa"/>
                  <w:tcBorders>
                    <w:tl2br w:val="nil"/>
                    <w:tr2bl w:val="nil"/>
                  </w:tcBorders>
                  <w:vAlign w:val="center"/>
                </w:tcPr>
                <w:p w14:paraId="05C8E3A9">
                  <w:pPr>
                    <w:jc w:val="center"/>
                    <w:rPr>
                      <w:rFonts w:hint="eastAsia" w:eastAsia="宋体"/>
                      <w:color w:val="auto"/>
                      <w:sz w:val="21"/>
                      <w:szCs w:val="21"/>
                      <w:highlight w:val="none"/>
                      <w:u w:val="single"/>
                      <w:lang w:eastAsia="zh-CN"/>
                    </w:rPr>
                  </w:pPr>
                  <w:r>
                    <w:rPr>
                      <w:rFonts w:hint="eastAsia"/>
                      <w:color w:val="auto"/>
                      <w:sz w:val="21"/>
                      <w:szCs w:val="21"/>
                      <w:highlight w:val="none"/>
                      <w:u w:val="single"/>
                      <w:lang w:eastAsia="zh-CN"/>
                    </w:rPr>
                    <w:t>好</w:t>
                  </w:r>
                </w:p>
              </w:tc>
              <w:tc>
                <w:tcPr>
                  <w:tcW w:w="2376" w:type="dxa"/>
                  <w:tcBorders>
                    <w:tl2br w:val="nil"/>
                    <w:tr2bl w:val="nil"/>
                  </w:tcBorders>
                  <w:vAlign w:val="center"/>
                </w:tcPr>
                <w:p w14:paraId="2EABFDC9">
                  <w:pPr>
                    <w:jc w:val="center"/>
                    <w:rPr>
                      <w:rFonts w:hint="eastAsia" w:eastAsia="宋体"/>
                      <w:color w:val="auto"/>
                      <w:sz w:val="21"/>
                      <w:szCs w:val="21"/>
                      <w:highlight w:val="none"/>
                      <w:u w:val="single"/>
                      <w:lang w:eastAsia="zh-CN"/>
                    </w:rPr>
                  </w:pPr>
                  <w:r>
                    <w:rPr>
                      <w:rFonts w:hint="eastAsia"/>
                      <w:color w:val="auto"/>
                      <w:sz w:val="21"/>
                      <w:szCs w:val="21"/>
                      <w:highlight w:val="none"/>
                      <w:u w:val="single"/>
                      <w:lang w:eastAsia="zh-CN"/>
                    </w:rPr>
                    <w:t>较好</w:t>
                  </w:r>
                </w:p>
              </w:tc>
            </w:tr>
            <w:tr w14:paraId="11AB02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984" w:type="dxa"/>
                  <w:tcBorders>
                    <w:tl2br w:val="nil"/>
                    <w:tr2bl w:val="nil"/>
                  </w:tcBorders>
                  <w:vAlign w:val="center"/>
                </w:tcPr>
                <w:p w14:paraId="0FDCCA6D">
                  <w:pPr>
                    <w:jc w:val="center"/>
                    <w:rPr>
                      <w:rFonts w:hint="eastAsia"/>
                      <w:color w:val="auto"/>
                      <w:sz w:val="21"/>
                      <w:szCs w:val="21"/>
                      <w:u w:val="single"/>
                      <w:lang w:val="en-US" w:eastAsia="zh-CN"/>
                    </w:rPr>
                  </w:pPr>
                  <w:r>
                    <w:rPr>
                      <w:rFonts w:hint="eastAsia"/>
                      <w:color w:val="auto"/>
                      <w:sz w:val="21"/>
                      <w:szCs w:val="21"/>
                      <w:u w:val="single"/>
                      <w:lang w:val="en-US" w:eastAsia="zh-CN"/>
                    </w:rPr>
                    <w:t>抗冲击负荷能力</w:t>
                  </w:r>
                </w:p>
              </w:tc>
              <w:tc>
                <w:tcPr>
                  <w:tcW w:w="2008" w:type="dxa"/>
                  <w:tcBorders>
                    <w:tl2br w:val="nil"/>
                    <w:tr2bl w:val="nil"/>
                  </w:tcBorders>
                  <w:vAlign w:val="center"/>
                </w:tcPr>
                <w:p w14:paraId="6F83DA1D">
                  <w:pPr>
                    <w:jc w:val="center"/>
                    <w:rPr>
                      <w:rFonts w:hint="eastAsia" w:eastAsia="宋体"/>
                      <w:color w:val="auto"/>
                      <w:sz w:val="21"/>
                      <w:szCs w:val="21"/>
                      <w:highlight w:val="none"/>
                      <w:u w:val="single"/>
                      <w:lang w:eastAsia="zh-CN"/>
                    </w:rPr>
                  </w:pPr>
                  <w:r>
                    <w:rPr>
                      <w:rFonts w:hint="eastAsia"/>
                      <w:color w:val="auto"/>
                      <w:sz w:val="21"/>
                      <w:szCs w:val="21"/>
                      <w:highlight w:val="none"/>
                      <w:u w:val="single"/>
                      <w:lang w:eastAsia="zh-CN"/>
                    </w:rPr>
                    <w:t>能力强、对水质水量有均衡作用</w:t>
                  </w:r>
                </w:p>
              </w:tc>
              <w:tc>
                <w:tcPr>
                  <w:tcW w:w="2284" w:type="dxa"/>
                  <w:tcBorders>
                    <w:tl2br w:val="nil"/>
                    <w:tr2bl w:val="nil"/>
                  </w:tcBorders>
                  <w:vAlign w:val="center"/>
                </w:tcPr>
                <w:p w14:paraId="40966468">
                  <w:pPr>
                    <w:jc w:val="center"/>
                    <w:rPr>
                      <w:rFonts w:hint="eastAsia" w:eastAsia="宋体"/>
                      <w:color w:val="auto"/>
                      <w:sz w:val="21"/>
                      <w:szCs w:val="21"/>
                      <w:highlight w:val="none"/>
                      <w:u w:val="single"/>
                      <w:lang w:eastAsia="zh-CN"/>
                    </w:rPr>
                  </w:pPr>
                  <w:r>
                    <w:rPr>
                      <w:rFonts w:hint="eastAsia"/>
                      <w:color w:val="auto"/>
                      <w:sz w:val="21"/>
                      <w:szCs w:val="21"/>
                      <w:highlight w:val="none"/>
                      <w:u w:val="single"/>
                      <w:lang w:eastAsia="zh-CN"/>
                    </w:rPr>
                    <w:t>较强</w:t>
                  </w:r>
                </w:p>
              </w:tc>
              <w:tc>
                <w:tcPr>
                  <w:tcW w:w="2376" w:type="dxa"/>
                  <w:tcBorders>
                    <w:tl2br w:val="nil"/>
                    <w:tr2bl w:val="nil"/>
                  </w:tcBorders>
                  <w:vAlign w:val="center"/>
                </w:tcPr>
                <w:p w14:paraId="63E6C7AF">
                  <w:pPr>
                    <w:jc w:val="center"/>
                    <w:rPr>
                      <w:rFonts w:hint="eastAsia" w:eastAsia="宋体"/>
                      <w:color w:val="auto"/>
                      <w:sz w:val="21"/>
                      <w:szCs w:val="21"/>
                      <w:highlight w:val="none"/>
                      <w:u w:val="single"/>
                      <w:lang w:eastAsia="zh-CN"/>
                    </w:rPr>
                  </w:pPr>
                  <w:r>
                    <w:rPr>
                      <w:rFonts w:hint="eastAsia"/>
                      <w:color w:val="auto"/>
                      <w:sz w:val="21"/>
                      <w:szCs w:val="21"/>
                      <w:highlight w:val="none"/>
                      <w:u w:val="single"/>
                      <w:lang w:eastAsia="zh-CN"/>
                    </w:rPr>
                    <w:t>好</w:t>
                  </w:r>
                </w:p>
              </w:tc>
            </w:tr>
            <w:tr w14:paraId="4FFAC9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1984" w:type="dxa"/>
                  <w:tcBorders>
                    <w:tl2br w:val="nil"/>
                    <w:tr2bl w:val="nil"/>
                  </w:tcBorders>
                  <w:vAlign w:val="center"/>
                </w:tcPr>
                <w:p w14:paraId="2206A68A">
                  <w:pPr>
                    <w:jc w:val="center"/>
                    <w:rPr>
                      <w:rFonts w:hint="eastAsia"/>
                      <w:color w:val="auto"/>
                      <w:sz w:val="21"/>
                      <w:szCs w:val="21"/>
                      <w:u w:val="single"/>
                      <w:lang w:val="en-US" w:eastAsia="zh-CN"/>
                    </w:rPr>
                  </w:pPr>
                  <w:r>
                    <w:rPr>
                      <w:rFonts w:hint="eastAsia"/>
                      <w:color w:val="auto"/>
                      <w:sz w:val="21"/>
                      <w:szCs w:val="21"/>
                      <w:u w:val="single"/>
                      <w:lang w:val="en-US" w:eastAsia="zh-CN"/>
                    </w:rPr>
                    <w:t>充氧效率</w:t>
                  </w:r>
                </w:p>
              </w:tc>
              <w:tc>
                <w:tcPr>
                  <w:tcW w:w="2008" w:type="dxa"/>
                  <w:tcBorders>
                    <w:tl2br w:val="nil"/>
                    <w:tr2bl w:val="nil"/>
                  </w:tcBorders>
                  <w:vAlign w:val="center"/>
                </w:tcPr>
                <w:p w14:paraId="6CDA019B">
                  <w:pPr>
                    <w:jc w:val="center"/>
                    <w:rPr>
                      <w:rFonts w:hint="eastAsia"/>
                      <w:color w:val="auto"/>
                      <w:sz w:val="21"/>
                      <w:szCs w:val="21"/>
                      <w:highlight w:val="none"/>
                      <w:u w:val="single"/>
                      <w:lang w:eastAsia="zh-CN"/>
                    </w:rPr>
                  </w:pPr>
                  <w:r>
                    <w:rPr>
                      <w:rFonts w:hint="eastAsia"/>
                      <w:color w:val="auto"/>
                      <w:sz w:val="21"/>
                      <w:szCs w:val="21"/>
                      <w:highlight w:val="none"/>
                      <w:u w:val="single"/>
                      <w:lang w:eastAsia="zh-CN"/>
                    </w:rPr>
                    <w:t>高</w:t>
                  </w:r>
                </w:p>
              </w:tc>
              <w:tc>
                <w:tcPr>
                  <w:tcW w:w="2284" w:type="dxa"/>
                  <w:tcBorders>
                    <w:tl2br w:val="nil"/>
                    <w:tr2bl w:val="nil"/>
                  </w:tcBorders>
                  <w:vAlign w:val="center"/>
                </w:tcPr>
                <w:p w14:paraId="42F4C4C7">
                  <w:pPr>
                    <w:jc w:val="center"/>
                    <w:rPr>
                      <w:rFonts w:hint="eastAsia"/>
                      <w:color w:val="auto"/>
                      <w:sz w:val="21"/>
                      <w:szCs w:val="21"/>
                      <w:highlight w:val="none"/>
                      <w:u w:val="single"/>
                      <w:lang w:eastAsia="zh-CN"/>
                    </w:rPr>
                  </w:pPr>
                  <w:r>
                    <w:rPr>
                      <w:rFonts w:hint="eastAsia"/>
                      <w:color w:val="auto"/>
                      <w:sz w:val="21"/>
                      <w:szCs w:val="21"/>
                      <w:highlight w:val="none"/>
                      <w:u w:val="single"/>
                      <w:lang w:eastAsia="zh-CN"/>
                    </w:rPr>
                    <w:t>低</w:t>
                  </w:r>
                </w:p>
              </w:tc>
              <w:tc>
                <w:tcPr>
                  <w:tcW w:w="2376" w:type="dxa"/>
                  <w:tcBorders>
                    <w:tl2br w:val="nil"/>
                    <w:tr2bl w:val="nil"/>
                  </w:tcBorders>
                  <w:vAlign w:val="center"/>
                </w:tcPr>
                <w:p w14:paraId="11079324">
                  <w:pPr>
                    <w:jc w:val="center"/>
                    <w:rPr>
                      <w:rFonts w:hint="eastAsia"/>
                      <w:color w:val="auto"/>
                      <w:sz w:val="21"/>
                      <w:szCs w:val="21"/>
                      <w:highlight w:val="none"/>
                      <w:u w:val="single"/>
                      <w:lang w:eastAsia="zh-CN"/>
                    </w:rPr>
                  </w:pPr>
                  <w:r>
                    <w:rPr>
                      <w:rFonts w:hint="eastAsia"/>
                      <w:color w:val="auto"/>
                      <w:sz w:val="21"/>
                      <w:szCs w:val="21"/>
                      <w:highlight w:val="none"/>
                      <w:u w:val="single"/>
                      <w:lang w:eastAsia="zh-CN"/>
                    </w:rPr>
                    <w:t>较高</w:t>
                  </w:r>
                </w:p>
              </w:tc>
            </w:tr>
            <w:tr w14:paraId="5FE03F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6" w:hRule="atLeast"/>
                <w:jc w:val="center"/>
              </w:trPr>
              <w:tc>
                <w:tcPr>
                  <w:tcW w:w="1984" w:type="dxa"/>
                  <w:tcBorders>
                    <w:tl2br w:val="nil"/>
                    <w:tr2bl w:val="nil"/>
                  </w:tcBorders>
                  <w:vAlign w:val="center"/>
                </w:tcPr>
                <w:p w14:paraId="34BF439D">
                  <w:pPr>
                    <w:jc w:val="center"/>
                    <w:rPr>
                      <w:rFonts w:hint="eastAsia"/>
                      <w:color w:val="auto"/>
                      <w:sz w:val="21"/>
                      <w:szCs w:val="21"/>
                      <w:u w:val="single"/>
                      <w:lang w:val="en-US" w:eastAsia="zh-CN"/>
                    </w:rPr>
                  </w:pPr>
                  <w:r>
                    <w:rPr>
                      <w:rFonts w:hint="eastAsia"/>
                      <w:color w:val="auto"/>
                      <w:sz w:val="21"/>
                      <w:szCs w:val="21"/>
                      <w:u w:val="single"/>
                      <w:lang w:val="en-US" w:eastAsia="zh-CN"/>
                    </w:rPr>
                    <w:t>对污水的处理效果</w:t>
                  </w:r>
                </w:p>
              </w:tc>
              <w:tc>
                <w:tcPr>
                  <w:tcW w:w="2008" w:type="dxa"/>
                  <w:tcBorders>
                    <w:tl2br w:val="nil"/>
                    <w:tr2bl w:val="nil"/>
                  </w:tcBorders>
                  <w:vAlign w:val="center"/>
                </w:tcPr>
                <w:p w14:paraId="25A2DFFD">
                  <w:pPr>
                    <w:jc w:val="center"/>
                    <w:rPr>
                      <w:rFonts w:hint="eastAsia"/>
                      <w:color w:val="auto"/>
                      <w:sz w:val="21"/>
                      <w:szCs w:val="21"/>
                      <w:highlight w:val="none"/>
                      <w:u w:val="single"/>
                      <w:lang w:eastAsia="zh-CN"/>
                    </w:rPr>
                  </w:pPr>
                  <w:r>
                    <w:rPr>
                      <w:rFonts w:hint="eastAsia"/>
                      <w:color w:val="auto"/>
                      <w:sz w:val="21"/>
                      <w:szCs w:val="21"/>
                      <w:highlight w:val="none"/>
                      <w:u w:val="single"/>
                      <w:lang w:eastAsia="zh-CN"/>
                    </w:rPr>
                    <w:t>好</w:t>
                  </w:r>
                </w:p>
              </w:tc>
              <w:tc>
                <w:tcPr>
                  <w:tcW w:w="2284" w:type="dxa"/>
                  <w:tcBorders>
                    <w:tl2br w:val="nil"/>
                    <w:tr2bl w:val="nil"/>
                  </w:tcBorders>
                  <w:vAlign w:val="center"/>
                </w:tcPr>
                <w:p w14:paraId="0AFFB104">
                  <w:pPr>
                    <w:jc w:val="center"/>
                    <w:rPr>
                      <w:rFonts w:hint="eastAsia"/>
                      <w:color w:val="auto"/>
                      <w:sz w:val="21"/>
                      <w:szCs w:val="21"/>
                      <w:highlight w:val="none"/>
                      <w:u w:val="single"/>
                      <w:lang w:eastAsia="zh-CN"/>
                    </w:rPr>
                  </w:pPr>
                  <w:r>
                    <w:rPr>
                      <w:rFonts w:hint="eastAsia"/>
                      <w:color w:val="auto"/>
                      <w:sz w:val="21"/>
                      <w:szCs w:val="21"/>
                      <w:highlight w:val="none"/>
                      <w:u w:val="single"/>
                      <w:lang w:eastAsia="zh-CN"/>
                    </w:rPr>
                    <w:t>较好</w:t>
                  </w:r>
                </w:p>
              </w:tc>
              <w:tc>
                <w:tcPr>
                  <w:tcW w:w="2376" w:type="dxa"/>
                  <w:tcBorders>
                    <w:tl2br w:val="nil"/>
                    <w:tr2bl w:val="nil"/>
                  </w:tcBorders>
                  <w:vAlign w:val="center"/>
                </w:tcPr>
                <w:p w14:paraId="18D5ED9A">
                  <w:pPr>
                    <w:jc w:val="center"/>
                    <w:rPr>
                      <w:rFonts w:hint="eastAsia"/>
                      <w:color w:val="auto"/>
                      <w:sz w:val="21"/>
                      <w:szCs w:val="21"/>
                      <w:highlight w:val="none"/>
                      <w:u w:val="single"/>
                      <w:lang w:eastAsia="zh-CN"/>
                    </w:rPr>
                  </w:pPr>
                  <w:r>
                    <w:rPr>
                      <w:rFonts w:hint="eastAsia"/>
                      <w:color w:val="auto"/>
                      <w:sz w:val="21"/>
                      <w:szCs w:val="21"/>
                      <w:highlight w:val="none"/>
                      <w:u w:val="single"/>
                      <w:lang w:eastAsia="zh-CN"/>
                    </w:rPr>
                    <w:t>好</w:t>
                  </w:r>
                </w:p>
              </w:tc>
            </w:tr>
            <w:tr w14:paraId="54D3BA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6" w:hRule="atLeast"/>
                <w:jc w:val="center"/>
              </w:trPr>
              <w:tc>
                <w:tcPr>
                  <w:tcW w:w="1984" w:type="dxa"/>
                  <w:tcBorders>
                    <w:tl2br w:val="nil"/>
                    <w:tr2bl w:val="nil"/>
                  </w:tcBorders>
                  <w:vAlign w:val="center"/>
                </w:tcPr>
                <w:p w14:paraId="5AEDFBF8">
                  <w:pPr>
                    <w:jc w:val="center"/>
                    <w:rPr>
                      <w:rFonts w:hint="eastAsia"/>
                      <w:color w:val="auto"/>
                      <w:sz w:val="21"/>
                      <w:szCs w:val="21"/>
                      <w:u w:val="single"/>
                      <w:lang w:val="en-US" w:eastAsia="zh-CN"/>
                    </w:rPr>
                  </w:pPr>
                  <w:r>
                    <w:rPr>
                      <w:rFonts w:hint="eastAsia"/>
                      <w:color w:val="auto"/>
                      <w:sz w:val="21"/>
                      <w:szCs w:val="21"/>
                      <w:u w:val="single"/>
                      <w:lang w:val="en-US" w:eastAsia="zh-CN"/>
                    </w:rPr>
                    <w:t>运行管理</w:t>
                  </w:r>
                </w:p>
              </w:tc>
              <w:tc>
                <w:tcPr>
                  <w:tcW w:w="2008" w:type="dxa"/>
                  <w:tcBorders>
                    <w:tl2br w:val="nil"/>
                    <w:tr2bl w:val="nil"/>
                  </w:tcBorders>
                  <w:vAlign w:val="center"/>
                </w:tcPr>
                <w:p w14:paraId="120C622E">
                  <w:pPr>
                    <w:jc w:val="center"/>
                    <w:rPr>
                      <w:rFonts w:hint="eastAsia"/>
                      <w:color w:val="auto"/>
                      <w:sz w:val="21"/>
                      <w:szCs w:val="21"/>
                      <w:highlight w:val="none"/>
                      <w:u w:val="single"/>
                      <w:lang w:eastAsia="zh-CN"/>
                    </w:rPr>
                  </w:pPr>
                  <w:r>
                    <w:rPr>
                      <w:rFonts w:hint="eastAsia"/>
                      <w:color w:val="auto"/>
                      <w:sz w:val="21"/>
                      <w:szCs w:val="21"/>
                      <w:highlight w:val="none"/>
                      <w:u w:val="single"/>
                      <w:lang w:eastAsia="zh-CN"/>
                    </w:rPr>
                    <w:t>采用鼓风曝气，维护管理方便，运行经验成熟</w:t>
                  </w:r>
                </w:p>
              </w:tc>
              <w:tc>
                <w:tcPr>
                  <w:tcW w:w="2284" w:type="dxa"/>
                  <w:tcBorders>
                    <w:tl2br w:val="nil"/>
                    <w:tr2bl w:val="nil"/>
                  </w:tcBorders>
                  <w:vAlign w:val="center"/>
                </w:tcPr>
                <w:p w14:paraId="0CF4147E">
                  <w:pPr>
                    <w:jc w:val="center"/>
                    <w:rPr>
                      <w:rFonts w:hint="eastAsia"/>
                      <w:color w:val="auto"/>
                      <w:sz w:val="21"/>
                      <w:szCs w:val="21"/>
                      <w:highlight w:val="none"/>
                      <w:u w:val="single"/>
                      <w:lang w:eastAsia="zh-CN"/>
                    </w:rPr>
                  </w:pPr>
                  <w:r>
                    <w:rPr>
                      <w:rFonts w:hint="eastAsia"/>
                      <w:color w:val="auto"/>
                      <w:sz w:val="21"/>
                      <w:szCs w:val="21"/>
                      <w:highlight w:val="none"/>
                      <w:u w:val="single"/>
                      <w:lang w:eastAsia="zh-CN"/>
                    </w:rPr>
                    <w:t>采用机械曝气，维护管理方便</w:t>
                  </w:r>
                </w:p>
              </w:tc>
              <w:tc>
                <w:tcPr>
                  <w:tcW w:w="2376" w:type="dxa"/>
                  <w:tcBorders>
                    <w:tl2br w:val="nil"/>
                    <w:tr2bl w:val="nil"/>
                  </w:tcBorders>
                  <w:vAlign w:val="center"/>
                </w:tcPr>
                <w:p w14:paraId="0CE52357">
                  <w:pPr>
                    <w:jc w:val="center"/>
                    <w:rPr>
                      <w:rFonts w:hint="eastAsia"/>
                      <w:color w:val="auto"/>
                      <w:sz w:val="21"/>
                      <w:szCs w:val="21"/>
                      <w:highlight w:val="none"/>
                      <w:u w:val="single"/>
                      <w:lang w:eastAsia="zh-CN"/>
                    </w:rPr>
                  </w:pPr>
                  <w:r>
                    <w:rPr>
                      <w:rFonts w:hint="eastAsia"/>
                      <w:color w:val="auto"/>
                      <w:sz w:val="21"/>
                      <w:szCs w:val="21"/>
                      <w:highlight w:val="none"/>
                      <w:u w:val="single"/>
                      <w:lang w:eastAsia="zh-CN"/>
                    </w:rPr>
                    <w:t>采用鼓风曝气，维护管理方便，运行经验成熟</w:t>
                  </w:r>
                </w:p>
              </w:tc>
            </w:tr>
            <w:tr w14:paraId="769834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984" w:type="dxa"/>
                  <w:tcBorders>
                    <w:tl2br w:val="nil"/>
                    <w:tr2bl w:val="nil"/>
                  </w:tcBorders>
                  <w:vAlign w:val="center"/>
                </w:tcPr>
                <w:p w14:paraId="421072A8">
                  <w:pPr>
                    <w:jc w:val="center"/>
                    <w:rPr>
                      <w:rFonts w:hint="eastAsia"/>
                      <w:color w:val="auto"/>
                      <w:sz w:val="21"/>
                      <w:szCs w:val="21"/>
                      <w:u w:val="single"/>
                      <w:lang w:val="en-US" w:eastAsia="zh-CN"/>
                    </w:rPr>
                  </w:pPr>
                  <w:r>
                    <w:rPr>
                      <w:rFonts w:hint="eastAsia"/>
                      <w:color w:val="auto"/>
                      <w:sz w:val="21"/>
                      <w:szCs w:val="21"/>
                      <w:u w:val="single"/>
                      <w:lang w:val="en-US" w:eastAsia="zh-CN"/>
                    </w:rPr>
                    <w:t>机械设备</w:t>
                  </w:r>
                </w:p>
              </w:tc>
              <w:tc>
                <w:tcPr>
                  <w:tcW w:w="2008" w:type="dxa"/>
                  <w:tcBorders>
                    <w:tl2br w:val="nil"/>
                    <w:tr2bl w:val="nil"/>
                  </w:tcBorders>
                  <w:vAlign w:val="center"/>
                </w:tcPr>
                <w:p w14:paraId="2EF03AD4">
                  <w:pPr>
                    <w:jc w:val="center"/>
                    <w:rPr>
                      <w:rFonts w:hint="eastAsia"/>
                      <w:color w:val="auto"/>
                      <w:sz w:val="21"/>
                      <w:szCs w:val="21"/>
                      <w:highlight w:val="none"/>
                      <w:u w:val="single"/>
                      <w:lang w:eastAsia="zh-CN"/>
                    </w:rPr>
                  </w:pPr>
                  <w:r>
                    <w:rPr>
                      <w:rFonts w:hint="eastAsia"/>
                      <w:color w:val="auto"/>
                      <w:sz w:val="21"/>
                      <w:szCs w:val="21"/>
                      <w:highlight w:val="none"/>
                      <w:u w:val="single"/>
                      <w:lang w:eastAsia="zh-CN"/>
                    </w:rPr>
                    <w:t>曝气设备少管理方便，曝气头需维护</w:t>
                  </w:r>
                </w:p>
              </w:tc>
              <w:tc>
                <w:tcPr>
                  <w:tcW w:w="2284" w:type="dxa"/>
                  <w:tcBorders>
                    <w:tl2br w:val="nil"/>
                    <w:tr2bl w:val="nil"/>
                  </w:tcBorders>
                  <w:vAlign w:val="center"/>
                </w:tcPr>
                <w:p w14:paraId="16B4B673">
                  <w:pPr>
                    <w:jc w:val="center"/>
                    <w:rPr>
                      <w:rFonts w:hint="eastAsia"/>
                      <w:color w:val="auto"/>
                      <w:sz w:val="21"/>
                      <w:szCs w:val="21"/>
                      <w:highlight w:val="none"/>
                      <w:u w:val="single"/>
                      <w:lang w:eastAsia="zh-CN"/>
                    </w:rPr>
                  </w:pPr>
                  <w:r>
                    <w:rPr>
                      <w:rFonts w:hint="eastAsia"/>
                      <w:color w:val="auto"/>
                      <w:sz w:val="21"/>
                      <w:szCs w:val="21"/>
                      <w:highlight w:val="none"/>
                      <w:u w:val="single"/>
                      <w:lang w:eastAsia="zh-CN"/>
                    </w:rPr>
                    <w:t>曝气设备少管理方便</w:t>
                  </w:r>
                </w:p>
              </w:tc>
              <w:tc>
                <w:tcPr>
                  <w:tcW w:w="2376" w:type="dxa"/>
                  <w:tcBorders>
                    <w:tl2br w:val="nil"/>
                    <w:tr2bl w:val="nil"/>
                  </w:tcBorders>
                  <w:vAlign w:val="center"/>
                </w:tcPr>
                <w:p w14:paraId="56E27B86">
                  <w:pPr>
                    <w:jc w:val="center"/>
                    <w:rPr>
                      <w:rFonts w:hint="eastAsia"/>
                      <w:color w:val="auto"/>
                      <w:sz w:val="21"/>
                      <w:szCs w:val="21"/>
                      <w:highlight w:val="none"/>
                      <w:u w:val="single"/>
                      <w:lang w:eastAsia="zh-CN"/>
                    </w:rPr>
                  </w:pPr>
                  <w:r>
                    <w:rPr>
                      <w:rFonts w:hint="eastAsia"/>
                      <w:color w:val="auto"/>
                      <w:sz w:val="21"/>
                      <w:szCs w:val="21"/>
                      <w:highlight w:val="none"/>
                      <w:u w:val="single"/>
                      <w:lang w:eastAsia="zh-CN"/>
                    </w:rPr>
                    <w:t>曝气设备少管理方便</w:t>
                  </w:r>
                </w:p>
              </w:tc>
            </w:tr>
            <w:tr w14:paraId="2F93E1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984" w:type="dxa"/>
                  <w:tcBorders>
                    <w:tl2br w:val="nil"/>
                    <w:tr2bl w:val="nil"/>
                  </w:tcBorders>
                  <w:vAlign w:val="center"/>
                </w:tcPr>
                <w:p w14:paraId="2570C251">
                  <w:pPr>
                    <w:jc w:val="center"/>
                    <w:rPr>
                      <w:rFonts w:hint="eastAsia"/>
                      <w:color w:val="auto"/>
                      <w:sz w:val="21"/>
                      <w:szCs w:val="21"/>
                      <w:u w:val="single"/>
                      <w:lang w:val="en-US" w:eastAsia="zh-CN"/>
                    </w:rPr>
                  </w:pPr>
                  <w:r>
                    <w:rPr>
                      <w:rFonts w:hint="eastAsia"/>
                      <w:color w:val="auto"/>
                      <w:sz w:val="21"/>
                      <w:szCs w:val="21"/>
                      <w:u w:val="single"/>
                      <w:lang w:val="en-US" w:eastAsia="zh-CN"/>
                    </w:rPr>
                    <w:t>对自动控制的依赖程度</w:t>
                  </w:r>
                </w:p>
              </w:tc>
              <w:tc>
                <w:tcPr>
                  <w:tcW w:w="2008" w:type="dxa"/>
                  <w:tcBorders>
                    <w:tl2br w:val="nil"/>
                    <w:tr2bl w:val="nil"/>
                  </w:tcBorders>
                  <w:vAlign w:val="center"/>
                </w:tcPr>
                <w:p w14:paraId="647AC38C">
                  <w:pPr>
                    <w:jc w:val="center"/>
                    <w:rPr>
                      <w:rFonts w:hint="eastAsia"/>
                      <w:color w:val="auto"/>
                      <w:sz w:val="21"/>
                      <w:szCs w:val="21"/>
                      <w:highlight w:val="none"/>
                      <w:u w:val="single"/>
                      <w:lang w:eastAsia="zh-CN"/>
                    </w:rPr>
                  </w:pPr>
                  <w:r>
                    <w:rPr>
                      <w:rFonts w:hint="eastAsia"/>
                      <w:color w:val="auto"/>
                      <w:sz w:val="21"/>
                      <w:szCs w:val="21"/>
                      <w:highlight w:val="none"/>
                      <w:u w:val="single"/>
                      <w:lang w:eastAsia="zh-CN"/>
                    </w:rPr>
                    <w:t>较低</w:t>
                  </w:r>
                </w:p>
              </w:tc>
              <w:tc>
                <w:tcPr>
                  <w:tcW w:w="2284" w:type="dxa"/>
                  <w:tcBorders>
                    <w:tl2br w:val="nil"/>
                    <w:tr2bl w:val="nil"/>
                  </w:tcBorders>
                  <w:vAlign w:val="center"/>
                </w:tcPr>
                <w:p w14:paraId="11D7536F">
                  <w:pPr>
                    <w:jc w:val="center"/>
                    <w:rPr>
                      <w:rFonts w:hint="eastAsia"/>
                      <w:color w:val="auto"/>
                      <w:sz w:val="21"/>
                      <w:szCs w:val="21"/>
                      <w:highlight w:val="none"/>
                      <w:u w:val="single"/>
                      <w:lang w:eastAsia="zh-CN"/>
                    </w:rPr>
                  </w:pPr>
                  <w:r>
                    <w:rPr>
                      <w:rFonts w:hint="eastAsia"/>
                      <w:color w:val="auto"/>
                      <w:sz w:val="21"/>
                      <w:szCs w:val="21"/>
                      <w:highlight w:val="none"/>
                      <w:u w:val="single"/>
                      <w:lang w:eastAsia="zh-CN"/>
                    </w:rPr>
                    <w:t>较低</w:t>
                  </w:r>
                </w:p>
              </w:tc>
              <w:tc>
                <w:tcPr>
                  <w:tcW w:w="2376" w:type="dxa"/>
                  <w:tcBorders>
                    <w:tl2br w:val="nil"/>
                    <w:tr2bl w:val="nil"/>
                  </w:tcBorders>
                  <w:vAlign w:val="center"/>
                </w:tcPr>
                <w:p w14:paraId="684BECC1">
                  <w:pPr>
                    <w:jc w:val="center"/>
                    <w:rPr>
                      <w:rFonts w:hint="eastAsia"/>
                      <w:color w:val="auto"/>
                      <w:sz w:val="21"/>
                      <w:szCs w:val="21"/>
                      <w:highlight w:val="none"/>
                      <w:u w:val="single"/>
                      <w:lang w:eastAsia="zh-CN"/>
                    </w:rPr>
                  </w:pPr>
                  <w:r>
                    <w:rPr>
                      <w:rFonts w:hint="eastAsia"/>
                      <w:color w:val="auto"/>
                      <w:sz w:val="21"/>
                      <w:szCs w:val="21"/>
                      <w:highlight w:val="none"/>
                      <w:u w:val="single"/>
                      <w:lang w:eastAsia="zh-CN"/>
                    </w:rPr>
                    <w:t>较高</w:t>
                  </w:r>
                </w:p>
              </w:tc>
            </w:tr>
            <w:tr w14:paraId="2AE7BE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984" w:type="dxa"/>
                  <w:tcBorders>
                    <w:tl2br w:val="nil"/>
                    <w:tr2bl w:val="nil"/>
                  </w:tcBorders>
                  <w:vAlign w:val="center"/>
                </w:tcPr>
                <w:p w14:paraId="6A93B4BF">
                  <w:pPr>
                    <w:jc w:val="center"/>
                    <w:rPr>
                      <w:rFonts w:hint="eastAsia"/>
                      <w:color w:val="auto"/>
                      <w:sz w:val="21"/>
                      <w:szCs w:val="21"/>
                      <w:u w:val="single"/>
                      <w:lang w:val="en-US" w:eastAsia="zh-CN"/>
                    </w:rPr>
                  </w:pPr>
                  <w:r>
                    <w:rPr>
                      <w:rFonts w:hint="eastAsia"/>
                      <w:color w:val="auto"/>
                      <w:sz w:val="21"/>
                      <w:szCs w:val="21"/>
                      <w:u w:val="single"/>
                      <w:lang w:val="en-US" w:eastAsia="zh-CN"/>
                    </w:rPr>
                    <w:t>总图占地</w:t>
                  </w:r>
                </w:p>
              </w:tc>
              <w:tc>
                <w:tcPr>
                  <w:tcW w:w="2008" w:type="dxa"/>
                  <w:tcBorders>
                    <w:tl2br w:val="nil"/>
                    <w:tr2bl w:val="nil"/>
                  </w:tcBorders>
                  <w:vAlign w:val="center"/>
                </w:tcPr>
                <w:p w14:paraId="685B5F12">
                  <w:pPr>
                    <w:jc w:val="center"/>
                    <w:rPr>
                      <w:rFonts w:hint="eastAsia"/>
                      <w:color w:val="auto"/>
                      <w:sz w:val="21"/>
                      <w:szCs w:val="21"/>
                      <w:highlight w:val="none"/>
                      <w:u w:val="single"/>
                      <w:lang w:eastAsia="zh-CN"/>
                    </w:rPr>
                  </w:pPr>
                  <w:r>
                    <w:rPr>
                      <w:rFonts w:hint="eastAsia"/>
                      <w:color w:val="auto"/>
                      <w:sz w:val="21"/>
                      <w:szCs w:val="21"/>
                      <w:highlight w:val="none"/>
                      <w:u w:val="single"/>
                      <w:lang w:eastAsia="zh-CN"/>
                    </w:rPr>
                    <w:t>较小</w:t>
                  </w:r>
                </w:p>
              </w:tc>
              <w:tc>
                <w:tcPr>
                  <w:tcW w:w="2284" w:type="dxa"/>
                  <w:tcBorders>
                    <w:tl2br w:val="nil"/>
                    <w:tr2bl w:val="nil"/>
                  </w:tcBorders>
                  <w:vAlign w:val="center"/>
                </w:tcPr>
                <w:p w14:paraId="11F4F5DC">
                  <w:pPr>
                    <w:jc w:val="center"/>
                    <w:rPr>
                      <w:rFonts w:hint="eastAsia"/>
                      <w:color w:val="auto"/>
                      <w:sz w:val="21"/>
                      <w:szCs w:val="21"/>
                      <w:highlight w:val="none"/>
                      <w:u w:val="single"/>
                      <w:lang w:eastAsia="zh-CN"/>
                    </w:rPr>
                  </w:pPr>
                  <w:r>
                    <w:rPr>
                      <w:rFonts w:hint="eastAsia"/>
                      <w:color w:val="auto"/>
                      <w:sz w:val="21"/>
                      <w:szCs w:val="21"/>
                      <w:highlight w:val="none"/>
                      <w:u w:val="single"/>
                      <w:lang w:eastAsia="zh-CN"/>
                    </w:rPr>
                    <w:t>较大</w:t>
                  </w:r>
                </w:p>
              </w:tc>
              <w:tc>
                <w:tcPr>
                  <w:tcW w:w="2376" w:type="dxa"/>
                  <w:tcBorders>
                    <w:tl2br w:val="nil"/>
                    <w:tr2bl w:val="nil"/>
                  </w:tcBorders>
                  <w:vAlign w:val="center"/>
                </w:tcPr>
                <w:p w14:paraId="4771E583">
                  <w:pPr>
                    <w:jc w:val="center"/>
                    <w:rPr>
                      <w:rFonts w:hint="eastAsia"/>
                      <w:color w:val="auto"/>
                      <w:sz w:val="21"/>
                      <w:szCs w:val="21"/>
                      <w:highlight w:val="none"/>
                      <w:u w:val="single"/>
                      <w:lang w:eastAsia="zh-CN"/>
                    </w:rPr>
                  </w:pPr>
                  <w:r>
                    <w:rPr>
                      <w:rFonts w:hint="eastAsia"/>
                      <w:color w:val="auto"/>
                      <w:sz w:val="21"/>
                      <w:szCs w:val="21"/>
                      <w:highlight w:val="none"/>
                      <w:u w:val="single"/>
                      <w:lang w:eastAsia="zh-CN"/>
                    </w:rPr>
                    <w:t>小</w:t>
                  </w:r>
                </w:p>
              </w:tc>
            </w:tr>
          </w:tbl>
          <w:p w14:paraId="62C2369A">
            <w:pPr>
              <w:pStyle w:val="6"/>
              <w:spacing w:line="360" w:lineRule="auto"/>
              <w:rPr>
                <w:rFonts w:hint="eastAsia" w:ascii="宋体" w:hAnsi="宋体" w:eastAsia="宋体" w:cs="宋体"/>
                <w:color w:val="auto"/>
                <w:kern w:val="0"/>
                <w:sz w:val="24"/>
                <w:szCs w:val="24"/>
                <w:u w:val="single"/>
                <w:lang w:val="en-US" w:eastAsia="zh-CN" w:bidi="ar-SA"/>
              </w:rPr>
            </w:pPr>
            <w:r>
              <w:rPr>
                <w:rFonts w:hint="eastAsia" w:ascii="宋体" w:hAnsi="宋体" w:eastAsia="宋体" w:cs="宋体"/>
                <w:color w:val="auto"/>
                <w:kern w:val="0"/>
                <w:sz w:val="24"/>
                <w:szCs w:val="24"/>
                <w:u w:val="single"/>
                <w:lang w:val="en-US" w:eastAsia="zh-CN" w:bidi="ar-SA"/>
              </w:rPr>
              <w:t>从以上技术经济比较可以看出，A/A/O 工艺、改良型氧化沟工艺以及 CASS 工艺各有优缺点。三种工艺均属于连续进水活性污泥法工艺，在国内外污水处理中应用都比较广泛，技术成熟、工艺稳定。</w:t>
            </w:r>
          </w:p>
          <w:p w14:paraId="223178B0">
            <w:pPr>
              <w:pStyle w:val="6"/>
              <w:spacing w:line="360" w:lineRule="auto"/>
              <w:rPr>
                <w:rFonts w:hint="default" w:ascii="Times New Roman" w:hAnsi="Times New Roman" w:eastAsia="宋体" w:cs="Times New Roman"/>
                <w:color w:val="auto"/>
                <w:kern w:val="0"/>
                <w:sz w:val="24"/>
                <w:szCs w:val="24"/>
                <w:u w:val="single"/>
                <w:lang w:val="en-US" w:eastAsia="zh-CN" w:bidi="ar-SA"/>
              </w:rPr>
            </w:pPr>
            <w:r>
              <w:rPr>
                <w:rFonts w:hint="default" w:ascii="Times New Roman" w:hAnsi="Times New Roman" w:eastAsia="宋体" w:cs="Times New Roman"/>
                <w:color w:val="auto"/>
                <w:kern w:val="0"/>
                <w:sz w:val="24"/>
                <w:szCs w:val="24"/>
                <w:u w:val="single"/>
                <w:lang w:val="en-US" w:eastAsia="zh-CN" w:bidi="ar-SA"/>
              </w:rPr>
              <w:t>A/A/O是应用较广泛的脱氮除磷工艺，工艺成熟，因采用鼓风曝气，具有充氧效率高、耐冲击负荷、运行费用低等优点，适合进水浓度较高的大型污水处理厂。其缺点是曝气头设置于水下，对设备性能要求较高。</w:t>
            </w:r>
          </w:p>
          <w:p w14:paraId="3AB4A44C">
            <w:pPr>
              <w:pStyle w:val="6"/>
              <w:spacing w:line="360" w:lineRule="auto"/>
              <w:rPr>
                <w:rFonts w:hint="default" w:ascii="Times New Roman" w:hAnsi="Times New Roman" w:eastAsia="宋体" w:cs="Times New Roman"/>
                <w:color w:val="auto"/>
                <w:kern w:val="0"/>
                <w:sz w:val="24"/>
                <w:szCs w:val="24"/>
                <w:u w:val="single"/>
                <w:lang w:val="en-US" w:eastAsia="zh-CN" w:bidi="ar-SA"/>
              </w:rPr>
            </w:pPr>
            <w:r>
              <w:rPr>
                <w:rFonts w:hint="default" w:ascii="Times New Roman" w:hAnsi="Times New Roman" w:eastAsia="宋体" w:cs="Times New Roman"/>
                <w:color w:val="auto"/>
                <w:kern w:val="0"/>
                <w:sz w:val="24"/>
                <w:szCs w:val="24"/>
                <w:u w:val="single"/>
                <w:lang w:val="en-US" w:eastAsia="zh-CN" w:bidi="ar-SA"/>
              </w:rPr>
              <w:t>改良型氧化沟工艺流程简捷可靠，运行稳定，采用表面曝气设备，设备种类少，维护管理方便，抗冲击负荷能力强的优点。氧化沟工艺的不足之处是占地面积较大，运行费用高，出水难以得以保证。</w:t>
            </w:r>
          </w:p>
          <w:p w14:paraId="6A5983C4">
            <w:pPr>
              <w:pStyle w:val="6"/>
              <w:spacing w:line="360" w:lineRule="auto"/>
              <w:rPr>
                <w:rFonts w:hint="default" w:ascii="Times New Roman" w:hAnsi="Times New Roman" w:eastAsia="宋体" w:cs="Times New Roman"/>
                <w:color w:val="auto"/>
                <w:kern w:val="0"/>
                <w:sz w:val="24"/>
                <w:szCs w:val="24"/>
                <w:u w:val="single"/>
                <w:lang w:val="en-US" w:eastAsia="zh-CN" w:bidi="ar-SA"/>
              </w:rPr>
            </w:pPr>
            <w:r>
              <w:rPr>
                <w:rFonts w:hint="default" w:ascii="Times New Roman" w:hAnsi="Times New Roman" w:eastAsia="宋体" w:cs="Times New Roman"/>
                <w:color w:val="auto"/>
                <w:kern w:val="0"/>
                <w:sz w:val="24"/>
                <w:szCs w:val="24"/>
                <w:u w:val="single"/>
                <w:lang w:val="en-US" w:eastAsia="zh-CN" w:bidi="ar-SA"/>
              </w:rPr>
              <w:t>CASS 反应池的进水、曝气、沉淀、排水、排泥、回流污泥各道工序变化频繁，且必须按时间控制程序操作，人工管理几乎不可能，只能靠先进的自动化仪器、仪表以及微电脑控制技术。因此要求设备仪表可靠性要高，同时运行管理也较为复杂，因此本工程不考虑CASS反应池工艺。</w:t>
            </w:r>
          </w:p>
          <w:p w14:paraId="3E8AA3C3">
            <w:pPr>
              <w:pStyle w:val="6"/>
              <w:spacing w:line="360" w:lineRule="auto"/>
              <w:rPr>
                <w:rFonts w:hint="default" w:ascii="Times New Roman" w:hAnsi="Times New Roman" w:eastAsia="宋体" w:cs="Times New Roman"/>
                <w:color w:val="auto"/>
                <w:kern w:val="0"/>
                <w:sz w:val="24"/>
                <w:szCs w:val="24"/>
                <w:u w:val="single"/>
                <w:lang w:val="en-US" w:eastAsia="zh-CN" w:bidi="ar-SA"/>
              </w:rPr>
            </w:pPr>
            <w:r>
              <w:rPr>
                <w:rFonts w:hint="eastAsia" w:cs="Times New Roman"/>
                <w:color w:val="auto"/>
                <w:kern w:val="0"/>
                <w:sz w:val="24"/>
                <w:szCs w:val="24"/>
                <w:u w:val="single"/>
                <w:lang w:val="en-US" w:eastAsia="zh-CN" w:bidi="ar-SA"/>
              </w:rPr>
              <w:t>化验室建设内容：化验室位于综合楼内的1F，综合楼占地面积459.0㎡，建筑面积1400.22m</w:t>
            </w:r>
            <w:r>
              <w:rPr>
                <w:rFonts w:hint="eastAsia" w:cs="Times New Roman"/>
                <w:color w:val="auto"/>
                <w:kern w:val="0"/>
                <w:sz w:val="24"/>
                <w:szCs w:val="24"/>
                <w:u w:val="single"/>
                <w:vertAlign w:val="superscript"/>
                <w:lang w:val="en-US" w:eastAsia="zh-CN" w:bidi="ar-SA"/>
              </w:rPr>
              <w:t>2</w:t>
            </w:r>
            <w:r>
              <w:rPr>
                <w:rFonts w:hint="eastAsia" w:cs="Times New Roman"/>
                <w:color w:val="auto"/>
                <w:kern w:val="0"/>
                <w:sz w:val="24"/>
                <w:szCs w:val="24"/>
                <w:u w:val="single"/>
                <w:lang w:val="en-US" w:eastAsia="zh-CN" w:bidi="ar-SA"/>
              </w:rPr>
              <w:t>，包含办公、会议、中控室、化验室、食堂。化验室内设有分析室、精密仪器室、药品储藏室、常规化验室等。负责水厂全流程的日常生产控制监测分析，按照国家颁布的水质标准对水质进行检测。</w:t>
            </w:r>
          </w:p>
          <w:p w14:paraId="230DD22D">
            <w:pPr>
              <w:pStyle w:val="6"/>
              <w:spacing w:line="360" w:lineRule="auto"/>
              <w:rPr>
                <w:rFonts w:hint="default" w:ascii="Times New Roman" w:hAnsi="Times New Roman" w:eastAsia="宋体" w:cs="Times New Roman"/>
                <w:color w:val="auto"/>
                <w:kern w:val="0"/>
                <w:sz w:val="24"/>
                <w:szCs w:val="24"/>
                <w:u w:val="single"/>
                <w:lang w:val="en-US" w:eastAsia="zh-CN" w:bidi="ar-SA"/>
              </w:rPr>
            </w:pPr>
            <w:r>
              <w:rPr>
                <w:rFonts w:hint="default" w:ascii="Times New Roman" w:hAnsi="Times New Roman" w:eastAsia="宋体" w:cs="Times New Roman"/>
                <w:color w:val="auto"/>
                <w:kern w:val="0"/>
                <w:sz w:val="24"/>
                <w:szCs w:val="24"/>
                <w:u w:val="single"/>
                <w:lang w:val="en-US" w:eastAsia="zh-CN" w:bidi="ar-SA"/>
              </w:rPr>
              <w:t>综合考虑本工程的实际情况，本工程用地较为紧张，且出水要求达到《湖南省城镇污水处理厂主要水污染物排放标准》（DB43/T 1546-2018）表1一级标准。另外，A/A/O工艺抗冲击负荷能力强，处理效果较好，可减轻后续污水深度处理工艺的负担，同时保证了污水处理厂出水水质稳定。而从上述对A/A/O工艺的介绍中，A2O工艺具有良好的脱氮效果，因此本工程二级处理工艺采用A</w:t>
            </w:r>
            <w:r>
              <w:rPr>
                <w:rFonts w:hint="default" w:ascii="Times New Roman" w:hAnsi="Times New Roman" w:eastAsia="宋体" w:cs="Times New Roman"/>
                <w:color w:val="auto"/>
                <w:kern w:val="0"/>
                <w:sz w:val="24"/>
                <w:szCs w:val="24"/>
                <w:u w:val="single"/>
                <w:vertAlign w:val="superscript"/>
                <w:lang w:val="en-US" w:eastAsia="zh-CN" w:bidi="ar-SA"/>
              </w:rPr>
              <w:t>2</w:t>
            </w:r>
            <w:r>
              <w:rPr>
                <w:rFonts w:hint="default" w:ascii="Times New Roman" w:hAnsi="Times New Roman" w:eastAsia="宋体" w:cs="Times New Roman"/>
                <w:color w:val="auto"/>
                <w:kern w:val="0"/>
                <w:sz w:val="24"/>
                <w:szCs w:val="24"/>
                <w:u w:val="single"/>
                <w:lang w:val="en-US" w:eastAsia="zh-CN" w:bidi="ar-SA"/>
              </w:rPr>
              <w:t>O工艺。</w:t>
            </w:r>
          </w:p>
          <w:p w14:paraId="050DE63A">
            <w:pPr>
              <w:spacing w:line="360" w:lineRule="auto"/>
              <w:rPr>
                <w:rFonts w:hint="eastAsia" w:ascii="宋体" w:hAnsi="宋体" w:eastAsia="宋体" w:cs="宋体"/>
                <w:color w:val="auto"/>
                <w:kern w:val="0"/>
                <w:sz w:val="24"/>
                <w:szCs w:val="24"/>
                <w:lang w:val="en-US" w:eastAsia="zh-CN" w:bidi="ar-SA"/>
              </w:rPr>
            </w:pPr>
          </w:p>
          <w:p w14:paraId="7324FB34">
            <w:pPr>
              <w:pStyle w:val="6"/>
              <w:rPr>
                <w:rFonts w:hint="eastAsia" w:ascii="宋体" w:hAnsi="宋体" w:cs="宋体"/>
                <w:color w:val="auto"/>
                <w:kern w:val="0"/>
                <w:sz w:val="24"/>
              </w:rPr>
            </w:pPr>
          </w:p>
          <w:p w14:paraId="4DE45C89">
            <w:pPr>
              <w:rPr>
                <w:rFonts w:hint="eastAsia"/>
              </w:rPr>
            </w:pPr>
          </w:p>
        </w:tc>
      </w:tr>
      <w:tr w14:paraId="3EA063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50" w:hRule="atLeast"/>
          <w:jc w:val="center"/>
        </w:trPr>
        <w:tc>
          <w:tcPr>
            <w:tcW w:w="455" w:type="dxa"/>
            <w:vAlign w:val="center"/>
          </w:tcPr>
          <w:p w14:paraId="51FEF7FA">
            <w:pPr>
              <w:pStyle w:val="27"/>
              <w:adjustRightInd w:val="0"/>
              <w:snapToGrid w:val="0"/>
              <w:spacing w:before="0" w:beforeAutospacing="0" w:after="0" w:afterAutospacing="0"/>
              <w:jc w:val="center"/>
              <w:rPr>
                <w:rFonts w:ascii="Times New Roman" w:hAnsi="Times New Roman"/>
                <w:color w:val="auto"/>
                <w:szCs w:val="24"/>
              </w:rPr>
            </w:pPr>
            <w:r>
              <w:rPr>
                <w:rFonts w:ascii="Times New Roman" w:hAnsi="Times New Roman"/>
                <w:bCs/>
                <w:color w:val="auto"/>
                <w:kern w:val="2"/>
                <w:szCs w:val="24"/>
              </w:rPr>
              <w:t>与项目有关的原有环境污染问题</w:t>
            </w:r>
          </w:p>
        </w:tc>
        <w:tc>
          <w:tcPr>
            <w:tcW w:w="8833" w:type="dxa"/>
            <w:vAlign w:val="top"/>
          </w:tcPr>
          <w:p w14:paraId="67D4573F">
            <w:pPr>
              <w:adjustRightInd w:val="0"/>
              <w:spacing w:line="360" w:lineRule="auto"/>
              <w:ind w:firstLine="480" w:firstLineChars="200"/>
              <w:rPr>
                <w:rFonts w:hint="eastAsia" w:ascii="宋体" w:hAnsi="宋体" w:eastAsia="宋体" w:cs="宋体"/>
                <w:color w:val="FF0000"/>
                <w:sz w:val="24"/>
                <w:u w:val="none"/>
                <w:lang w:eastAsia="zh-CN"/>
              </w:rPr>
            </w:pPr>
            <w:r>
              <w:rPr>
                <w:rFonts w:hint="eastAsia" w:ascii="宋体" w:hAnsi="宋体" w:cs="宋体"/>
                <w:color w:val="auto"/>
                <w:sz w:val="24"/>
                <w:highlight w:val="none"/>
                <w:u w:val="none"/>
                <w:lang w:eastAsia="zh-CN"/>
              </w:rPr>
              <w:t>本项目为新建项目，无与原有项目有关的污染源。</w:t>
            </w:r>
          </w:p>
          <w:p w14:paraId="69D590DB">
            <w:pPr>
              <w:pStyle w:val="11"/>
              <w:spacing w:after="0" w:line="360" w:lineRule="auto"/>
              <w:ind w:firstLine="360" w:firstLineChars="200"/>
              <w:rPr>
                <w:rFonts w:hint="default" w:eastAsia="宋体"/>
                <w:color w:val="auto"/>
                <w:lang w:val="en-US" w:eastAsia="zh-CN"/>
              </w:rPr>
            </w:pPr>
          </w:p>
        </w:tc>
      </w:tr>
    </w:tbl>
    <w:p w14:paraId="47D4FFE0">
      <w:pPr>
        <w:pStyle w:val="27"/>
        <w:jc w:val="center"/>
        <w:rPr>
          <w:rFonts w:ascii="Times New Roman" w:hAnsi="Times New Roman" w:eastAsia="黑体"/>
          <w:snapToGrid w:val="0"/>
          <w:color w:val="auto"/>
          <w:sz w:val="36"/>
          <w:szCs w:val="36"/>
        </w:rPr>
        <w:sectPr>
          <w:pgSz w:w="11906" w:h="16838"/>
          <w:pgMar w:top="1440" w:right="1417" w:bottom="1440" w:left="1417" w:header="851" w:footer="850" w:gutter="0"/>
          <w:pgBorders>
            <w:top w:val="none" w:sz="0" w:space="0"/>
            <w:left w:val="none" w:sz="0" w:space="0"/>
            <w:bottom w:val="none" w:sz="0" w:space="0"/>
            <w:right w:val="none" w:sz="0" w:space="0"/>
          </w:pgBorders>
          <w:pgNumType w:fmt="decimal"/>
          <w:cols w:space="720" w:num="1"/>
          <w:docGrid w:type="lines" w:linePitch="312" w:charSpace="0"/>
        </w:sectPr>
      </w:pPr>
    </w:p>
    <w:p w14:paraId="3B19EC64">
      <w:pPr>
        <w:pStyle w:val="27"/>
        <w:spacing w:before="0" w:beforeAutospacing="0" w:after="0" w:afterAutospacing="0"/>
        <w:jc w:val="center"/>
        <w:outlineLvl w:val="0"/>
        <w:rPr>
          <w:rFonts w:ascii="Times New Roman" w:hAnsi="Times New Roman" w:eastAsia="黑体"/>
          <w:snapToGrid w:val="0"/>
          <w:color w:val="auto"/>
          <w:sz w:val="30"/>
          <w:szCs w:val="30"/>
        </w:rPr>
      </w:pPr>
      <w:bookmarkStart w:id="3" w:name="_Toc31362"/>
      <w:r>
        <w:rPr>
          <w:rFonts w:hint="eastAsia" w:ascii="Times New Roman" w:hAnsi="Times New Roman" w:eastAsia="黑体"/>
          <w:snapToGrid w:val="0"/>
          <w:color w:val="auto"/>
          <w:sz w:val="30"/>
          <w:szCs w:val="30"/>
        </w:rPr>
        <w:t>三、区域环境质量现状、环境保护目标及评价标准</w:t>
      </w:r>
      <w:bookmarkEnd w:id="3"/>
    </w:p>
    <w:tbl>
      <w:tblPr>
        <w:tblStyle w:val="32"/>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7"/>
        <w:gridCol w:w="8264"/>
      </w:tblGrid>
      <w:tr w14:paraId="4FFDA0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807" w:type="dxa"/>
            <w:vAlign w:val="center"/>
          </w:tcPr>
          <w:p w14:paraId="5DB48772">
            <w:pPr>
              <w:adjustRightInd w:val="0"/>
              <w:snapToGrid w:val="0"/>
              <w:jc w:val="center"/>
              <w:rPr>
                <w:color w:val="auto"/>
                <w:kern w:val="0"/>
                <w:sz w:val="24"/>
              </w:rPr>
            </w:pPr>
            <w:r>
              <w:rPr>
                <w:color w:val="auto"/>
                <w:kern w:val="0"/>
                <w:sz w:val="24"/>
              </w:rPr>
              <w:t>区域</w:t>
            </w:r>
          </w:p>
          <w:p w14:paraId="20E07571">
            <w:pPr>
              <w:adjustRightInd w:val="0"/>
              <w:snapToGrid w:val="0"/>
              <w:jc w:val="center"/>
              <w:rPr>
                <w:color w:val="auto"/>
                <w:kern w:val="0"/>
                <w:sz w:val="24"/>
              </w:rPr>
            </w:pPr>
            <w:r>
              <w:rPr>
                <w:color w:val="auto"/>
                <w:kern w:val="0"/>
                <w:sz w:val="24"/>
              </w:rPr>
              <w:t>环境</w:t>
            </w:r>
          </w:p>
          <w:p w14:paraId="17918896">
            <w:pPr>
              <w:adjustRightInd w:val="0"/>
              <w:snapToGrid w:val="0"/>
              <w:jc w:val="center"/>
              <w:rPr>
                <w:color w:val="auto"/>
                <w:kern w:val="0"/>
                <w:sz w:val="24"/>
              </w:rPr>
            </w:pPr>
            <w:r>
              <w:rPr>
                <w:color w:val="auto"/>
                <w:kern w:val="0"/>
                <w:sz w:val="24"/>
              </w:rPr>
              <w:t>质量</w:t>
            </w:r>
          </w:p>
          <w:p w14:paraId="020AB848">
            <w:pPr>
              <w:adjustRightInd w:val="0"/>
              <w:snapToGrid w:val="0"/>
              <w:jc w:val="center"/>
              <w:rPr>
                <w:color w:val="auto"/>
                <w:kern w:val="0"/>
                <w:szCs w:val="21"/>
              </w:rPr>
            </w:pPr>
            <w:r>
              <w:rPr>
                <w:color w:val="auto"/>
                <w:kern w:val="0"/>
                <w:sz w:val="24"/>
              </w:rPr>
              <w:t>现状</w:t>
            </w:r>
          </w:p>
        </w:tc>
        <w:tc>
          <w:tcPr>
            <w:tcW w:w="8264" w:type="dxa"/>
            <w:vAlign w:val="center"/>
          </w:tcPr>
          <w:p w14:paraId="2078E049">
            <w:pPr>
              <w:spacing w:line="360" w:lineRule="auto"/>
              <w:ind w:firstLine="482" w:firstLineChars="200"/>
              <w:rPr>
                <w:color w:val="auto"/>
                <w:sz w:val="24"/>
                <w:u w:val="none"/>
              </w:rPr>
            </w:pPr>
            <w:r>
              <w:rPr>
                <w:b/>
                <w:bCs/>
                <w:color w:val="auto"/>
                <w:sz w:val="24"/>
                <w:u w:val="none"/>
              </w:rPr>
              <w:t>1大气环境质量现状</w:t>
            </w:r>
          </w:p>
          <w:p w14:paraId="4FF0018E">
            <w:pPr>
              <w:spacing w:line="360" w:lineRule="auto"/>
              <w:ind w:firstLine="480" w:firstLineChars="200"/>
              <w:rPr>
                <w:color w:val="auto"/>
                <w:sz w:val="24"/>
                <w:u w:val="none"/>
              </w:rPr>
            </w:pPr>
            <w:r>
              <w:rPr>
                <w:color w:val="auto"/>
                <w:sz w:val="24"/>
                <w:u w:val="none"/>
              </w:rPr>
              <w:t>（1）达标区判定</w:t>
            </w:r>
          </w:p>
          <w:p w14:paraId="6C280A5D">
            <w:pPr>
              <w:spacing w:line="360" w:lineRule="auto"/>
              <w:ind w:firstLine="480" w:firstLineChars="200"/>
              <w:rPr>
                <w:color w:val="auto"/>
                <w:sz w:val="24"/>
                <w:u w:val="none"/>
              </w:rPr>
            </w:pPr>
            <w:r>
              <w:rPr>
                <w:color w:val="auto"/>
                <w:sz w:val="24"/>
                <w:u w:val="none"/>
              </w:rPr>
              <w:t>根据《环境影响评价技术导则-大气环境》（HJ2.2-2018），项目所在区域达标判定，优先采用国家或地方生态环境主管部门公开发布的评价基准年环境质量公告或环境质量报告中的数据或结论，</w:t>
            </w:r>
            <w:r>
              <w:rPr>
                <w:rFonts w:hint="eastAsia"/>
                <w:color w:val="auto"/>
                <w:sz w:val="24"/>
                <w:u w:val="none"/>
              </w:rPr>
              <w:t>本项目环境空气质量现状资料引用湘西土家族苗族自治州生态环境局发布的环境空气质量日报（2023年度）中龙山县的统计结果作为评价依据，数据表明龙山县环境空气中SO</w:t>
            </w:r>
            <w:r>
              <w:rPr>
                <w:rFonts w:hint="eastAsia"/>
                <w:color w:val="auto"/>
                <w:sz w:val="24"/>
                <w:u w:val="none"/>
                <w:vertAlign w:val="subscript"/>
              </w:rPr>
              <w:t>2</w:t>
            </w:r>
            <w:r>
              <w:rPr>
                <w:rFonts w:hint="eastAsia"/>
                <w:color w:val="auto"/>
                <w:sz w:val="24"/>
                <w:u w:val="none"/>
              </w:rPr>
              <w:t>、NO</w:t>
            </w:r>
            <w:r>
              <w:rPr>
                <w:rFonts w:hint="eastAsia"/>
                <w:color w:val="auto"/>
                <w:sz w:val="24"/>
                <w:u w:val="none"/>
                <w:vertAlign w:val="subscript"/>
              </w:rPr>
              <w:t>2</w:t>
            </w:r>
            <w:r>
              <w:rPr>
                <w:rFonts w:hint="eastAsia"/>
                <w:color w:val="auto"/>
                <w:sz w:val="24"/>
                <w:u w:val="none"/>
              </w:rPr>
              <w:t>、O</w:t>
            </w:r>
            <w:r>
              <w:rPr>
                <w:rFonts w:hint="eastAsia"/>
                <w:color w:val="auto"/>
                <w:sz w:val="24"/>
                <w:u w:val="none"/>
                <w:vertAlign w:val="subscript"/>
              </w:rPr>
              <w:t>3</w:t>
            </w:r>
            <w:r>
              <w:rPr>
                <w:rFonts w:hint="eastAsia"/>
                <w:color w:val="auto"/>
                <w:sz w:val="24"/>
                <w:u w:val="none"/>
              </w:rPr>
              <w:t>、CO、PM</w:t>
            </w:r>
            <w:r>
              <w:rPr>
                <w:rFonts w:hint="eastAsia"/>
                <w:color w:val="auto"/>
                <w:sz w:val="24"/>
                <w:u w:val="none"/>
                <w:vertAlign w:val="subscript"/>
              </w:rPr>
              <w:t>10</w:t>
            </w:r>
            <w:r>
              <w:rPr>
                <w:rFonts w:hint="eastAsia"/>
                <w:color w:val="auto"/>
                <w:sz w:val="24"/>
                <w:u w:val="none"/>
              </w:rPr>
              <w:t>和PM</w:t>
            </w:r>
            <w:r>
              <w:rPr>
                <w:rFonts w:hint="eastAsia"/>
                <w:color w:val="auto"/>
                <w:sz w:val="24"/>
                <w:u w:val="none"/>
                <w:vertAlign w:val="subscript"/>
              </w:rPr>
              <w:t>2.5</w:t>
            </w:r>
            <w:r>
              <w:rPr>
                <w:rFonts w:hint="eastAsia"/>
                <w:color w:val="auto"/>
                <w:sz w:val="24"/>
                <w:u w:val="none"/>
              </w:rPr>
              <w:t>六项监测因子均满足《环境空气质量标准》（GB3095-2012）中的二级标准要求，属于空气质量达标区</w:t>
            </w:r>
            <w:r>
              <w:rPr>
                <w:color w:val="auto"/>
                <w:sz w:val="24"/>
                <w:u w:val="none"/>
              </w:rPr>
              <w:t>。</w:t>
            </w:r>
          </w:p>
          <w:p w14:paraId="0B272AF9">
            <w:pPr>
              <w:spacing w:line="360" w:lineRule="auto"/>
              <w:ind w:firstLine="482" w:firstLineChars="200"/>
              <w:rPr>
                <w:b/>
                <w:bCs/>
                <w:color w:val="auto"/>
                <w:sz w:val="24"/>
                <w:u w:val="none"/>
              </w:rPr>
            </w:pPr>
            <w:r>
              <w:rPr>
                <w:b/>
                <w:bCs/>
                <w:color w:val="auto"/>
                <w:sz w:val="24"/>
                <w:u w:val="none"/>
              </w:rPr>
              <w:t>2地表水环境质量现状</w:t>
            </w:r>
          </w:p>
          <w:p w14:paraId="42F5DA73">
            <w:pPr>
              <w:pStyle w:val="87"/>
              <w:spacing w:line="360" w:lineRule="auto"/>
              <w:jc w:val="left"/>
              <w:rPr>
                <w:rFonts w:hint="eastAsia" w:hAnsi="Times New Roman" w:cs="Times New Roman"/>
                <w:bCs/>
                <w:color w:val="auto"/>
                <w:sz w:val="24"/>
                <w:u w:val="none"/>
                <w:lang w:val="en-US" w:eastAsia="zh-CN"/>
              </w:rPr>
            </w:pPr>
            <w:r>
              <w:rPr>
                <w:rFonts w:hint="eastAsia" w:hAnsi="Times New Roman" w:cs="Times New Roman"/>
                <w:bCs/>
                <w:color w:val="auto"/>
                <w:sz w:val="24"/>
                <w:u w:val="none"/>
                <w:lang w:val="en-US" w:eastAsia="zh-CN"/>
              </w:rPr>
              <w:t>项目受纳水体为果利河，果利河其最终向西流入酉水河，本评价地表水环境质量现状引用湘西州生态环境局公布的2023年1月~12月环境质量公告信息中地表水环境质量现状监测结论，据此做出分析与评价。</w:t>
            </w:r>
          </w:p>
          <w:p w14:paraId="703B38C2">
            <w:pPr>
              <w:pStyle w:val="87"/>
              <w:spacing w:line="360" w:lineRule="auto"/>
              <w:jc w:val="left"/>
              <w:rPr>
                <w:rFonts w:hint="eastAsia" w:hAnsi="Times New Roman" w:cs="Times New Roman"/>
                <w:bCs/>
                <w:color w:val="auto"/>
                <w:sz w:val="24"/>
                <w:u w:val="none"/>
                <w:lang w:val="en-US" w:eastAsia="zh-CN"/>
              </w:rPr>
            </w:pPr>
            <w:r>
              <w:rPr>
                <w:rFonts w:hint="eastAsia" w:hAnsi="Times New Roman" w:cs="Times New Roman"/>
                <w:bCs/>
                <w:color w:val="auto"/>
                <w:sz w:val="24"/>
                <w:u w:val="none"/>
                <w:lang w:val="en-US" w:eastAsia="zh-CN"/>
              </w:rPr>
              <w:t>本项目引用湘西州环境主管部门发布的《湘西州地表水控制断面水质情况》中跳鱼洞电站（果利河）、民安街道三湾塘村（酉水，果利河汇入口下游670m）监测断面数据。</w:t>
            </w:r>
          </w:p>
          <w:p w14:paraId="1D53CC65">
            <w:pPr>
              <w:pStyle w:val="87"/>
              <w:spacing w:line="360" w:lineRule="auto"/>
              <w:jc w:val="left"/>
              <w:rPr>
                <w:rFonts w:hint="eastAsia" w:hAnsi="Times New Roman" w:cs="Times New Roman"/>
                <w:bCs/>
                <w:color w:val="auto"/>
                <w:sz w:val="24"/>
                <w:u w:val="none"/>
                <w:lang w:val="en-US" w:eastAsia="zh-CN"/>
              </w:rPr>
            </w:pPr>
            <w:r>
              <w:rPr>
                <w:rFonts w:hint="eastAsia" w:hAnsi="Times New Roman" w:cs="Times New Roman"/>
                <w:bCs/>
                <w:color w:val="auto"/>
                <w:sz w:val="24"/>
                <w:u w:val="none"/>
                <w:lang w:val="en-US" w:eastAsia="zh-CN"/>
              </w:rPr>
              <w:t>根据2023年湘西州环境主管部门发布的《湘西州地表水控制断面水质情况》中关于湘西州地表水环境质监测因子pH、溶解氧、高锰酸盐指数、化学需氧量、五日生化需氧量、氨氮、总磷、铜、锌、氟化物、硒、砷、汞、镉、六价铬、铅、氰化物、挥发酚、石油类、阴离子表面活性剂、硫化物的数据可知，跳鱼洞电站监测断面监测因子氨氮、总磷偶尔超标，其他因子均符合《地表水环境质量标准》（GB3838-2002）Ⅲ类标准要求。民安街道三湾塘村监测断面监测因子氨氮、溶解氧偶尔超标，其他因子均符合《地表水环境质量标准》（GB3838-2002）Ⅲ类标准要求。具体数据见地表水环境影响专项评价章节。</w:t>
            </w:r>
          </w:p>
          <w:p w14:paraId="7F8FF974">
            <w:pPr>
              <w:pStyle w:val="87"/>
              <w:spacing w:line="360" w:lineRule="auto"/>
              <w:jc w:val="left"/>
              <w:rPr>
                <w:rFonts w:hint="eastAsia" w:hAnsi="Times New Roman" w:cs="Times New Roman"/>
                <w:bCs/>
                <w:color w:val="auto"/>
                <w:sz w:val="24"/>
                <w:u w:val="none"/>
                <w:lang w:val="en-US" w:eastAsia="zh-CN"/>
              </w:rPr>
            </w:pPr>
            <w:r>
              <w:rPr>
                <w:rFonts w:hint="eastAsia" w:hAnsi="Times New Roman" w:cs="Times New Roman"/>
                <w:bCs/>
                <w:color w:val="auto"/>
                <w:sz w:val="24"/>
                <w:u w:val="none"/>
                <w:lang w:val="en-US" w:eastAsia="zh-CN"/>
              </w:rPr>
              <w:t>超标原因：现状龙山县城区污水基本上无合理的系统分区，根据《龙山县城区及里耶镇排水管道普查报告》（2020年7 月），龙山县城区（西至湘鄂路，东至太平山路，北至龙山大道，南至老城路），已建成排水管线约 90km（含沿河截污主管），但基本上为雨污合流管渠。部分龙山县老城区生活污水直排入果利河。</w:t>
            </w:r>
          </w:p>
          <w:p w14:paraId="3EB26E44">
            <w:pPr>
              <w:pStyle w:val="87"/>
              <w:spacing w:line="360" w:lineRule="auto"/>
              <w:jc w:val="left"/>
              <w:rPr>
                <w:rFonts w:hint="eastAsia" w:hAnsi="Times New Roman" w:cs="Times New Roman"/>
                <w:bCs/>
                <w:color w:val="auto"/>
                <w:sz w:val="24"/>
                <w:u w:val="none"/>
                <w:lang w:val="en-US" w:eastAsia="zh-CN"/>
              </w:rPr>
            </w:pPr>
            <w:r>
              <w:rPr>
                <w:rFonts w:hint="eastAsia" w:hAnsi="Times New Roman" w:cs="Times New Roman"/>
                <w:bCs/>
                <w:color w:val="auto"/>
                <w:sz w:val="24"/>
                <w:u w:val="none"/>
                <w:lang w:val="en-US" w:eastAsia="zh-CN"/>
              </w:rPr>
              <w:t>解决办法：目前龙山县住房和城乡建设局已编制《龙山县城区污水处理设施提质增效工程可行性研究报告》，具体建设工程为：分三期实施：一期工程，主要实施龙山县老城区排水管网工程（大成酒店至老人民医院段）；二期工程，主要实施龙山县市民之家至螺蛳滩污水处理厂污水主干管工程，龙山县老城区排水管网工程（汤家沟水库至龙山县第一芙蓉学校段），民安污水处理厂改扩建工程；三期工程，主要实施高铁新城片区污水管网建设及污水处理厂建设工程。待龙山县城区污水处理设施提质增效工程第一期、第二期的管网工程实施，彻底解决龙山县城区雨污合流、污水收集不到位的问题；待第二期民安污水处理厂改扩建工程的实施，将会收集龙山县老城区生活污水，将龙山县老城区区域所有生活污水纳入该污水处理，避免污水未经处理直接排入果利河，减少污染物向果利河排放，有利于果利河和酉水水质的改善。</w:t>
            </w:r>
          </w:p>
          <w:p w14:paraId="28C476E1">
            <w:pPr>
              <w:pStyle w:val="87"/>
              <w:spacing w:line="360" w:lineRule="auto"/>
              <w:jc w:val="left"/>
              <w:rPr>
                <w:rFonts w:hint="eastAsia" w:hAnsi="Times New Roman" w:cs="Times New Roman"/>
                <w:bCs/>
                <w:color w:val="auto"/>
                <w:sz w:val="24"/>
                <w:u w:val="none"/>
                <w:lang w:val="en-US" w:eastAsia="zh-CN"/>
              </w:rPr>
            </w:pPr>
            <w:r>
              <w:rPr>
                <w:rFonts w:hint="eastAsia" w:hAnsi="Times New Roman" w:cs="Times New Roman"/>
                <w:bCs/>
                <w:color w:val="auto"/>
                <w:sz w:val="24"/>
                <w:u w:val="none"/>
                <w:lang w:val="en-US" w:eastAsia="zh-CN"/>
              </w:rPr>
              <w:t>龙山县城区污水处理设施提质增效工程正在进行实施，待实施完成，果利河和酉水区域水质将会变好，可长期稳定满足《地表水环境质量标准》GB3838-2002的III类标准要求。</w:t>
            </w:r>
          </w:p>
          <w:p w14:paraId="14D920C5">
            <w:pPr>
              <w:pStyle w:val="87"/>
              <w:spacing w:line="360" w:lineRule="auto"/>
              <w:jc w:val="left"/>
              <w:rPr>
                <w:rFonts w:hint="eastAsia" w:hAnsi="Times New Roman" w:cs="Times New Roman"/>
                <w:bCs/>
                <w:color w:val="auto"/>
                <w:sz w:val="24"/>
                <w:u w:val="none"/>
                <w:lang w:val="en-US" w:eastAsia="zh-CN"/>
              </w:rPr>
            </w:pPr>
            <w:r>
              <w:rPr>
                <w:rFonts w:hint="eastAsia" w:hAnsi="Times New Roman" w:cs="Times New Roman"/>
                <w:bCs/>
                <w:color w:val="auto"/>
                <w:sz w:val="24"/>
                <w:u w:val="none"/>
                <w:lang w:val="en-US" w:eastAsia="zh-CN"/>
              </w:rPr>
              <w:t>本项目尾水排入果利河，为了解果利河水质现状，本次评价于2024.7.23~2024.7.25对果利河进行了现状监测。</w:t>
            </w:r>
          </w:p>
          <w:p w14:paraId="05B3A4D6">
            <w:pPr>
              <w:pStyle w:val="87"/>
              <w:spacing w:line="360" w:lineRule="auto"/>
              <w:jc w:val="left"/>
              <w:rPr>
                <w:rFonts w:hint="eastAsia" w:hAnsi="Times New Roman" w:cs="Times New Roman"/>
                <w:bCs/>
                <w:color w:val="auto"/>
                <w:sz w:val="24"/>
                <w:u w:val="none"/>
                <w:lang w:val="en-US" w:eastAsia="zh-CN"/>
              </w:rPr>
            </w:pPr>
            <w:r>
              <w:rPr>
                <w:rFonts w:hint="eastAsia" w:hAnsi="Times New Roman" w:cs="Times New Roman"/>
                <w:bCs/>
                <w:color w:val="auto"/>
                <w:sz w:val="24"/>
                <w:u w:val="none"/>
                <w:lang w:val="en-US" w:eastAsia="zh-CN"/>
              </w:rPr>
              <w:t>（1）监测断面</w:t>
            </w:r>
          </w:p>
          <w:p w14:paraId="30C05C58">
            <w:pPr>
              <w:jc w:val="center"/>
              <w:rPr>
                <w:b/>
                <w:bCs/>
                <w:color w:val="auto"/>
                <w:szCs w:val="21"/>
                <w:u w:val="none"/>
              </w:rPr>
            </w:pPr>
            <w:r>
              <w:rPr>
                <w:b/>
                <w:bCs/>
                <w:color w:val="auto"/>
                <w:szCs w:val="21"/>
                <w:u w:val="none"/>
              </w:rPr>
              <w:t>表3</w:t>
            </w:r>
            <w:r>
              <w:rPr>
                <w:rFonts w:hint="eastAsia"/>
                <w:b/>
                <w:bCs/>
                <w:color w:val="auto"/>
                <w:szCs w:val="21"/>
                <w:u w:val="none"/>
                <w:lang w:val="en-US" w:eastAsia="zh-CN"/>
              </w:rPr>
              <w:t>-1</w:t>
            </w:r>
            <w:r>
              <w:rPr>
                <w:b/>
                <w:bCs/>
                <w:color w:val="auto"/>
                <w:szCs w:val="21"/>
                <w:u w:val="none"/>
              </w:rPr>
              <w:t xml:space="preserve"> 地表水监测断面</w:t>
            </w:r>
          </w:p>
          <w:tbl>
            <w:tblPr>
              <w:tblStyle w:val="32"/>
              <w:tblW w:w="805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36"/>
              <w:gridCol w:w="5914"/>
            </w:tblGrid>
            <w:tr w14:paraId="4E6F43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6" w:type="dxa"/>
                  <w:tcBorders>
                    <w:tl2br w:val="nil"/>
                    <w:tr2bl w:val="nil"/>
                  </w:tcBorders>
                  <w:vAlign w:val="center"/>
                </w:tcPr>
                <w:p w14:paraId="3D84EC3C">
                  <w:pPr>
                    <w:adjustRightInd w:val="0"/>
                    <w:snapToGrid w:val="0"/>
                    <w:jc w:val="center"/>
                    <w:rPr>
                      <w:b/>
                      <w:color w:val="auto"/>
                      <w:sz w:val="21"/>
                      <w:szCs w:val="21"/>
                      <w:u w:val="none"/>
                    </w:rPr>
                  </w:pPr>
                  <w:r>
                    <w:rPr>
                      <w:b/>
                      <w:color w:val="auto"/>
                      <w:sz w:val="21"/>
                      <w:szCs w:val="21"/>
                      <w:u w:val="none"/>
                    </w:rPr>
                    <w:t>断面编号</w:t>
                  </w:r>
                </w:p>
              </w:tc>
              <w:tc>
                <w:tcPr>
                  <w:tcW w:w="5914" w:type="dxa"/>
                  <w:tcBorders>
                    <w:tl2br w:val="nil"/>
                    <w:tr2bl w:val="nil"/>
                  </w:tcBorders>
                  <w:vAlign w:val="center"/>
                </w:tcPr>
                <w:p w14:paraId="534DED2D">
                  <w:pPr>
                    <w:adjustRightInd w:val="0"/>
                    <w:snapToGrid w:val="0"/>
                    <w:jc w:val="center"/>
                    <w:rPr>
                      <w:b/>
                      <w:color w:val="auto"/>
                      <w:sz w:val="21"/>
                      <w:szCs w:val="21"/>
                      <w:u w:val="none"/>
                    </w:rPr>
                  </w:pPr>
                  <w:r>
                    <w:rPr>
                      <w:b/>
                      <w:color w:val="auto"/>
                      <w:sz w:val="21"/>
                      <w:szCs w:val="21"/>
                      <w:u w:val="none"/>
                    </w:rPr>
                    <w:t>监测断面</w:t>
                  </w:r>
                </w:p>
              </w:tc>
            </w:tr>
            <w:tr w14:paraId="5C792C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6" w:type="dxa"/>
                  <w:tcBorders>
                    <w:tl2br w:val="nil"/>
                    <w:tr2bl w:val="nil"/>
                  </w:tcBorders>
                  <w:vAlign w:val="center"/>
                </w:tcPr>
                <w:p w14:paraId="6CFED217">
                  <w:pPr>
                    <w:adjustRightInd w:val="0"/>
                    <w:snapToGrid w:val="0"/>
                    <w:jc w:val="center"/>
                    <w:rPr>
                      <w:color w:val="auto"/>
                      <w:sz w:val="21"/>
                      <w:szCs w:val="21"/>
                      <w:u w:val="none"/>
                    </w:rPr>
                  </w:pPr>
                  <w:r>
                    <w:rPr>
                      <w:rFonts w:hint="eastAsia"/>
                      <w:color w:val="auto"/>
                      <w:sz w:val="21"/>
                      <w:szCs w:val="21"/>
                      <w:u w:val="none"/>
                    </w:rPr>
                    <w:t>1#</w:t>
                  </w:r>
                </w:p>
              </w:tc>
              <w:tc>
                <w:tcPr>
                  <w:tcW w:w="5914" w:type="dxa"/>
                  <w:tcBorders>
                    <w:tl2br w:val="nil"/>
                    <w:tr2bl w:val="nil"/>
                  </w:tcBorders>
                  <w:vAlign w:val="center"/>
                </w:tcPr>
                <w:p w14:paraId="168C5EFD">
                  <w:pPr>
                    <w:adjustRightInd w:val="0"/>
                    <w:snapToGrid w:val="0"/>
                    <w:jc w:val="center"/>
                    <w:rPr>
                      <w:color w:val="auto"/>
                      <w:sz w:val="21"/>
                      <w:szCs w:val="21"/>
                      <w:highlight w:val="none"/>
                      <w:u w:val="none"/>
                    </w:rPr>
                  </w:pPr>
                  <w:r>
                    <w:rPr>
                      <w:rFonts w:hint="eastAsia"/>
                      <w:color w:val="auto"/>
                      <w:sz w:val="21"/>
                      <w:szCs w:val="21"/>
                      <w:highlight w:val="none"/>
                      <w:u w:val="none"/>
                    </w:rPr>
                    <w:t>项目排污口上游500m处</w:t>
                  </w:r>
                </w:p>
              </w:tc>
            </w:tr>
            <w:tr w14:paraId="0BAF38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6" w:type="dxa"/>
                  <w:tcBorders>
                    <w:tl2br w:val="nil"/>
                    <w:tr2bl w:val="nil"/>
                  </w:tcBorders>
                  <w:vAlign w:val="center"/>
                </w:tcPr>
                <w:p w14:paraId="35644364">
                  <w:pPr>
                    <w:adjustRightInd w:val="0"/>
                    <w:snapToGrid w:val="0"/>
                    <w:jc w:val="center"/>
                    <w:rPr>
                      <w:color w:val="auto"/>
                      <w:sz w:val="21"/>
                      <w:szCs w:val="21"/>
                      <w:u w:val="none"/>
                    </w:rPr>
                  </w:pPr>
                  <w:r>
                    <w:rPr>
                      <w:rFonts w:hint="eastAsia"/>
                      <w:color w:val="auto"/>
                      <w:sz w:val="21"/>
                      <w:szCs w:val="21"/>
                      <w:u w:val="none"/>
                    </w:rPr>
                    <w:t>2#</w:t>
                  </w:r>
                </w:p>
              </w:tc>
              <w:tc>
                <w:tcPr>
                  <w:tcW w:w="5914" w:type="dxa"/>
                  <w:tcBorders>
                    <w:tl2br w:val="nil"/>
                    <w:tr2bl w:val="nil"/>
                  </w:tcBorders>
                  <w:vAlign w:val="center"/>
                </w:tcPr>
                <w:p w14:paraId="36F7F23C">
                  <w:pPr>
                    <w:adjustRightInd w:val="0"/>
                    <w:snapToGrid w:val="0"/>
                    <w:jc w:val="center"/>
                    <w:rPr>
                      <w:color w:val="auto"/>
                      <w:sz w:val="21"/>
                      <w:szCs w:val="21"/>
                      <w:highlight w:val="none"/>
                      <w:u w:val="none"/>
                    </w:rPr>
                  </w:pPr>
                  <w:r>
                    <w:rPr>
                      <w:rFonts w:hint="eastAsia"/>
                      <w:color w:val="auto"/>
                      <w:sz w:val="21"/>
                      <w:szCs w:val="21"/>
                      <w:highlight w:val="none"/>
                      <w:u w:val="none"/>
                    </w:rPr>
                    <w:t>项目排污口</w:t>
                  </w:r>
                  <w:r>
                    <w:rPr>
                      <w:rFonts w:hint="eastAsia"/>
                      <w:color w:val="auto"/>
                      <w:sz w:val="21"/>
                      <w:szCs w:val="21"/>
                      <w:highlight w:val="none"/>
                      <w:u w:val="none"/>
                      <w:lang w:val="en-US" w:eastAsia="zh-CN"/>
                    </w:rPr>
                    <w:t>下游1000m</w:t>
                  </w:r>
                  <w:r>
                    <w:rPr>
                      <w:rFonts w:hint="eastAsia"/>
                      <w:color w:val="auto"/>
                      <w:sz w:val="21"/>
                      <w:szCs w:val="21"/>
                      <w:highlight w:val="none"/>
                      <w:u w:val="none"/>
                    </w:rPr>
                    <w:t>处</w:t>
                  </w:r>
                </w:p>
              </w:tc>
            </w:tr>
            <w:tr w14:paraId="19FC82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36" w:type="dxa"/>
                  <w:tcBorders>
                    <w:tl2br w:val="nil"/>
                    <w:tr2bl w:val="nil"/>
                  </w:tcBorders>
                  <w:vAlign w:val="center"/>
                </w:tcPr>
                <w:p w14:paraId="787FE5F9">
                  <w:pPr>
                    <w:adjustRightInd w:val="0"/>
                    <w:snapToGrid w:val="0"/>
                    <w:jc w:val="center"/>
                    <w:rPr>
                      <w:color w:val="auto"/>
                      <w:sz w:val="21"/>
                      <w:szCs w:val="21"/>
                      <w:u w:val="none"/>
                    </w:rPr>
                  </w:pPr>
                  <w:r>
                    <w:rPr>
                      <w:rFonts w:hint="eastAsia"/>
                      <w:color w:val="auto"/>
                      <w:sz w:val="21"/>
                      <w:szCs w:val="21"/>
                      <w:u w:val="none"/>
                    </w:rPr>
                    <w:t>3#</w:t>
                  </w:r>
                </w:p>
              </w:tc>
              <w:tc>
                <w:tcPr>
                  <w:tcW w:w="5914" w:type="dxa"/>
                  <w:tcBorders>
                    <w:tl2br w:val="nil"/>
                    <w:tr2bl w:val="nil"/>
                  </w:tcBorders>
                  <w:vAlign w:val="center"/>
                </w:tcPr>
                <w:p w14:paraId="79267A91">
                  <w:pPr>
                    <w:adjustRightInd w:val="0"/>
                    <w:snapToGrid w:val="0"/>
                    <w:jc w:val="center"/>
                    <w:rPr>
                      <w:color w:val="auto"/>
                      <w:sz w:val="21"/>
                      <w:szCs w:val="21"/>
                      <w:highlight w:val="none"/>
                      <w:u w:val="none"/>
                    </w:rPr>
                  </w:pPr>
                  <w:r>
                    <w:rPr>
                      <w:rFonts w:hint="eastAsia"/>
                      <w:color w:val="auto"/>
                      <w:sz w:val="21"/>
                      <w:szCs w:val="21"/>
                      <w:highlight w:val="none"/>
                      <w:u w:val="none"/>
                    </w:rPr>
                    <w:t>项目排污口下游</w:t>
                  </w:r>
                  <w:r>
                    <w:rPr>
                      <w:rFonts w:hint="eastAsia"/>
                      <w:color w:val="auto"/>
                      <w:sz w:val="21"/>
                      <w:szCs w:val="21"/>
                      <w:highlight w:val="none"/>
                      <w:u w:val="none"/>
                      <w:lang w:val="en-US" w:eastAsia="zh-CN"/>
                    </w:rPr>
                    <w:t>250</w:t>
                  </w:r>
                  <w:r>
                    <w:rPr>
                      <w:rFonts w:hint="eastAsia"/>
                      <w:color w:val="auto"/>
                      <w:sz w:val="21"/>
                      <w:szCs w:val="21"/>
                      <w:highlight w:val="none"/>
                      <w:u w:val="none"/>
                    </w:rPr>
                    <w:t>0m处</w:t>
                  </w:r>
                </w:p>
              </w:tc>
            </w:tr>
          </w:tbl>
          <w:p w14:paraId="62147F46">
            <w:pPr>
              <w:pStyle w:val="87"/>
              <w:spacing w:line="360" w:lineRule="auto"/>
              <w:jc w:val="left"/>
              <w:rPr>
                <w:rFonts w:hint="eastAsia" w:hAnsi="Times New Roman" w:cs="Times New Roman"/>
                <w:bCs/>
                <w:color w:val="auto"/>
                <w:sz w:val="24"/>
                <w:u w:val="none"/>
                <w:lang w:val="en-US" w:eastAsia="zh-CN"/>
              </w:rPr>
            </w:pPr>
            <w:r>
              <w:rPr>
                <w:rFonts w:hint="eastAsia" w:hAnsi="Times New Roman" w:cs="Times New Roman"/>
                <w:bCs/>
                <w:color w:val="auto"/>
                <w:sz w:val="24"/>
                <w:u w:val="none"/>
                <w:lang w:val="en-US" w:eastAsia="zh-CN"/>
              </w:rPr>
              <w:t>（2）监测项目</w:t>
            </w:r>
          </w:p>
          <w:p w14:paraId="514C9535">
            <w:pPr>
              <w:pStyle w:val="87"/>
              <w:spacing w:line="360" w:lineRule="auto"/>
              <w:jc w:val="left"/>
              <w:rPr>
                <w:rFonts w:hint="default" w:hAnsi="Times New Roman" w:cs="Times New Roman"/>
                <w:bCs/>
                <w:color w:val="auto"/>
                <w:sz w:val="24"/>
                <w:u w:val="none"/>
                <w:lang w:val="en-US" w:eastAsia="zh-CN"/>
              </w:rPr>
            </w:pPr>
            <w:r>
              <w:rPr>
                <w:rFonts w:hint="eastAsia" w:hAnsi="Times New Roman" w:cs="Times New Roman"/>
                <w:bCs/>
                <w:color w:val="auto"/>
                <w:sz w:val="24"/>
                <w:u w:val="none"/>
                <w:lang w:val="en-US" w:eastAsia="zh-CN"/>
              </w:rPr>
              <w:t>水质监测项目为：水温、pH、溶解氧、高锰酸盐指数、COD、BOD5、氨氮、总氮、总磷、石油类、阴离子表面活性剂、粪大肠菌群、SS、硫化物、氯化物、氟化物、硫酸盐。</w:t>
            </w:r>
          </w:p>
          <w:p w14:paraId="1289AC27">
            <w:pPr>
              <w:pStyle w:val="87"/>
              <w:spacing w:line="360" w:lineRule="auto"/>
              <w:jc w:val="left"/>
              <w:rPr>
                <w:rFonts w:hint="eastAsia" w:hAnsi="Times New Roman" w:cs="Times New Roman"/>
                <w:bCs/>
                <w:color w:val="auto"/>
                <w:sz w:val="24"/>
                <w:u w:val="none"/>
                <w:lang w:val="en-US" w:eastAsia="zh-CN"/>
              </w:rPr>
            </w:pPr>
            <w:r>
              <w:rPr>
                <w:rFonts w:hint="eastAsia" w:hAnsi="Times New Roman" w:cs="Times New Roman"/>
                <w:bCs/>
                <w:color w:val="auto"/>
                <w:sz w:val="24"/>
                <w:u w:val="none"/>
                <w:lang w:val="en-US" w:eastAsia="zh-CN"/>
              </w:rPr>
              <w:t>（3）评价标准</w:t>
            </w:r>
          </w:p>
          <w:p w14:paraId="7DF124F3">
            <w:pPr>
              <w:pStyle w:val="87"/>
              <w:spacing w:line="360" w:lineRule="auto"/>
              <w:jc w:val="left"/>
              <w:rPr>
                <w:rFonts w:hint="eastAsia" w:hAnsi="Times New Roman" w:cs="Times New Roman"/>
                <w:bCs/>
                <w:color w:val="auto"/>
                <w:sz w:val="24"/>
                <w:u w:val="none"/>
                <w:lang w:val="en-US" w:eastAsia="zh-CN"/>
              </w:rPr>
            </w:pPr>
            <w:r>
              <w:rPr>
                <w:rFonts w:hint="eastAsia" w:hAnsi="Times New Roman" w:cs="Times New Roman"/>
                <w:bCs/>
                <w:color w:val="auto"/>
                <w:sz w:val="24"/>
                <w:u w:val="none"/>
                <w:lang w:val="en-US" w:eastAsia="zh-CN"/>
              </w:rPr>
              <w:t>所有评价因子均执行《地表水环境质量标准》（GB3838-2002）中</w:t>
            </w:r>
            <w:r>
              <w:rPr>
                <w:rFonts w:hint="eastAsia" w:hAnsi="Times New Roman" w:cs="Times New Roman"/>
                <w:bCs/>
                <w:color w:val="auto"/>
                <w:sz w:val="24"/>
                <w:u w:val="none"/>
                <w:lang w:val="en-US" w:eastAsia="zh-CN"/>
              </w:rPr>
              <w:fldChar w:fldCharType="begin"/>
            </w:r>
            <w:r>
              <w:rPr>
                <w:rFonts w:hint="eastAsia" w:hAnsi="Times New Roman" w:cs="Times New Roman"/>
                <w:bCs/>
                <w:color w:val="auto"/>
                <w:sz w:val="24"/>
                <w:u w:val="none"/>
                <w:lang w:val="en-US" w:eastAsia="zh-CN"/>
              </w:rPr>
              <w:instrText xml:space="preserve"> = 3 \* ROMAN </w:instrText>
            </w:r>
            <w:r>
              <w:rPr>
                <w:rFonts w:hint="eastAsia" w:hAnsi="Times New Roman" w:cs="Times New Roman"/>
                <w:bCs/>
                <w:color w:val="auto"/>
                <w:sz w:val="24"/>
                <w:u w:val="none"/>
                <w:lang w:val="en-US" w:eastAsia="zh-CN"/>
              </w:rPr>
              <w:fldChar w:fldCharType="separate"/>
            </w:r>
            <w:r>
              <w:rPr>
                <w:rFonts w:hint="eastAsia" w:hAnsi="Times New Roman" w:cs="Times New Roman"/>
                <w:bCs/>
                <w:color w:val="auto"/>
                <w:sz w:val="24"/>
                <w:u w:val="none"/>
                <w:lang w:val="en-US" w:eastAsia="zh-CN"/>
              </w:rPr>
              <w:t>III</w:t>
            </w:r>
            <w:r>
              <w:rPr>
                <w:rFonts w:hint="eastAsia" w:hAnsi="Times New Roman" w:cs="Times New Roman"/>
                <w:bCs/>
                <w:color w:val="auto"/>
                <w:sz w:val="24"/>
                <w:u w:val="none"/>
                <w:lang w:val="en-US" w:eastAsia="zh-CN"/>
              </w:rPr>
              <w:fldChar w:fldCharType="end"/>
            </w:r>
            <w:r>
              <w:rPr>
                <w:rFonts w:hint="eastAsia" w:hAnsi="Times New Roman" w:cs="Times New Roman"/>
                <w:bCs/>
                <w:color w:val="auto"/>
                <w:sz w:val="24"/>
                <w:u w:val="none"/>
                <w:lang w:val="en-US" w:eastAsia="zh-CN"/>
              </w:rPr>
              <w:t>类水域标准限值。</w:t>
            </w:r>
          </w:p>
          <w:p w14:paraId="64EA04CB">
            <w:pPr>
              <w:pStyle w:val="87"/>
              <w:spacing w:line="360" w:lineRule="auto"/>
              <w:jc w:val="left"/>
              <w:rPr>
                <w:rFonts w:hint="eastAsia" w:hAnsi="Times New Roman" w:cs="Times New Roman"/>
                <w:bCs/>
                <w:color w:val="auto"/>
                <w:sz w:val="24"/>
                <w:u w:val="none"/>
                <w:lang w:val="en-US" w:eastAsia="zh-CN"/>
              </w:rPr>
            </w:pPr>
            <w:r>
              <w:rPr>
                <w:rFonts w:hint="eastAsia" w:hAnsi="Times New Roman" w:cs="Times New Roman"/>
                <w:bCs/>
                <w:color w:val="auto"/>
                <w:sz w:val="24"/>
                <w:u w:val="none"/>
                <w:lang w:val="en-US" w:eastAsia="zh-CN"/>
              </w:rPr>
              <w:t>（4）评价方法</w:t>
            </w:r>
          </w:p>
          <w:p w14:paraId="3EB43A07">
            <w:pPr>
              <w:pStyle w:val="87"/>
              <w:spacing w:line="360" w:lineRule="auto"/>
              <w:jc w:val="left"/>
              <w:rPr>
                <w:rFonts w:hint="eastAsia" w:hAnsi="Times New Roman" w:cs="Times New Roman"/>
                <w:bCs/>
                <w:color w:val="auto"/>
                <w:sz w:val="24"/>
                <w:u w:val="none"/>
                <w:lang w:val="en-US" w:eastAsia="zh-CN"/>
              </w:rPr>
            </w:pPr>
            <w:bookmarkStart w:id="4" w:name="_Toc223858028"/>
            <w:bookmarkEnd w:id="4"/>
            <w:bookmarkStart w:id="5" w:name="_Toc223857952"/>
            <w:bookmarkEnd w:id="5"/>
            <w:bookmarkStart w:id="6" w:name="_Toc224041251"/>
            <w:r>
              <w:rPr>
                <w:rFonts w:hint="eastAsia" w:hAnsi="Times New Roman" w:cs="Times New Roman"/>
                <w:bCs/>
                <w:color w:val="auto"/>
                <w:sz w:val="24"/>
                <w:u w:val="none"/>
                <w:lang w:val="en-US" w:eastAsia="zh-CN"/>
              </w:rPr>
              <w:t>采用单项水质指数评价法，按照规定模式进行单因子指数计算，根据污染物单因子指数计算结果，分析地表水环境质量现状，论证其是否满足功能规划的要求，为工程实施后对水环境的影响预测提供依据。数学模式如下：</w:t>
            </w:r>
            <w:bookmarkEnd w:id="6"/>
          </w:p>
          <w:p w14:paraId="67A8B7D4">
            <w:pPr>
              <w:pStyle w:val="87"/>
              <w:spacing w:line="360" w:lineRule="auto"/>
              <w:jc w:val="left"/>
              <w:rPr>
                <w:rFonts w:hint="eastAsia" w:hAnsi="Times New Roman" w:cs="Times New Roman"/>
                <w:bCs/>
                <w:color w:val="auto"/>
                <w:sz w:val="24"/>
                <w:u w:val="none"/>
                <w:lang w:val="en-US" w:eastAsia="zh-CN"/>
              </w:rPr>
            </w:pPr>
            <w:r>
              <w:rPr>
                <w:rFonts w:hint="eastAsia" w:hAnsi="Times New Roman" w:cs="Times New Roman"/>
                <w:bCs/>
                <w:color w:val="auto"/>
                <w:sz w:val="24"/>
                <w:u w:val="none"/>
                <w:lang w:val="en-US" w:eastAsia="zh-CN"/>
              </w:rPr>
              <w:fldChar w:fldCharType="begin"/>
            </w:r>
            <w:r>
              <w:rPr>
                <w:rFonts w:hint="eastAsia" w:hAnsi="Times New Roman" w:cs="Times New Roman"/>
                <w:bCs/>
                <w:color w:val="auto"/>
                <w:sz w:val="24"/>
                <w:u w:val="none"/>
                <w:lang w:val="en-US" w:eastAsia="zh-CN"/>
              </w:rPr>
              <w:instrText xml:space="preserve"> = 1 \* GB3 </w:instrText>
            </w:r>
            <w:r>
              <w:rPr>
                <w:rFonts w:hint="eastAsia" w:hAnsi="Times New Roman" w:cs="Times New Roman"/>
                <w:bCs/>
                <w:color w:val="auto"/>
                <w:sz w:val="24"/>
                <w:u w:val="none"/>
                <w:lang w:val="en-US" w:eastAsia="zh-CN"/>
              </w:rPr>
              <w:fldChar w:fldCharType="separate"/>
            </w:r>
            <w:r>
              <w:rPr>
                <w:rFonts w:hint="eastAsia" w:hAnsi="Times New Roman" w:cs="Times New Roman"/>
                <w:bCs/>
                <w:color w:val="auto"/>
                <w:sz w:val="24"/>
                <w:u w:val="none"/>
                <w:lang w:val="en-US" w:eastAsia="zh-CN"/>
              </w:rPr>
              <w:t>①</w:t>
            </w:r>
            <w:r>
              <w:rPr>
                <w:rFonts w:hint="eastAsia" w:hAnsi="Times New Roman" w:cs="Times New Roman"/>
                <w:bCs/>
                <w:color w:val="auto"/>
                <w:sz w:val="24"/>
                <w:u w:val="none"/>
                <w:lang w:val="en-US" w:eastAsia="zh-CN"/>
              </w:rPr>
              <w:fldChar w:fldCharType="end"/>
            </w:r>
            <w:r>
              <w:rPr>
                <w:rFonts w:hint="eastAsia" w:hAnsi="Times New Roman" w:cs="Times New Roman"/>
                <w:bCs/>
                <w:color w:val="auto"/>
                <w:sz w:val="24"/>
                <w:u w:val="none"/>
                <w:lang w:val="en-US" w:eastAsia="zh-CN"/>
              </w:rPr>
              <w:t>一般污染物标准指数：</w:t>
            </w:r>
          </w:p>
          <w:p w14:paraId="71F0B09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color w:val="auto"/>
                <w:sz w:val="24"/>
                <w:u w:val="none"/>
              </w:rPr>
            </w:pPr>
            <w:r>
              <w:rPr>
                <w:color w:val="auto"/>
                <w:u w:val="none"/>
                <w:lang w:val="zh-CN"/>
              </w:rPr>
              <w:drawing>
                <wp:inline distT="0" distB="0" distL="114300" distR="114300">
                  <wp:extent cx="626745" cy="433070"/>
                  <wp:effectExtent l="0" t="0" r="0" b="4445"/>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25"/>
                          <a:stretch>
                            <a:fillRect/>
                          </a:stretch>
                        </pic:blipFill>
                        <pic:spPr>
                          <a:xfrm>
                            <a:off x="0" y="0"/>
                            <a:ext cx="626745" cy="433070"/>
                          </a:xfrm>
                          <a:prstGeom prst="rect">
                            <a:avLst/>
                          </a:prstGeom>
                          <a:noFill/>
                          <a:ln>
                            <a:noFill/>
                          </a:ln>
                        </pic:spPr>
                      </pic:pic>
                    </a:graphicData>
                  </a:graphic>
                </wp:inline>
              </w:drawing>
            </w:r>
          </w:p>
          <w:p w14:paraId="7FC670F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u w:val="none"/>
              </w:rPr>
            </w:pPr>
            <w:r>
              <w:rPr>
                <w:color w:val="auto"/>
                <w:sz w:val="24"/>
                <w:u w:val="none"/>
              </w:rPr>
              <w:t>式中：S</w:t>
            </w:r>
            <w:r>
              <w:rPr>
                <w:color w:val="auto"/>
                <w:sz w:val="24"/>
                <w:u w:val="none"/>
                <w:vertAlign w:val="subscript"/>
              </w:rPr>
              <w:t>ij</w:t>
            </w:r>
            <w:r>
              <w:rPr>
                <w:color w:val="auto"/>
                <w:sz w:val="24"/>
                <w:u w:val="none"/>
              </w:rPr>
              <w:t>——单项水质参数i在j点的标准指数；</w:t>
            </w:r>
          </w:p>
          <w:p w14:paraId="3AD3DF16">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color w:val="auto"/>
                <w:sz w:val="24"/>
                <w:u w:val="none"/>
              </w:rPr>
            </w:pPr>
            <w:r>
              <w:rPr>
                <w:color w:val="auto"/>
                <w:sz w:val="24"/>
                <w:u w:val="none"/>
              </w:rPr>
              <w:t>C</w:t>
            </w:r>
            <w:r>
              <w:rPr>
                <w:color w:val="auto"/>
                <w:sz w:val="24"/>
                <w:u w:val="none"/>
                <w:vertAlign w:val="subscript"/>
              </w:rPr>
              <w:t>ij</w:t>
            </w:r>
            <w:r>
              <w:rPr>
                <w:color w:val="auto"/>
                <w:sz w:val="24"/>
                <w:u w:val="none"/>
              </w:rPr>
              <w:t>——污染物i在监测点j点的浓度（mg/</w:t>
            </w:r>
            <w:r>
              <w:rPr>
                <w:rFonts w:hint="eastAsia"/>
                <w:color w:val="auto"/>
                <w:sz w:val="24"/>
                <w:u w:val="none"/>
                <w:lang w:val="en-US" w:eastAsia="zh-CN"/>
              </w:rPr>
              <w:t>L</w:t>
            </w:r>
            <w:r>
              <w:rPr>
                <w:color w:val="auto"/>
                <w:sz w:val="24"/>
                <w:u w:val="none"/>
              </w:rPr>
              <w:t>）；</w:t>
            </w:r>
          </w:p>
          <w:p w14:paraId="282208FD">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color w:val="auto"/>
                <w:sz w:val="24"/>
                <w:u w:val="none"/>
              </w:rPr>
            </w:pPr>
            <w:r>
              <w:rPr>
                <w:color w:val="auto"/>
                <w:sz w:val="24"/>
                <w:u w:val="none"/>
              </w:rPr>
              <w:t>C</w:t>
            </w:r>
            <w:r>
              <w:rPr>
                <w:color w:val="auto"/>
                <w:sz w:val="24"/>
                <w:u w:val="none"/>
                <w:vertAlign w:val="subscript"/>
              </w:rPr>
              <w:t>sj</w:t>
            </w:r>
            <w:r>
              <w:rPr>
                <w:color w:val="auto"/>
                <w:sz w:val="24"/>
                <w:u w:val="none"/>
              </w:rPr>
              <w:t>——水质参数i的地面水水质标准（mg/</w:t>
            </w:r>
            <w:r>
              <w:rPr>
                <w:rFonts w:hint="eastAsia"/>
                <w:color w:val="auto"/>
                <w:sz w:val="24"/>
                <w:u w:val="none"/>
                <w:lang w:val="en-US" w:eastAsia="zh-CN"/>
              </w:rPr>
              <w:t>L</w:t>
            </w:r>
            <w:r>
              <w:rPr>
                <w:color w:val="auto"/>
                <w:sz w:val="24"/>
                <w:u w:val="none"/>
              </w:rPr>
              <w:t>）。</w:t>
            </w:r>
          </w:p>
          <w:p w14:paraId="19768690">
            <w:pPr>
              <w:spacing w:line="500" w:lineRule="exact"/>
              <w:ind w:firstLine="480" w:firstLineChars="200"/>
              <w:rPr>
                <w:color w:val="auto"/>
                <w:sz w:val="24"/>
                <w:u w:val="none"/>
              </w:rPr>
            </w:pPr>
            <w:r>
              <w:rPr>
                <w:rFonts w:hint="eastAsia" w:ascii="宋体" w:hAnsi="宋体" w:cs="宋体"/>
                <w:color w:val="auto"/>
                <w:sz w:val="24"/>
                <w:u w:val="none"/>
              </w:rPr>
              <w:t>②</w:t>
            </w:r>
            <w:r>
              <w:rPr>
                <w:color w:val="auto"/>
                <w:sz w:val="24"/>
                <w:u w:val="none"/>
              </w:rPr>
              <w:t>pH标准指数：</w:t>
            </w:r>
          </w:p>
          <w:p w14:paraId="5523B3F2">
            <w:pPr>
              <w:ind w:firstLine="630" w:firstLineChars="300"/>
              <w:rPr>
                <w:color w:val="auto"/>
                <w:szCs w:val="21"/>
                <w:u w:val="none"/>
              </w:rPr>
            </w:pPr>
            <w:r>
              <w:rPr>
                <w:color w:val="auto"/>
                <w:szCs w:val="21"/>
                <w:u w:val="none"/>
              </w:rPr>
              <w:fldChar w:fldCharType="begin"/>
            </w:r>
            <w:r>
              <w:rPr>
                <w:color w:val="auto"/>
                <w:u w:val="none"/>
              </w:rPr>
              <w:instrText xml:space="preserve"> INCLUDEPICTURE "D:\\科博审核工作\\2022年\\4月份\\AppData\\Roaming\\Microsoft\\AppData\\AppData\\Roaming\\ADMINI~1\\AppData\\Local\\Temp\\ksohtml\\wps7B89.tmp.png" \* MERGEFORMAT </w:instrText>
            </w:r>
            <w:r>
              <w:rPr>
                <w:color w:val="auto"/>
                <w:szCs w:val="21"/>
                <w:u w:val="none"/>
              </w:rPr>
              <w:fldChar w:fldCharType="separate"/>
            </w:r>
            <w:r>
              <w:rPr>
                <w:color w:val="auto"/>
                <w:szCs w:val="21"/>
                <w:u w:val="none"/>
              </w:rPr>
              <w:drawing>
                <wp:inline distT="0" distB="0" distL="114300" distR="114300">
                  <wp:extent cx="1217930" cy="459105"/>
                  <wp:effectExtent l="0" t="0" r="1270" b="17145"/>
                  <wp:docPr id="30" name="图片 6" descr="wps7B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descr="wps7B89"/>
                          <pic:cNvPicPr>
                            <a:picLocks noChangeAspect="1"/>
                          </pic:cNvPicPr>
                        </pic:nvPicPr>
                        <pic:blipFill>
                          <a:blip r:embed="rId26"/>
                          <a:stretch>
                            <a:fillRect/>
                          </a:stretch>
                        </pic:blipFill>
                        <pic:spPr>
                          <a:xfrm>
                            <a:off x="0" y="0"/>
                            <a:ext cx="1217930" cy="459105"/>
                          </a:xfrm>
                          <a:prstGeom prst="rect">
                            <a:avLst/>
                          </a:prstGeom>
                          <a:noFill/>
                          <a:ln>
                            <a:noFill/>
                          </a:ln>
                        </pic:spPr>
                      </pic:pic>
                    </a:graphicData>
                  </a:graphic>
                </wp:inline>
              </w:drawing>
            </w:r>
            <w:r>
              <w:rPr>
                <w:color w:val="auto"/>
                <w:szCs w:val="21"/>
                <w:u w:val="none"/>
              </w:rPr>
              <w:fldChar w:fldCharType="end"/>
            </w:r>
            <w:r>
              <w:rPr>
                <w:color w:val="auto"/>
                <w:sz w:val="24"/>
                <w:u w:val="none"/>
              </w:rPr>
              <w:t xml:space="preserve">     pH</w:t>
            </w:r>
            <w:r>
              <w:rPr>
                <w:color w:val="auto"/>
                <w:sz w:val="24"/>
                <w:u w:val="none"/>
                <w:vertAlign w:val="subscript"/>
              </w:rPr>
              <w:t>j</w:t>
            </w:r>
            <w:r>
              <w:rPr>
                <w:color w:val="auto"/>
                <w:sz w:val="24"/>
                <w:u w:val="none"/>
              </w:rPr>
              <w:t>≤7.0</w:t>
            </w:r>
          </w:p>
          <w:p w14:paraId="5920A8FD">
            <w:pPr>
              <w:spacing w:line="500" w:lineRule="exact"/>
              <w:ind w:firstLine="420" w:firstLineChars="200"/>
              <w:rPr>
                <w:color w:val="auto"/>
                <w:sz w:val="24"/>
                <w:u w:val="none"/>
              </w:rPr>
            </w:pPr>
            <w:r>
              <w:rPr>
                <w:color w:val="auto"/>
                <w:u w:val="none"/>
                <w:lang w:val="zh-CN"/>
              </w:rPr>
              <w:drawing>
                <wp:anchor distT="0" distB="0" distL="114300" distR="114300" simplePos="0" relativeHeight="251661312" behindDoc="0" locked="0" layoutInCell="1" allowOverlap="1">
                  <wp:simplePos x="0" y="0"/>
                  <wp:positionH relativeFrom="column">
                    <wp:posOffset>285750</wp:posOffset>
                  </wp:positionH>
                  <wp:positionV relativeFrom="paragraph">
                    <wp:posOffset>151765</wp:posOffset>
                  </wp:positionV>
                  <wp:extent cx="1216025" cy="457200"/>
                  <wp:effectExtent l="0" t="0" r="3175" b="0"/>
                  <wp:wrapSquare wrapText="bothSides"/>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27"/>
                          <a:stretch>
                            <a:fillRect/>
                          </a:stretch>
                        </pic:blipFill>
                        <pic:spPr>
                          <a:xfrm>
                            <a:off x="0" y="0"/>
                            <a:ext cx="1216025" cy="457200"/>
                          </a:xfrm>
                          <a:prstGeom prst="rect">
                            <a:avLst/>
                          </a:prstGeom>
                          <a:noFill/>
                          <a:ln>
                            <a:noFill/>
                          </a:ln>
                        </pic:spPr>
                      </pic:pic>
                    </a:graphicData>
                  </a:graphic>
                </wp:anchor>
              </w:drawing>
            </w:r>
          </w:p>
          <w:p w14:paraId="48293B5D">
            <w:pPr>
              <w:spacing w:line="500" w:lineRule="exact"/>
              <w:ind w:firstLine="480" w:firstLineChars="200"/>
              <w:rPr>
                <w:color w:val="auto"/>
                <w:sz w:val="24"/>
                <w:u w:val="none"/>
              </w:rPr>
            </w:pPr>
            <w:r>
              <w:rPr>
                <w:color w:val="auto"/>
                <w:sz w:val="24"/>
                <w:u w:val="none"/>
              </w:rPr>
              <w:t>pH</w:t>
            </w:r>
            <w:r>
              <w:rPr>
                <w:color w:val="auto"/>
                <w:sz w:val="24"/>
                <w:u w:val="none"/>
                <w:vertAlign w:val="subscript"/>
              </w:rPr>
              <w:t>j</w:t>
            </w:r>
            <w:r>
              <w:rPr>
                <w:color w:val="auto"/>
                <w:sz w:val="24"/>
                <w:u w:val="none"/>
              </w:rPr>
              <w:t>＞7.0</w:t>
            </w:r>
          </w:p>
          <w:p w14:paraId="20B953D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u w:val="none"/>
              </w:rPr>
            </w:pPr>
            <w:r>
              <w:rPr>
                <w:color w:val="auto"/>
                <w:sz w:val="24"/>
                <w:u w:val="none"/>
              </w:rPr>
              <w:t>式中：pH</w:t>
            </w:r>
            <w:r>
              <w:rPr>
                <w:color w:val="auto"/>
                <w:sz w:val="24"/>
                <w:u w:val="none"/>
                <w:vertAlign w:val="subscript"/>
              </w:rPr>
              <w:t>j</w:t>
            </w:r>
            <w:r>
              <w:rPr>
                <w:color w:val="auto"/>
                <w:sz w:val="24"/>
                <w:u w:val="none"/>
              </w:rPr>
              <w:t>——监测点j的pH值；</w:t>
            </w:r>
          </w:p>
          <w:p w14:paraId="0A0321B9">
            <w:pPr>
              <w:spacing w:line="360" w:lineRule="auto"/>
              <w:ind w:firstLine="1200" w:firstLineChars="500"/>
              <w:rPr>
                <w:color w:val="auto"/>
                <w:sz w:val="24"/>
                <w:u w:val="none"/>
              </w:rPr>
            </w:pPr>
            <w:r>
              <w:rPr>
                <w:color w:val="auto"/>
                <w:sz w:val="24"/>
                <w:u w:val="none"/>
              </w:rPr>
              <w:t>pH</w:t>
            </w:r>
            <w:r>
              <w:rPr>
                <w:color w:val="auto"/>
                <w:sz w:val="24"/>
                <w:u w:val="none"/>
                <w:vertAlign w:val="subscript"/>
              </w:rPr>
              <w:t>sd</w:t>
            </w:r>
            <w:r>
              <w:rPr>
                <w:color w:val="auto"/>
                <w:sz w:val="24"/>
                <w:u w:val="none"/>
              </w:rPr>
              <w:t>——水质标准pH的下限值，取6；</w:t>
            </w:r>
          </w:p>
          <w:p w14:paraId="40D54EA4">
            <w:pPr>
              <w:spacing w:line="360" w:lineRule="auto"/>
              <w:ind w:firstLine="1200" w:firstLineChars="500"/>
              <w:rPr>
                <w:color w:val="auto"/>
                <w:sz w:val="24"/>
                <w:u w:val="none"/>
              </w:rPr>
            </w:pPr>
            <w:r>
              <w:rPr>
                <w:color w:val="auto"/>
                <w:sz w:val="24"/>
                <w:u w:val="none"/>
              </w:rPr>
              <w:t>pH</w:t>
            </w:r>
            <w:r>
              <w:rPr>
                <w:color w:val="auto"/>
                <w:sz w:val="24"/>
                <w:u w:val="none"/>
                <w:vertAlign w:val="subscript"/>
              </w:rPr>
              <w:t>su</w:t>
            </w:r>
            <w:r>
              <w:rPr>
                <w:color w:val="auto"/>
                <w:sz w:val="24"/>
                <w:u w:val="none"/>
              </w:rPr>
              <w:t>——水质标准pH的上限值，取9。</w:t>
            </w:r>
          </w:p>
          <w:p w14:paraId="5280613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u w:val="none"/>
              </w:rPr>
            </w:pPr>
            <w:bookmarkStart w:id="7" w:name="_Toc223840067"/>
            <w:bookmarkEnd w:id="7"/>
            <w:bookmarkStart w:id="8" w:name="_Toc223857954"/>
            <w:bookmarkEnd w:id="8"/>
            <w:bookmarkStart w:id="9" w:name="_Toc223858030"/>
            <w:bookmarkEnd w:id="9"/>
            <w:r>
              <w:rPr>
                <w:rFonts w:hint="eastAsia"/>
                <w:color w:val="auto"/>
                <w:sz w:val="24"/>
                <w:u w:val="none"/>
              </w:rPr>
              <w:t>③溶解氧的标准指数：</w:t>
            </w:r>
          </w:p>
          <w:p w14:paraId="0ECF7B0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highlight w:val="none"/>
                <w:u w:val="none"/>
              </w:rPr>
            </w:pPr>
            <w:r>
              <w:rPr>
                <w:rFonts w:hint="eastAsia"/>
                <w:color w:val="auto"/>
                <w:sz w:val="24"/>
                <w:highlight w:val="none"/>
                <w:u w:val="none"/>
              </w:rPr>
              <w:t>S</w:t>
            </w:r>
            <w:r>
              <w:rPr>
                <w:rFonts w:hint="eastAsia"/>
                <w:color w:val="auto"/>
                <w:sz w:val="24"/>
                <w:highlight w:val="none"/>
                <w:u w:val="none"/>
                <w:vertAlign w:val="subscript"/>
              </w:rPr>
              <w:t>DO，j</w:t>
            </w:r>
            <w:r>
              <w:rPr>
                <w:rFonts w:hint="eastAsia"/>
                <w:color w:val="auto"/>
                <w:sz w:val="24"/>
                <w:highlight w:val="none"/>
                <w:u w:val="none"/>
              </w:rPr>
              <w:t xml:space="preserve"> ＝︱D</w:t>
            </w:r>
            <w:r>
              <w:rPr>
                <w:rFonts w:hint="eastAsia"/>
                <w:color w:val="auto"/>
                <w:sz w:val="24"/>
                <w:highlight w:val="none"/>
                <w:u w:val="none"/>
                <w:vertAlign w:val="baseline"/>
              </w:rPr>
              <w:t>O</w:t>
            </w:r>
            <w:r>
              <w:rPr>
                <w:rFonts w:hint="eastAsia"/>
                <w:color w:val="auto"/>
                <w:sz w:val="24"/>
                <w:highlight w:val="none"/>
                <w:u w:val="none"/>
                <w:vertAlign w:val="subscript"/>
              </w:rPr>
              <w:t>f</w:t>
            </w:r>
            <w:r>
              <w:rPr>
                <w:rFonts w:hint="eastAsia"/>
                <w:color w:val="auto"/>
                <w:sz w:val="24"/>
                <w:highlight w:val="none"/>
                <w:u w:val="none"/>
              </w:rPr>
              <w:t>－DO</w:t>
            </w:r>
            <w:r>
              <w:rPr>
                <w:rFonts w:hint="eastAsia"/>
                <w:color w:val="auto"/>
                <w:sz w:val="24"/>
                <w:highlight w:val="none"/>
                <w:u w:val="none"/>
                <w:vertAlign w:val="subscript"/>
              </w:rPr>
              <w:t>j</w:t>
            </w:r>
            <w:r>
              <w:rPr>
                <w:rFonts w:hint="eastAsia"/>
                <w:color w:val="auto"/>
                <w:sz w:val="24"/>
                <w:highlight w:val="none"/>
                <w:u w:val="none"/>
              </w:rPr>
              <w:t>︱/</w:t>
            </w:r>
            <w:r>
              <w:rPr>
                <w:rFonts w:hint="eastAsia"/>
                <w:color w:val="auto"/>
                <w:sz w:val="24"/>
                <w:highlight w:val="none"/>
                <w:u w:val="none"/>
                <w:lang w:eastAsia="zh-CN"/>
              </w:rPr>
              <w:t>（</w:t>
            </w:r>
            <w:r>
              <w:rPr>
                <w:rFonts w:hint="eastAsia"/>
                <w:color w:val="auto"/>
                <w:sz w:val="24"/>
                <w:highlight w:val="none"/>
                <w:u w:val="none"/>
              </w:rPr>
              <w:t>DO</w:t>
            </w:r>
            <w:r>
              <w:rPr>
                <w:rFonts w:hint="eastAsia"/>
                <w:color w:val="auto"/>
                <w:sz w:val="24"/>
                <w:highlight w:val="none"/>
                <w:u w:val="none"/>
                <w:vertAlign w:val="subscript"/>
              </w:rPr>
              <w:t>f</w:t>
            </w:r>
            <w:r>
              <w:rPr>
                <w:rFonts w:hint="eastAsia"/>
                <w:color w:val="auto"/>
                <w:sz w:val="24"/>
                <w:highlight w:val="none"/>
                <w:u w:val="none"/>
              </w:rPr>
              <w:t>－DO</w:t>
            </w:r>
            <w:r>
              <w:rPr>
                <w:rFonts w:hint="eastAsia"/>
                <w:color w:val="auto"/>
                <w:sz w:val="24"/>
                <w:highlight w:val="none"/>
                <w:u w:val="none"/>
                <w:vertAlign w:val="subscript"/>
              </w:rPr>
              <w:t>S</w:t>
            </w:r>
            <w:r>
              <w:rPr>
                <w:rFonts w:hint="eastAsia"/>
                <w:color w:val="auto"/>
                <w:sz w:val="24"/>
                <w:highlight w:val="none"/>
                <w:u w:val="none"/>
                <w:lang w:eastAsia="zh-CN"/>
              </w:rPr>
              <w:t>）</w:t>
            </w:r>
            <w:r>
              <w:rPr>
                <w:rFonts w:hint="eastAsia"/>
                <w:color w:val="auto"/>
                <w:sz w:val="24"/>
                <w:highlight w:val="none"/>
                <w:u w:val="none"/>
              </w:rPr>
              <w:t xml:space="preserve">    当DO</w:t>
            </w:r>
            <w:r>
              <w:rPr>
                <w:rFonts w:hint="eastAsia"/>
                <w:color w:val="auto"/>
                <w:sz w:val="24"/>
                <w:highlight w:val="none"/>
                <w:u w:val="none"/>
                <w:vertAlign w:val="subscript"/>
              </w:rPr>
              <w:t>j</w:t>
            </w:r>
            <w:r>
              <w:rPr>
                <w:rFonts w:hint="eastAsia"/>
                <w:color w:val="auto"/>
                <w:sz w:val="24"/>
                <w:highlight w:val="none"/>
                <w:u w:val="none"/>
                <w:lang w:eastAsia="zh-CN"/>
              </w:rPr>
              <w:t>＞</w:t>
            </w:r>
            <w:r>
              <w:rPr>
                <w:rFonts w:hint="eastAsia"/>
                <w:color w:val="auto"/>
                <w:sz w:val="24"/>
                <w:highlight w:val="none"/>
                <w:u w:val="none"/>
              </w:rPr>
              <w:t>DO</w:t>
            </w:r>
            <w:r>
              <w:rPr>
                <w:rFonts w:hint="eastAsia"/>
                <w:color w:val="auto"/>
                <w:sz w:val="24"/>
                <w:highlight w:val="none"/>
                <w:u w:val="none"/>
                <w:vertAlign w:val="subscript"/>
                <w:lang w:val="en-US" w:eastAsia="zh-CN"/>
              </w:rPr>
              <w:t>f</w:t>
            </w:r>
            <w:r>
              <w:rPr>
                <w:rFonts w:hint="eastAsia"/>
                <w:color w:val="auto"/>
                <w:sz w:val="24"/>
                <w:highlight w:val="none"/>
                <w:u w:val="none"/>
              </w:rPr>
              <w:t>时</w:t>
            </w:r>
          </w:p>
          <w:p w14:paraId="75D2164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highlight w:val="none"/>
                <w:u w:val="none"/>
              </w:rPr>
            </w:pPr>
            <w:r>
              <w:rPr>
                <w:rFonts w:hint="eastAsia"/>
                <w:color w:val="auto"/>
                <w:sz w:val="24"/>
                <w:highlight w:val="none"/>
                <w:u w:val="none"/>
              </w:rPr>
              <w:t>S</w:t>
            </w:r>
            <w:r>
              <w:rPr>
                <w:rFonts w:hint="eastAsia"/>
                <w:color w:val="auto"/>
                <w:sz w:val="24"/>
                <w:highlight w:val="none"/>
                <w:u w:val="none"/>
                <w:vertAlign w:val="subscript"/>
              </w:rPr>
              <w:t>DO，j</w:t>
            </w:r>
            <w:r>
              <w:rPr>
                <w:rFonts w:hint="eastAsia"/>
                <w:color w:val="auto"/>
                <w:sz w:val="24"/>
                <w:highlight w:val="none"/>
                <w:u w:val="none"/>
              </w:rPr>
              <w:t xml:space="preserve"> ＝ DO</w:t>
            </w:r>
            <w:r>
              <w:rPr>
                <w:rFonts w:hint="eastAsia"/>
                <w:color w:val="auto"/>
                <w:sz w:val="24"/>
                <w:highlight w:val="none"/>
                <w:u w:val="none"/>
                <w:lang w:val="en-US" w:eastAsia="zh-CN"/>
              </w:rPr>
              <w:t>s</w:t>
            </w:r>
            <w:r>
              <w:rPr>
                <w:rFonts w:hint="eastAsia"/>
                <w:color w:val="auto"/>
                <w:sz w:val="24"/>
                <w:highlight w:val="none"/>
                <w:u w:val="none"/>
              </w:rPr>
              <w:t>/ DO</w:t>
            </w:r>
            <w:r>
              <w:rPr>
                <w:rFonts w:hint="eastAsia"/>
                <w:color w:val="auto"/>
                <w:sz w:val="24"/>
                <w:highlight w:val="none"/>
                <w:u w:val="none"/>
                <w:lang w:val="en-US" w:eastAsia="zh-CN"/>
              </w:rPr>
              <w:t>j</w:t>
            </w:r>
            <w:r>
              <w:rPr>
                <w:rFonts w:hint="eastAsia"/>
                <w:color w:val="auto"/>
                <w:sz w:val="24"/>
                <w:highlight w:val="none"/>
                <w:u w:val="none"/>
              </w:rPr>
              <w:t xml:space="preserve">                 当DOj</w:t>
            </w:r>
            <w:r>
              <w:rPr>
                <w:rFonts w:hint="eastAsia"/>
                <w:color w:val="auto"/>
                <w:sz w:val="24"/>
                <w:highlight w:val="none"/>
                <w:u w:val="none"/>
                <w:lang w:eastAsia="zh-CN"/>
              </w:rPr>
              <w:t>≤</w:t>
            </w:r>
            <w:r>
              <w:rPr>
                <w:rFonts w:hint="eastAsia"/>
                <w:color w:val="auto"/>
                <w:sz w:val="24"/>
                <w:highlight w:val="none"/>
                <w:u w:val="none"/>
              </w:rPr>
              <w:t>DO</w:t>
            </w:r>
            <w:r>
              <w:rPr>
                <w:rFonts w:hint="eastAsia"/>
                <w:color w:val="auto"/>
                <w:sz w:val="24"/>
                <w:highlight w:val="none"/>
                <w:u w:val="none"/>
                <w:lang w:val="en-US" w:eastAsia="zh-CN"/>
              </w:rPr>
              <w:t>f</w:t>
            </w:r>
            <w:r>
              <w:rPr>
                <w:rFonts w:hint="eastAsia"/>
                <w:color w:val="auto"/>
                <w:sz w:val="24"/>
                <w:highlight w:val="none"/>
                <w:u w:val="none"/>
              </w:rPr>
              <w:t>时</w:t>
            </w:r>
          </w:p>
          <w:p w14:paraId="47937F1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highlight w:val="none"/>
                <w:u w:val="none"/>
              </w:rPr>
            </w:pPr>
            <w:r>
              <w:rPr>
                <w:rFonts w:hint="eastAsia"/>
                <w:color w:val="auto"/>
                <w:sz w:val="24"/>
                <w:highlight w:val="none"/>
                <w:u w:val="none"/>
              </w:rPr>
              <w:t>D</w:t>
            </w:r>
            <w:r>
              <w:rPr>
                <w:rFonts w:hint="eastAsia"/>
                <w:color w:val="auto"/>
                <w:sz w:val="24"/>
                <w:highlight w:val="none"/>
                <w:u w:val="none"/>
                <w:vertAlign w:val="subscript"/>
              </w:rPr>
              <w:t>Of</w:t>
            </w:r>
            <w:r>
              <w:rPr>
                <w:rFonts w:hint="eastAsia"/>
                <w:color w:val="auto"/>
                <w:sz w:val="24"/>
                <w:highlight w:val="none"/>
                <w:u w:val="none"/>
              </w:rPr>
              <w:t xml:space="preserve">  ＝468/（31.6+T）</w:t>
            </w:r>
          </w:p>
          <w:p w14:paraId="5E3263E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highlight w:val="none"/>
                <w:u w:val="none"/>
              </w:rPr>
            </w:pPr>
            <w:r>
              <w:rPr>
                <w:rFonts w:hint="eastAsia"/>
                <w:color w:val="auto"/>
                <w:sz w:val="24"/>
                <w:highlight w:val="none"/>
                <w:u w:val="none"/>
              </w:rPr>
              <w:t>其中：DO</w:t>
            </w:r>
            <w:r>
              <w:rPr>
                <w:rFonts w:hint="eastAsia"/>
                <w:color w:val="auto"/>
                <w:sz w:val="24"/>
                <w:highlight w:val="none"/>
                <w:u w:val="none"/>
                <w:vertAlign w:val="subscript"/>
              </w:rPr>
              <w:t>f</w:t>
            </w:r>
            <w:r>
              <w:rPr>
                <w:rFonts w:hint="eastAsia"/>
                <w:color w:val="auto"/>
                <w:sz w:val="24"/>
                <w:highlight w:val="none"/>
                <w:u w:val="none"/>
              </w:rPr>
              <w:t>为饱和溶解氧浓度；</w:t>
            </w:r>
          </w:p>
          <w:p w14:paraId="5947F0F7">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eastAsia"/>
                <w:color w:val="auto"/>
                <w:sz w:val="24"/>
                <w:highlight w:val="none"/>
                <w:u w:val="none"/>
              </w:rPr>
            </w:pPr>
            <w:r>
              <w:rPr>
                <w:rFonts w:hint="eastAsia"/>
                <w:color w:val="auto"/>
                <w:sz w:val="24"/>
                <w:highlight w:val="none"/>
                <w:u w:val="none"/>
              </w:rPr>
              <w:t>DO</w:t>
            </w:r>
            <w:r>
              <w:rPr>
                <w:rFonts w:hint="eastAsia"/>
                <w:color w:val="auto"/>
                <w:sz w:val="24"/>
                <w:highlight w:val="none"/>
                <w:u w:val="none"/>
                <w:vertAlign w:val="subscript"/>
              </w:rPr>
              <w:t>j</w:t>
            </w:r>
            <w:r>
              <w:rPr>
                <w:rFonts w:hint="eastAsia"/>
                <w:color w:val="auto"/>
                <w:sz w:val="24"/>
                <w:highlight w:val="none"/>
                <w:u w:val="none"/>
              </w:rPr>
              <w:t>为河流各断面的溶解氧浓度；</w:t>
            </w:r>
          </w:p>
          <w:p w14:paraId="49BFC894">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eastAsia"/>
                <w:color w:val="auto"/>
                <w:sz w:val="24"/>
                <w:highlight w:val="none"/>
                <w:u w:val="none"/>
                <w:lang w:val="en-US" w:eastAsia="zh-CN"/>
              </w:rPr>
            </w:pPr>
            <w:r>
              <w:rPr>
                <w:rFonts w:hint="eastAsia"/>
                <w:color w:val="auto"/>
                <w:sz w:val="24"/>
                <w:highlight w:val="none"/>
                <w:u w:val="none"/>
              </w:rPr>
              <w:t>DO</w:t>
            </w:r>
            <w:r>
              <w:rPr>
                <w:rFonts w:hint="eastAsia"/>
                <w:color w:val="auto"/>
                <w:sz w:val="24"/>
                <w:highlight w:val="none"/>
                <w:u w:val="none"/>
                <w:vertAlign w:val="subscript"/>
              </w:rPr>
              <w:t>S</w:t>
            </w:r>
            <w:r>
              <w:rPr>
                <w:rFonts w:hint="eastAsia"/>
                <w:color w:val="auto"/>
                <w:sz w:val="24"/>
                <w:highlight w:val="none"/>
                <w:u w:val="none"/>
              </w:rPr>
              <w:t>为溶解氧的地面水水质标准。</w:t>
            </w:r>
          </w:p>
          <w:p w14:paraId="728A1965">
            <w:pPr>
              <w:pStyle w:val="87"/>
              <w:spacing w:line="360" w:lineRule="auto"/>
              <w:jc w:val="left"/>
              <w:rPr>
                <w:rFonts w:hint="eastAsia" w:hAnsi="Times New Roman" w:cs="Times New Roman"/>
                <w:bCs/>
                <w:color w:val="auto"/>
                <w:sz w:val="24"/>
                <w:u w:val="none"/>
                <w:lang w:val="en-US" w:eastAsia="zh-CN"/>
              </w:rPr>
            </w:pPr>
            <w:r>
              <w:rPr>
                <w:rFonts w:hint="eastAsia" w:hAnsi="Times New Roman" w:cs="Times New Roman"/>
                <w:bCs/>
                <w:color w:val="auto"/>
                <w:sz w:val="24"/>
                <w:u w:val="none"/>
                <w:lang w:val="en-US" w:eastAsia="zh-CN"/>
              </w:rPr>
              <w:t>（5）监测及评价结果</w:t>
            </w:r>
          </w:p>
          <w:p w14:paraId="4D120C9A">
            <w:pPr>
              <w:pStyle w:val="87"/>
              <w:spacing w:line="360" w:lineRule="auto"/>
              <w:jc w:val="left"/>
              <w:rPr>
                <w:rFonts w:hint="eastAsia" w:hAnsi="Times New Roman" w:cs="Times New Roman"/>
                <w:bCs/>
                <w:color w:val="auto"/>
                <w:sz w:val="24"/>
                <w:u w:val="none"/>
                <w:lang w:val="en-US" w:eastAsia="zh-CN"/>
              </w:rPr>
            </w:pPr>
            <w:r>
              <w:rPr>
                <w:rFonts w:hint="eastAsia" w:hAnsi="Times New Roman" w:cs="Times New Roman"/>
                <w:bCs/>
                <w:color w:val="auto"/>
                <w:sz w:val="24"/>
                <w:u w:val="none"/>
                <w:lang w:val="en-US" w:eastAsia="zh-CN"/>
              </w:rPr>
              <w:t>监测结果见下表：</w:t>
            </w:r>
          </w:p>
          <w:p w14:paraId="237248D5">
            <w:pPr>
              <w:jc w:val="center"/>
              <w:rPr>
                <w:rFonts w:hint="eastAsia" w:eastAsia="宋体"/>
                <w:b/>
                <w:bCs/>
                <w:color w:val="auto"/>
                <w:szCs w:val="21"/>
                <w:u w:val="none"/>
                <w:lang w:eastAsia="zh-CN"/>
              </w:rPr>
            </w:pPr>
            <w:r>
              <w:rPr>
                <w:b/>
                <w:bCs/>
                <w:color w:val="auto"/>
                <w:szCs w:val="21"/>
                <w:u w:val="none"/>
              </w:rPr>
              <w:t>表</w:t>
            </w:r>
            <w:r>
              <w:rPr>
                <w:rFonts w:hint="eastAsia"/>
                <w:b/>
                <w:bCs/>
                <w:color w:val="auto"/>
                <w:szCs w:val="21"/>
                <w:u w:val="none"/>
              </w:rPr>
              <w:t>3-</w:t>
            </w:r>
            <w:r>
              <w:rPr>
                <w:rFonts w:hint="eastAsia"/>
                <w:b/>
                <w:bCs/>
                <w:color w:val="auto"/>
                <w:szCs w:val="21"/>
                <w:u w:val="none"/>
                <w:lang w:val="en-US" w:eastAsia="zh-CN"/>
              </w:rPr>
              <w:t>2</w:t>
            </w:r>
            <w:r>
              <w:rPr>
                <w:b/>
                <w:bCs/>
                <w:color w:val="auto"/>
                <w:szCs w:val="21"/>
                <w:u w:val="none"/>
              </w:rPr>
              <w:t xml:space="preserve"> 断面地表水水质监测结</w:t>
            </w:r>
            <w:r>
              <w:rPr>
                <w:rFonts w:hint="eastAsia"/>
                <w:b/>
                <w:bCs/>
                <w:color w:val="auto"/>
                <w:szCs w:val="21"/>
                <w:u w:val="none"/>
                <w:lang w:eastAsia="zh-CN"/>
              </w:rPr>
              <w:t>果</w:t>
            </w:r>
          </w:p>
          <w:tbl>
            <w:tblPr>
              <w:tblStyle w:val="32"/>
              <w:tblW w:w="80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02"/>
              <w:gridCol w:w="728"/>
              <w:gridCol w:w="584"/>
              <w:gridCol w:w="584"/>
              <w:gridCol w:w="589"/>
              <w:gridCol w:w="584"/>
              <w:gridCol w:w="584"/>
              <w:gridCol w:w="589"/>
              <w:gridCol w:w="584"/>
              <w:gridCol w:w="584"/>
              <w:gridCol w:w="591"/>
              <w:gridCol w:w="597"/>
              <w:gridCol w:w="478"/>
            </w:tblGrid>
            <w:tr w14:paraId="76025B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1002" w:type="dxa"/>
                  <w:vMerge w:val="restart"/>
                  <w:tcBorders>
                    <w:tl2br w:val="nil"/>
                    <w:tr2bl w:val="nil"/>
                  </w:tcBorders>
                  <w:vAlign w:val="center"/>
                </w:tcPr>
                <w:p w14:paraId="791770F7">
                  <w:pPr>
                    <w:keepNext w:val="0"/>
                    <w:keepLines w:val="0"/>
                    <w:pageBreakBefore w:val="0"/>
                    <w:kinsoku/>
                    <w:wordWrap/>
                    <w:overflowPunct/>
                    <w:topLinePunct w:val="0"/>
                    <w:autoSpaceDE/>
                    <w:autoSpaceDN/>
                    <w:bidi w:val="0"/>
                    <w:adjustRightInd/>
                    <w:snapToGrid/>
                    <w:ind w:left="-53" w:leftChars="-25" w:right="-53" w:rightChars="-25"/>
                    <w:jc w:val="center"/>
                    <w:textAlignment w:val="auto"/>
                    <w:rPr>
                      <w:b/>
                      <w:bCs/>
                      <w:color w:val="auto"/>
                      <w:sz w:val="18"/>
                      <w:szCs w:val="18"/>
                      <w:u w:val="none"/>
                    </w:rPr>
                  </w:pPr>
                  <w:r>
                    <w:rPr>
                      <w:b/>
                      <w:bCs/>
                      <w:color w:val="auto"/>
                      <w:sz w:val="18"/>
                      <w:szCs w:val="18"/>
                      <w:u w:val="none"/>
                    </w:rPr>
                    <w:t>项目</w:t>
                  </w:r>
                </w:p>
              </w:tc>
              <w:tc>
                <w:tcPr>
                  <w:tcW w:w="728" w:type="dxa"/>
                  <w:vMerge w:val="restart"/>
                  <w:tcBorders>
                    <w:tl2br w:val="nil"/>
                    <w:tr2bl w:val="nil"/>
                  </w:tcBorders>
                  <w:vAlign w:val="center"/>
                </w:tcPr>
                <w:p w14:paraId="7FC078B9">
                  <w:pPr>
                    <w:keepNext w:val="0"/>
                    <w:keepLines w:val="0"/>
                    <w:pageBreakBefore w:val="0"/>
                    <w:kinsoku/>
                    <w:wordWrap/>
                    <w:overflowPunct/>
                    <w:topLinePunct w:val="0"/>
                    <w:autoSpaceDE/>
                    <w:autoSpaceDN/>
                    <w:bidi w:val="0"/>
                    <w:adjustRightInd/>
                    <w:snapToGrid/>
                    <w:ind w:left="-53" w:leftChars="-25" w:right="-53" w:rightChars="-25"/>
                    <w:jc w:val="center"/>
                    <w:textAlignment w:val="auto"/>
                    <w:rPr>
                      <w:b/>
                      <w:bCs/>
                      <w:color w:val="auto"/>
                      <w:sz w:val="18"/>
                      <w:szCs w:val="18"/>
                      <w:u w:val="none"/>
                    </w:rPr>
                  </w:pPr>
                  <w:r>
                    <w:rPr>
                      <w:b/>
                      <w:bCs/>
                      <w:color w:val="auto"/>
                      <w:sz w:val="18"/>
                      <w:szCs w:val="18"/>
                      <w:u w:val="none"/>
                    </w:rPr>
                    <w:t>单位</w:t>
                  </w:r>
                </w:p>
              </w:tc>
              <w:tc>
                <w:tcPr>
                  <w:tcW w:w="5273" w:type="dxa"/>
                  <w:gridSpan w:val="9"/>
                  <w:tcBorders>
                    <w:tl2br w:val="nil"/>
                    <w:tr2bl w:val="nil"/>
                  </w:tcBorders>
                  <w:vAlign w:val="center"/>
                </w:tcPr>
                <w:p w14:paraId="57575C80">
                  <w:pPr>
                    <w:keepNext w:val="0"/>
                    <w:keepLines w:val="0"/>
                    <w:pageBreakBefore w:val="0"/>
                    <w:tabs>
                      <w:tab w:val="left" w:pos="900"/>
                    </w:tabs>
                    <w:kinsoku/>
                    <w:wordWrap/>
                    <w:overflowPunct/>
                    <w:topLinePunct w:val="0"/>
                    <w:autoSpaceDE/>
                    <w:autoSpaceDN/>
                    <w:bidi w:val="0"/>
                    <w:adjustRightInd/>
                    <w:snapToGrid/>
                    <w:ind w:left="-53" w:leftChars="-25" w:right="-53" w:rightChars="-25"/>
                    <w:jc w:val="center"/>
                    <w:textAlignment w:val="auto"/>
                    <w:rPr>
                      <w:b/>
                      <w:bCs/>
                      <w:color w:val="auto"/>
                      <w:sz w:val="18"/>
                      <w:szCs w:val="18"/>
                      <w:u w:val="none"/>
                    </w:rPr>
                  </w:pPr>
                  <w:r>
                    <w:rPr>
                      <w:b/>
                      <w:bCs/>
                      <w:color w:val="auto"/>
                      <w:sz w:val="18"/>
                      <w:szCs w:val="18"/>
                      <w:u w:val="none"/>
                    </w:rPr>
                    <w:t>监测结果</w:t>
                  </w:r>
                </w:p>
              </w:tc>
              <w:tc>
                <w:tcPr>
                  <w:tcW w:w="597" w:type="dxa"/>
                  <w:vMerge w:val="restart"/>
                  <w:tcBorders>
                    <w:tl2br w:val="nil"/>
                    <w:tr2bl w:val="nil"/>
                  </w:tcBorders>
                  <w:vAlign w:val="center"/>
                </w:tcPr>
                <w:p w14:paraId="21E166F2">
                  <w:pPr>
                    <w:keepNext w:val="0"/>
                    <w:keepLines w:val="0"/>
                    <w:pageBreakBefore w:val="0"/>
                    <w:tabs>
                      <w:tab w:val="left" w:pos="900"/>
                    </w:tabs>
                    <w:kinsoku/>
                    <w:wordWrap/>
                    <w:overflowPunct/>
                    <w:topLinePunct w:val="0"/>
                    <w:autoSpaceDE/>
                    <w:autoSpaceDN/>
                    <w:bidi w:val="0"/>
                    <w:adjustRightInd/>
                    <w:snapToGrid/>
                    <w:ind w:left="-53" w:leftChars="-25" w:right="-53" w:rightChars="-25"/>
                    <w:jc w:val="center"/>
                    <w:textAlignment w:val="auto"/>
                    <w:rPr>
                      <w:b/>
                      <w:bCs/>
                      <w:color w:val="auto"/>
                      <w:sz w:val="18"/>
                      <w:szCs w:val="18"/>
                      <w:u w:val="none"/>
                    </w:rPr>
                  </w:pPr>
                  <w:r>
                    <w:rPr>
                      <w:b/>
                      <w:bCs/>
                      <w:color w:val="auto"/>
                      <w:sz w:val="18"/>
                      <w:szCs w:val="18"/>
                      <w:u w:val="none"/>
                    </w:rPr>
                    <w:t>标准值</w:t>
                  </w:r>
                </w:p>
              </w:tc>
              <w:tc>
                <w:tcPr>
                  <w:tcW w:w="478" w:type="dxa"/>
                  <w:vMerge w:val="restart"/>
                  <w:tcBorders>
                    <w:tl2br w:val="nil"/>
                    <w:tr2bl w:val="nil"/>
                  </w:tcBorders>
                  <w:vAlign w:val="center"/>
                </w:tcPr>
                <w:p w14:paraId="19C3FE3A">
                  <w:pPr>
                    <w:keepNext w:val="0"/>
                    <w:keepLines w:val="0"/>
                    <w:pageBreakBefore w:val="0"/>
                    <w:kinsoku/>
                    <w:wordWrap/>
                    <w:overflowPunct/>
                    <w:topLinePunct w:val="0"/>
                    <w:autoSpaceDE/>
                    <w:autoSpaceDN/>
                    <w:bidi w:val="0"/>
                    <w:adjustRightInd/>
                    <w:snapToGrid/>
                    <w:ind w:left="-53" w:leftChars="-25" w:right="-53" w:rightChars="-25"/>
                    <w:jc w:val="center"/>
                    <w:textAlignment w:val="auto"/>
                    <w:rPr>
                      <w:b/>
                      <w:bCs/>
                      <w:color w:val="auto"/>
                      <w:sz w:val="18"/>
                      <w:szCs w:val="18"/>
                      <w:u w:val="none"/>
                    </w:rPr>
                  </w:pPr>
                  <w:r>
                    <w:rPr>
                      <w:b/>
                      <w:bCs/>
                      <w:color w:val="auto"/>
                      <w:sz w:val="18"/>
                      <w:szCs w:val="18"/>
                      <w:u w:val="none"/>
                    </w:rPr>
                    <w:t>评价结果</w:t>
                  </w:r>
                </w:p>
              </w:tc>
            </w:tr>
            <w:tr w14:paraId="22945B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1002" w:type="dxa"/>
                  <w:vMerge w:val="continue"/>
                  <w:tcBorders>
                    <w:tl2br w:val="nil"/>
                    <w:tr2bl w:val="nil"/>
                  </w:tcBorders>
                  <w:vAlign w:val="center"/>
                </w:tcPr>
                <w:p w14:paraId="710B2D24">
                  <w:pPr>
                    <w:keepNext w:val="0"/>
                    <w:keepLines w:val="0"/>
                    <w:pageBreakBefore w:val="0"/>
                    <w:kinsoku/>
                    <w:wordWrap/>
                    <w:overflowPunct/>
                    <w:topLinePunct w:val="0"/>
                    <w:autoSpaceDE/>
                    <w:autoSpaceDN/>
                    <w:bidi w:val="0"/>
                    <w:adjustRightInd/>
                    <w:snapToGrid/>
                    <w:ind w:left="-53" w:leftChars="-25" w:right="-53" w:rightChars="-25"/>
                    <w:jc w:val="center"/>
                    <w:textAlignment w:val="auto"/>
                    <w:rPr>
                      <w:b/>
                      <w:bCs/>
                      <w:color w:val="auto"/>
                      <w:sz w:val="18"/>
                      <w:szCs w:val="18"/>
                      <w:u w:val="none"/>
                    </w:rPr>
                  </w:pPr>
                </w:p>
              </w:tc>
              <w:tc>
                <w:tcPr>
                  <w:tcW w:w="728" w:type="dxa"/>
                  <w:vMerge w:val="continue"/>
                  <w:tcBorders>
                    <w:tl2br w:val="nil"/>
                    <w:tr2bl w:val="nil"/>
                  </w:tcBorders>
                  <w:vAlign w:val="center"/>
                </w:tcPr>
                <w:p w14:paraId="73E8A57A">
                  <w:pPr>
                    <w:keepNext w:val="0"/>
                    <w:keepLines w:val="0"/>
                    <w:pageBreakBefore w:val="0"/>
                    <w:kinsoku/>
                    <w:wordWrap/>
                    <w:overflowPunct/>
                    <w:topLinePunct w:val="0"/>
                    <w:autoSpaceDE/>
                    <w:autoSpaceDN/>
                    <w:bidi w:val="0"/>
                    <w:adjustRightInd/>
                    <w:snapToGrid/>
                    <w:ind w:left="-53" w:leftChars="-25" w:right="-53" w:rightChars="-25"/>
                    <w:jc w:val="center"/>
                    <w:textAlignment w:val="auto"/>
                    <w:rPr>
                      <w:b/>
                      <w:bCs/>
                      <w:color w:val="auto"/>
                      <w:sz w:val="18"/>
                      <w:szCs w:val="18"/>
                      <w:u w:val="none"/>
                    </w:rPr>
                  </w:pPr>
                </w:p>
              </w:tc>
              <w:tc>
                <w:tcPr>
                  <w:tcW w:w="1757" w:type="dxa"/>
                  <w:gridSpan w:val="3"/>
                  <w:tcBorders>
                    <w:tl2br w:val="nil"/>
                    <w:tr2bl w:val="nil"/>
                  </w:tcBorders>
                  <w:vAlign w:val="center"/>
                </w:tcPr>
                <w:p w14:paraId="492B9A2F">
                  <w:pPr>
                    <w:adjustRightInd w:val="0"/>
                    <w:snapToGrid w:val="0"/>
                    <w:ind w:left="-42" w:leftChars="-20"/>
                    <w:jc w:val="center"/>
                    <w:rPr>
                      <w:rFonts w:hint="default" w:ascii="Times New Roman" w:hAnsi="Times New Roman" w:eastAsia="宋体" w:cs="Times New Roman"/>
                      <w:b/>
                      <w:bCs/>
                      <w:kern w:val="0"/>
                      <w:sz w:val="18"/>
                      <w:szCs w:val="18"/>
                      <w:u w:val="none"/>
                      <w:lang w:val="en-US" w:eastAsia="zh-CN" w:bidi="ar-SA"/>
                    </w:rPr>
                  </w:pPr>
                  <w:r>
                    <w:rPr>
                      <w:rFonts w:hint="eastAsia" w:ascii="Times New Roman" w:hAnsi="Times New Roman" w:eastAsia="宋体" w:cs="Times New Roman"/>
                      <w:b/>
                      <w:bCs/>
                      <w:kern w:val="0"/>
                      <w:sz w:val="18"/>
                      <w:szCs w:val="18"/>
                      <w:u w:val="none"/>
                      <w:lang w:val="en-US" w:eastAsia="zh-CN" w:bidi="ar-SA"/>
                    </w:rPr>
                    <w:t xml:space="preserve"> 果利河，项目排污口上游500m处</w:t>
                  </w:r>
                </w:p>
              </w:tc>
              <w:tc>
                <w:tcPr>
                  <w:tcW w:w="1757" w:type="dxa"/>
                  <w:gridSpan w:val="3"/>
                  <w:tcBorders>
                    <w:tl2br w:val="nil"/>
                    <w:tr2bl w:val="nil"/>
                  </w:tcBorders>
                  <w:vAlign w:val="center"/>
                </w:tcPr>
                <w:p w14:paraId="759629E9">
                  <w:pPr>
                    <w:adjustRightInd w:val="0"/>
                    <w:snapToGrid w:val="0"/>
                    <w:ind w:left="-42" w:leftChars="-20"/>
                    <w:jc w:val="center"/>
                    <w:rPr>
                      <w:rFonts w:hint="default" w:ascii="Times New Roman" w:hAnsi="Times New Roman" w:eastAsia="宋体" w:cs="Times New Roman"/>
                      <w:b/>
                      <w:bCs/>
                      <w:kern w:val="0"/>
                      <w:sz w:val="18"/>
                      <w:szCs w:val="18"/>
                      <w:u w:val="none"/>
                      <w:lang w:val="en-US" w:eastAsia="zh-CN" w:bidi="ar-SA"/>
                    </w:rPr>
                  </w:pPr>
                  <w:r>
                    <w:rPr>
                      <w:rFonts w:hint="eastAsia" w:ascii="Times New Roman" w:hAnsi="Times New Roman" w:eastAsia="宋体" w:cs="Times New Roman"/>
                      <w:b/>
                      <w:bCs/>
                      <w:kern w:val="0"/>
                      <w:sz w:val="18"/>
                      <w:szCs w:val="18"/>
                      <w:u w:val="none"/>
                      <w:lang w:val="en-US" w:eastAsia="zh-CN" w:bidi="ar-SA"/>
                    </w:rPr>
                    <w:t xml:space="preserve"> 果利河，项目排污口下游1000m处</w:t>
                  </w:r>
                </w:p>
              </w:tc>
              <w:tc>
                <w:tcPr>
                  <w:tcW w:w="1759" w:type="dxa"/>
                  <w:gridSpan w:val="3"/>
                  <w:tcBorders>
                    <w:tl2br w:val="nil"/>
                    <w:tr2bl w:val="nil"/>
                  </w:tcBorders>
                  <w:vAlign w:val="center"/>
                </w:tcPr>
                <w:p w14:paraId="49E2C2B7">
                  <w:pPr>
                    <w:adjustRightInd w:val="0"/>
                    <w:snapToGrid w:val="0"/>
                    <w:ind w:left="-42" w:leftChars="-20"/>
                    <w:jc w:val="center"/>
                    <w:rPr>
                      <w:rFonts w:hint="default" w:ascii="Times New Roman" w:hAnsi="Times New Roman" w:eastAsia="宋体" w:cs="Times New Roman"/>
                      <w:b/>
                      <w:bCs/>
                      <w:kern w:val="0"/>
                      <w:sz w:val="18"/>
                      <w:szCs w:val="18"/>
                      <w:u w:val="none"/>
                      <w:lang w:val="en-US" w:eastAsia="zh-CN" w:bidi="ar-SA"/>
                    </w:rPr>
                  </w:pPr>
                  <w:r>
                    <w:rPr>
                      <w:rFonts w:hint="eastAsia" w:ascii="Times New Roman" w:hAnsi="Times New Roman" w:eastAsia="宋体" w:cs="Times New Roman"/>
                      <w:b/>
                      <w:bCs/>
                      <w:kern w:val="0"/>
                      <w:sz w:val="18"/>
                      <w:szCs w:val="18"/>
                      <w:u w:val="none"/>
                      <w:lang w:val="en-US" w:eastAsia="zh-CN" w:bidi="ar-SA"/>
                    </w:rPr>
                    <w:t>果利河，项目排污口下游2500m处</w:t>
                  </w:r>
                </w:p>
              </w:tc>
              <w:tc>
                <w:tcPr>
                  <w:tcW w:w="597" w:type="dxa"/>
                  <w:vMerge w:val="continue"/>
                  <w:tcBorders>
                    <w:tl2br w:val="nil"/>
                    <w:tr2bl w:val="nil"/>
                  </w:tcBorders>
                  <w:vAlign w:val="center"/>
                </w:tcPr>
                <w:p w14:paraId="17AB1F67">
                  <w:pPr>
                    <w:keepNext w:val="0"/>
                    <w:keepLines w:val="0"/>
                    <w:pageBreakBefore w:val="0"/>
                    <w:tabs>
                      <w:tab w:val="left" w:pos="900"/>
                    </w:tabs>
                    <w:kinsoku/>
                    <w:wordWrap/>
                    <w:overflowPunct/>
                    <w:topLinePunct w:val="0"/>
                    <w:autoSpaceDE/>
                    <w:autoSpaceDN/>
                    <w:bidi w:val="0"/>
                    <w:adjustRightInd/>
                    <w:snapToGrid/>
                    <w:ind w:left="-53" w:leftChars="-25" w:right="-53" w:rightChars="-25"/>
                    <w:jc w:val="center"/>
                    <w:textAlignment w:val="auto"/>
                    <w:rPr>
                      <w:b/>
                      <w:bCs/>
                      <w:color w:val="auto"/>
                      <w:sz w:val="18"/>
                      <w:szCs w:val="18"/>
                      <w:u w:val="none"/>
                    </w:rPr>
                  </w:pPr>
                </w:p>
              </w:tc>
              <w:tc>
                <w:tcPr>
                  <w:tcW w:w="478" w:type="dxa"/>
                  <w:vMerge w:val="continue"/>
                  <w:tcBorders>
                    <w:tl2br w:val="nil"/>
                    <w:tr2bl w:val="nil"/>
                  </w:tcBorders>
                  <w:vAlign w:val="center"/>
                </w:tcPr>
                <w:p w14:paraId="48D88B78">
                  <w:pPr>
                    <w:keepNext w:val="0"/>
                    <w:keepLines w:val="0"/>
                    <w:pageBreakBefore w:val="0"/>
                    <w:kinsoku/>
                    <w:wordWrap/>
                    <w:overflowPunct/>
                    <w:topLinePunct w:val="0"/>
                    <w:autoSpaceDE/>
                    <w:autoSpaceDN/>
                    <w:bidi w:val="0"/>
                    <w:adjustRightInd/>
                    <w:snapToGrid/>
                    <w:ind w:left="-53" w:leftChars="-25" w:right="-53" w:rightChars="-25"/>
                    <w:jc w:val="center"/>
                    <w:textAlignment w:val="auto"/>
                    <w:rPr>
                      <w:b/>
                      <w:bCs/>
                      <w:color w:val="auto"/>
                      <w:sz w:val="18"/>
                      <w:szCs w:val="18"/>
                      <w:u w:val="none"/>
                    </w:rPr>
                  </w:pPr>
                </w:p>
              </w:tc>
            </w:tr>
            <w:tr w14:paraId="2D8F8F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1002" w:type="dxa"/>
                  <w:vMerge w:val="continue"/>
                  <w:tcBorders>
                    <w:tl2br w:val="nil"/>
                    <w:tr2bl w:val="nil"/>
                  </w:tcBorders>
                  <w:vAlign w:val="center"/>
                </w:tcPr>
                <w:p w14:paraId="42C7D695">
                  <w:pPr>
                    <w:keepNext w:val="0"/>
                    <w:keepLines w:val="0"/>
                    <w:pageBreakBefore w:val="0"/>
                    <w:kinsoku/>
                    <w:wordWrap/>
                    <w:overflowPunct/>
                    <w:topLinePunct w:val="0"/>
                    <w:autoSpaceDE/>
                    <w:autoSpaceDN/>
                    <w:bidi w:val="0"/>
                    <w:adjustRightInd/>
                    <w:snapToGrid/>
                    <w:ind w:left="-53" w:leftChars="-25" w:right="-53" w:rightChars="-25"/>
                    <w:jc w:val="center"/>
                    <w:textAlignment w:val="auto"/>
                    <w:rPr>
                      <w:color w:val="auto"/>
                      <w:sz w:val="18"/>
                      <w:szCs w:val="18"/>
                      <w:u w:val="none"/>
                    </w:rPr>
                  </w:pPr>
                </w:p>
              </w:tc>
              <w:tc>
                <w:tcPr>
                  <w:tcW w:w="728" w:type="dxa"/>
                  <w:vMerge w:val="continue"/>
                  <w:tcBorders>
                    <w:tl2br w:val="nil"/>
                    <w:tr2bl w:val="nil"/>
                  </w:tcBorders>
                  <w:vAlign w:val="center"/>
                </w:tcPr>
                <w:p w14:paraId="58E9FE21">
                  <w:pPr>
                    <w:keepNext w:val="0"/>
                    <w:keepLines w:val="0"/>
                    <w:pageBreakBefore w:val="0"/>
                    <w:kinsoku/>
                    <w:wordWrap/>
                    <w:overflowPunct/>
                    <w:topLinePunct w:val="0"/>
                    <w:autoSpaceDE/>
                    <w:autoSpaceDN/>
                    <w:bidi w:val="0"/>
                    <w:adjustRightInd/>
                    <w:snapToGrid/>
                    <w:ind w:left="-53" w:leftChars="-25" w:right="-53" w:rightChars="-25"/>
                    <w:jc w:val="center"/>
                    <w:textAlignment w:val="auto"/>
                    <w:rPr>
                      <w:color w:val="auto"/>
                      <w:sz w:val="18"/>
                      <w:szCs w:val="18"/>
                      <w:u w:val="none"/>
                    </w:rPr>
                  </w:pPr>
                </w:p>
              </w:tc>
              <w:tc>
                <w:tcPr>
                  <w:tcW w:w="584" w:type="dxa"/>
                  <w:tcBorders>
                    <w:tl2br w:val="nil"/>
                    <w:tr2bl w:val="nil"/>
                  </w:tcBorders>
                  <w:vAlign w:val="center"/>
                </w:tcPr>
                <w:p w14:paraId="1DBBC411">
                  <w:pPr>
                    <w:adjustRightInd w:val="0"/>
                    <w:snapToGrid w:val="0"/>
                    <w:spacing w:line="240" w:lineRule="auto"/>
                    <w:ind w:left="-42" w:leftChars="-20"/>
                    <w:jc w:val="center"/>
                    <w:rPr>
                      <w:rFonts w:hint="default"/>
                      <w:color w:val="auto"/>
                      <w:sz w:val="18"/>
                      <w:szCs w:val="18"/>
                      <w:u w:val="none"/>
                      <w:lang w:val="en-US"/>
                    </w:rPr>
                  </w:pPr>
                  <w:r>
                    <w:rPr>
                      <w:rFonts w:hint="eastAsia" w:cs="Times New Roman"/>
                      <w:kern w:val="2"/>
                      <w:sz w:val="18"/>
                      <w:szCs w:val="18"/>
                      <w:u w:val="none"/>
                      <w:lang w:val="en-US" w:eastAsia="zh-CN" w:bidi="ar-SA"/>
                    </w:rPr>
                    <w:t>2024.7.23</w:t>
                  </w:r>
                </w:p>
              </w:tc>
              <w:tc>
                <w:tcPr>
                  <w:tcW w:w="584" w:type="dxa"/>
                  <w:tcBorders>
                    <w:tl2br w:val="nil"/>
                    <w:tr2bl w:val="nil"/>
                  </w:tcBorders>
                  <w:vAlign w:val="center"/>
                </w:tcPr>
                <w:p w14:paraId="5DD77F1A">
                  <w:pPr>
                    <w:adjustRightInd w:val="0"/>
                    <w:snapToGrid w:val="0"/>
                    <w:spacing w:line="240" w:lineRule="auto"/>
                    <w:ind w:left="-42" w:leftChars="-20"/>
                    <w:jc w:val="center"/>
                    <w:rPr>
                      <w:rFonts w:hint="default"/>
                      <w:color w:val="auto"/>
                      <w:sz w:val="18"/>
                      <w:szCs w:val="18"/>
                      <w:u w:val="none"/>
                      <w:lang w:val="en-US"/>
                    </w:rPr>
                  </w:pPr>
                  <w:r>
                    <w:rPr>
                      <w:rFonts w:hint="eastAsia" w:cs="Times New Roman"/>
                      <w:sz w:val="18"/>
                      <w:szCs w:val="18"/>
                      <w:u w:val="none"/>
                      <w:lang w:val="en-US" w:eastAsia="zh-CN"/>
                    </w:rPr>
                    <w:t>2024.7.24</w:t>
                  </w:r>
                </w:p>
              </w:tc>
              <w:tc>
                <w:tcPr>
                  <w:tcW w:w="589" w:type="dxa"/>
                  <w:tcBorders>
                    <w:tl2br w:val="nil"/>
                    <w:tr2bl w:val="nil"/>
                  </w:tcBorders>
                  <w:vAlign w:val="center"/>
                </w:tcPr>
                <w:p w14:paraId="5E16E174">
                  <w:pPr>
                    <w:adjustRightInd w:val="0"/>
                    <w:snapToGrid w:val="0"/>
                    <w:spacing w:line="240" w:lineRule="auto"/>
                    <w:ind w:left="-42" w:leftChars="-20"/>
                    <w:jc w:val="center"/>
                    <w:rPr>
                      <w:rFonts w:hint="default"/>
                      <w:color w:val="auto"/>
                      <w:sz w:val="18"/>
                      <w:szCs w:val="18"/>
                      <w:u w:val="none"/>
                      <w:lang w:val="en-US"/>
                    </w:rPr>
                  </w:pPr>
                  <w:r>
                    <w:rPr>
                      <w:rFonts w:hint="eastAsia" w:cs="Times New Roman"/>
                      <w:kern w:val="2"/>
                      <w:sz w:val="18"/>
                      <w:szCs w:val="18"/>
                      <w:u w:val="none"/>
                      <w:lang w:val="en-US" w:eastAsia="zh-CN" w:bidi="ar-SA"/>
                    </w:rPr>
                    <w:t>2024.7.25</w:t>
                  </w:r>
                </w:p>
              </w:tc>
              <w:tc>
                <w:tcPr>
                  <w:tcW w:w="584" w:type="dxa"/>
                  <w:tcBorders>
                    <w:tl2br w:val="nil"/>
                    <w:tr2bl w:val="nil"/>
                  </w:tcBorders>
                  <w:vAlign w:val="center"/>
                </w:tcPr>
                <w:p w14:paraId="29EE9B2F">
                  <w:pPr>
                    <w:adjustRightInd w:val="0"/>
                    <w:snapToGrid w:val="0"/>
                    <w:spacing w:line="240" w:lineRule="auto"/>
                    <w:ind w:left="-42" w:leftChars="-20"/>
                    <w:jc w:val="center"/>
                    <w:rPr>
                      <w:rFonts w:ascii="Times New Roman" w:hAnsi="Times New Roman" w:eastAsia="宋体" w:cs="Times New Roman"/>
                      <w:color w:val="auto"/>
                      <w:kern w:val="2"/>
                      <w:sz w:val="18"/>
                      <w:szCs w:val="18"/>
                      <w:u w:val="none"/>
                      <w:lang w:val="en-US" w:eastAsia="zh-CN" w:bidi="ar-SA"/>
                    </w:rPr>
                  </w:pPr>
                  <w:r>
                    <w:rPr>
                      <w:rFonts w:hint="eastAsia" w:cs="Times New Roman"/>
                      <w:kern w:val="2"/>
                      <w:sz w:val="18"/>
                      <w:szCs w:val="18"/>
                      <w:u w:val="none"/>
                      <w:lang w:val="en-US" w:eastAsia="zh-CN" w:bidi="ar-SA"/>
                    </w:rPr>
                    <w:t>2024.7.23</w:t>
                  </w:r>
                </w:p>
              </w:tc>
              <w:tc>
                <w:tcPr>
                  <w:tcW w:w="584" w:type="dxa"/>
                  <w:tcBorders>
                    <w:tl2br w:val="nil"/>
                    <w:tr2bl w:val="nil"/>
                  </w:tcBorders>
                  <w:vAlign w:val="center"/>
                </w:tcPr>
                <w:p w14:paraId="1B5F79F2">
                  <w:pPr>
                    <w:adjustRightInd w:val="0"/>
                    <w:snapToGrid w:val="0"/>
                    <w:spacing w:line="240" w:lineRule="auto"/>
                    <w:ind w:left="-42" w:leftChars="-20"/>
                    <w:jc w:val="center"/>
                    <w:rPr>
                      <w:rFonts w:hint="eastAsia" w:ascii="Times New Roman" w:hAnsi="Times New Roman" w:eastAsia="宋体" w:cs="Times New Roman"/>
                      <w:color w:val="auto"/>
                      <w:kern w:val="2"/>
                      <w:sz w:val="18"/>
                      <w:szCs w:val="18"/>
                      <w:u w:val="none"/>
                      <w:lang w:val="en-US" w:eastAsia="zh-CN" w:bidi="ar-SA"/>
                    </w:rPr>
                  </w:pPr>
                  <w:r>
                    <w:rPr>
                      <w:rFonts w:hint="eastAsia" w:cs="Times New Roman"/>
                      <w:sz w:val="18"/>
                      <w:szCs w:val="18"/>
                      <w:u w:val="none"/>
                      <w:lang w:val="en-US" w:eastAsia="zh-CN"/>
                    </w:rPr>
                    <w:t>2024.7.24</w:t>
                  </w:r>
                </w:p>
              </w:tc>
              <w:tc>
                <w:tcPr>
                  <w:tcW w:w="589" w:type="dxa"/>
                  <w:tcBorders>
                    <w:tl2br w:val="nil"/>
                    <w:tr2bl w:val="nil"/>
                  </w:tcBorders>
                  <w:vAlign w:val="center"/>
                </w:tcPr>
                <w:p w14:paraId="38FD2A0D">
                  <w:pPr>
                    <w:adjustRightInd w:val="0"/>
                    <w:snapToGrid w:val="0"/>
                    <w:spacing w:line="240" w:lineRule="auto"/>
                    <w:ind w:left="-42" w:leftChars="-20"/>
                    <w:jc w:val="center"/>
                    <w:rPr>
                      <w:rFonts w:hint="eastAsia" w:ascii="Times New Roman" w:hAnsi="Times New Roman" w:eastAsia="宋体" w:cs="Times New Roman"/>
                      <w:color w:val="auto"/>
                      <w:kern w:val="2"/>
                      <w:sz w:val="18"/>
                      <w:szCs w:val="18"/>
                      <w:u w:val="none"/>
                      <w:lang w:val="en-US" w:eastAsia="zh-CN" w:bidi="ar-SA"/>
                    </w:rPr>
                  </w:pPr>
                  <w:r>
                    <w:rPr>
                      <w:rFonts w:hint="eastAsia" w:cs="Times New Roman"/>
                      <w:kern w:val="2"/>
                      <w:sz w:val="18"/>
                      <w:szCs w:val="18"/>
                      <w:u w:val="none"/>
                      <w:lang w:val="en-US" w:eastAsia="zh-CN" w:bidi="ar-SA"/>
                    </w:rPr>
                    <w:t>2024.7.25</w:t>
                  </w:r>
                </w:p>
              </w:tc>
              <w:tc>
                <w:tcPr>
                  <w:tcW w:w="584" w:type="dxa"/>
                  <w:tcBorders>
                    <w:tl2br w:val="nil"/>
                    <w:tr2bl w:val="nil"/>
                  </w:tcBorders>
                  <w:vAlign w:val="center"/>
                </w:tcPr>
                <w:p w14:paraId="668F7820">
                  <w:pPr>
                    <w:adjustRightInd w:val="0"/>
                    <w:snapToGrid w:val="0"/>
                    <w:spacing w:line="240" w:lineRule="auto"/>
                    <w:ind w:left="-42" w:leftChars="-20"/>
                    <w:jc w:val="center"/>
                    <w:rPr>
                      <w:rFonts w:ascii="Times New Roman" w:hAnsi="Times New Roman" w:eastAsia="宋体" w:cs="Times New Roman"/>
                      <w:color w:val="auto"/>
                      <w:kern w:val="2"/>
                      <w:sz w:val="18"/>
                      <w:szCs w:val="18"/>
                      <w:u w:val="none"/>
                      <w:lang w:val="en-US" w:eastAsia="zh-CN" w:bidi="ar-SA"/>
                    </w:rPr>
                  </w:pPr>
                  <w:r>
                    <w:rPr>
                      <w:rFonts w:hint="eastAsia" w:cs="Times New Roman"/>
                      <w:kern w:val="2"/>
                      <w:sz w:val="18"/>
                      <w:szCs w:val="18"/>
                      <w:u w:val="none"/>
                      <w:lang w:val="en-US" w:eastAsia="zh-CN" w:bidi="ar-SA"/>
                    </w:rPr>
                    <w:t>2024.7.23</w:t>
                  </w:r>
                </w:p>
              </w:tc>
              <w:tc>
                <w:tcPr>
                  <w:tcW w:w="584" w:type="dxa"/>
                  <w:tcBorders>
                    <w:tl2br w:val="nil"/>
                    <w:tr2bl w:val="nil"/>
                  </w:tcBorders>
                  <w:vAlign w:val="center"/>
                </w:tcPr>
                <w:p w14:paraId="2F164F86">
                  <w:pPr>
                    <w:adjustRightInd w:val="0"/>
                    <w:snapToGrid w:val="0"/>
                    <w:spacing w:line="240" w:lineRule="auto"/>
                    <w:ind w:left="-42" w:leftChars="-20"/>
                    <w:jc w:val="center"/>
                    <w:rPr>
                      <w:rFonts w:hint="eastAsia" w:ascii="Times New Roman" w:hAnsi="Times New Roman" w:eastAsia="宋体" w:cs="Times New Roman"/>
                      <w:color w:val="auto"/>
                      <w:kern w:val="2"/>
                      <w:sz w:val="18"/>
                      <w:szCs w:val="18"/>
                      <w:u w:val="none"/>
                      <w:lang w:val="en-US" w:eastAsia="zh-CN" w:bidi="ar-SA"/>
                    </w:rPr>
                  </w:pPr>
                  <w:r>
                    <w:rPr>
                      <w:rFonts w:hint="eastAsia" w:cs="Times New Roman"/>
                      <w:sz w:val="18"/>
                      <w:szCs w:val="18"/>
                      <w:u w:val="none"/>
                      <w:lang w:val="en-US" w:eastAsia="zh-CN"/>
                    </w:rPr>
                    <w:t>2024.7.24</w:t>
                  </w:r>
                </w:p>
              </w:tc>
              <w:tc>
                <w:tcPr>
                  <w:tcW w:w="591" w:type="dxa"/>
                  <w:tcBorders>
                    <w:tl2br w:val="nil"/>
                    <w:tr2bl w:val="nil"/>
                  </w:tcBorders>
                  <w:vAlign w:val="center"/>
                </w:tcPr>
                <w:p w14:paraId="13F39D1A">
                  <w:pPr>
                    <w:adjustRightInd w:val="0"/>
                    <w:snapToGrid w:val="0"/>
                    <w:spacing w:line="240" w:lineRule="auto"/>
                    <w:ind w:left="-42" w:leftChars="-20"/>
                    <w:jc w:val="center"/>
                    <w:rPr>
                      <w:rFonts w:hint="eastAsia" w:ascii="Times New Roman" w:hAnsi="Times New Roman" w:eastAsia="宋体" w:cs="Times New Roman"/>
                      <w:color w:val="auto"/>
                      <w:kern w:val="2"/>
                      <w:sz w:val="18"/>
                      <w:szCs w:val="18"/>
                      <w:u w:val="none"/>
                      <w:lang w:val="en-US" w:eastAsia="zh-CN" w:bidi="ar-SA"/>
                    </w:rPr>
                  </w:pPr>
                  <w:r>
                    <w:rPr>
                      <w:rFonts w:hint="eastAsia" w:cs="Times New Roman"/>
                      <w:kern w:val="2"/>
                      <w:sz w:val="18"/>
                      <w:szCs w:val="18"/>
                      <w:u w:val="none"/>
                      <w:lang w:val="en-US" w:eastAsia="zh-CN" w:bidi="ar-SA"/>
                    </w:rPr>
                    <w:t>2024.7.25</w:t>
                  </w:r>
                </w:p>
              </w:tc>
              <w:tc>
                <w:tcPr>
                  <w:tcW w:w="597" w:type="dxa"/>
                  <w:vMerge w:val="continue"/>
                  <w:tcBorders>
                    <w:tl2br w:val="nil"/>
                    <w:tr2bl w:val="nil"/>
                  </w:tcBorders>
                  <w:vAlign w:val="center"/>
                </w:tcPr>
                <w:p w14:paraId="69929FBB">
                  <w:pPr>
                    <w:keepNext w:val="0"/>
                    <w:keepLines w:val="0"/>
                    <w:pageBreakBefore w:val="0"/>
                    <w:tabs>
                      <w:tab w:val="left" w:pos="900"/>
                    </w:tabs>
                    <w:kinsoku/>
                    <w:wordWrap/>
                    <w:overflowPunct/>
                    <w:topLinePunct w:val="0"/>
                    <w:autoSpaceDE/>
                    <w:autoSpaceDN/>
                    <w:bidi w:val="0"/>
                    <w:adjustRightInd/>
                    <w:snapToGrid/>
                    <w:ind w:left="-53" w:leftChars="-25" w:right="-53" w:rightChars="-25"/>
                    <w:jc w:val="center"/>
                    <w:textAlignment w:val="auto"/>
                    <w:rPr>
                      <w:color w:val="auto"/>
                      <w:sz w:val="18"/>
                      <w:szCs w:val="18"/>
                      <w:u w:val="none"/>
                    </w:rPr>
                  </w:pPr>
                </w:p>
              </w:tc>
              <w:tc>
                <w:tcPr>
                  <w:tcW w:w="478" w:type="dxa"/>
                  <w:vMerge w:val="continue"/>
                  <w:tcBorders>
                    <w:tl2br w:val="nil"/>
                    <w:tr2bl w:val="nil"/>
                  </w:tcBorders>
                  <w:vAlign w:val="center"/>
                </w:tcPr>
                <w:p w14:paraId="22FA3D9D">
                  <w:pPr>
                    <w:keepNext w:val="0"/>
                    <w:keepLines w:val="0"/>
                    <w:pageBreakBefore w:val="0"/>
                    <w:kinsoku/>
                    <w:wordWrap/>
                    <w:overflowPunct/>
                    <w:topLinePunct w:val="0"/>
                    <w:autoSpaceDE/>
                    <w:autoSpaceDN/>
                    <w:bidi w:val="0"/>
                    <w:adjustRightInd/>
                    <w:snapToGrid/>
                    <w:ind w:left="-53" w:leftChars="-25" w:right="-53" w:rightChars="-25"/>
                    <w:jc w:val="center"/>
                    <w:textAlignment w:val="auto"/>
                    <w:rPr>
                      <w:color w:val="auto"/>
                      <w:sz w:val="18"/>
                      <w:szCs w:val="18"/>
                      <w:u w:val="none"/>
                    </w:rPr>
                  </w:pPr>
                </w:p>
              </w:tc>
            </w:tr>
            <w:tr w14:paraId="48FF5B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1002" w:type="dxa"/>
                  <w:tcBorders>
                    <w:tl2br w:val="nil"/>
                    <w:tr2bl w:val="nil"/>
                  </w:tcBorders>
                  <w:vAlign w:val="center"/>
                </w:tcPr>
                <w:p w14:paraId="16DBA2E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sz w:val="18"/>
                      <w:szCs w:val="18"/>
                      <w:u w:val="none"/>
                      <w:lang w:val="en-US" w:eastAsia="zh-CN"/>
                    </w:rPr>
                  </w:pPr>
                  <w:r>
                    <w:rPr>
                      <w:rFonts w:hint="eastAsia"/>
                      <w:sz w:val="18"/>
                      <w:szCs w:val="18"/>
                      <w:u w:val="none"/>
                      <w:lang w:val="en-US" w:eastAsia="zh-CN"/>
                    </w:rPr>
                    <w:t>水温</w:t>
                  </w:r>
                </w:p>
              </w:tc>
              <w:tc>
                <w:tcPr>
                  <w:tcW w:w="728" w:type="dxa"/>
                  <w:tcBorders>
                    <w:tl2br w:val="nil"/>
                    <w:tr2bl w:val="nil"/>
                  </w:tcBorders>
                  <w:vAlign w:val="center"/>
                </w:tcPr>
                <w:p w14:paraId="04EAB2D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宋体" w:hAnsi="宋体" w:eastAsia="宋体" w:cs="宋体"/>
                      <w:sz w:val="18"/>
                      <w:szCs w:val="18"/>
                      <w:u w:val="none"/>
                      <w:lang w:val="en-US" w:eastAsia="zh-CN"/>
                    </w:rPr>
                  </w:pPr>
                  <w:r>
                    <w:rPr>
                      <w:rFonts w:hint="eastAsia" w:ascii="宋体" w:hAnsi="宋体" w:eastAsia="宋体" w:cs="宋体"/>
                      <w:sz w:val="18"/>
                      <w:szCs w:val="18"/>
                      <w:u w:val="none"/>
                      <w:lang w:val="en-US" w:eastAsia="zh-CN"/>
                    </w:rPr>
                    <w:t>℃</w:t>
                  </w:r>
                </w:p>
              </w:tc>
              <w:tc>
                <w:tcPr>
                  <w:tcW w:w="584" w:type="dxa"/>
                  <w:tcBorders>
                    <w:tl2br w:val="nil"/>
                    <w:tr2bl w:val="nil"/>
                  </w:tcBorders>
                  <w:vAlign w:val="center"/>
                </w:tcPr>
                <w:p w14:paraId="5009CFCF">
                  <w:pPr>
                    <w:adjustRightInd w:val="0"/>
                    <w:snapToGrid w:val="0"/>
                    <w:spacing w:line="240" w:lineRule="auto"/>
                    <w:ind w:left="-42" w:leftChars="-20"/>
                    <w:jc w:val="center"/>
                    <w:rPr>
                      <w:rFonts w:hint="default"/>
                      <w:color w:val="auto"/>
                      <w:sz w:val="18"/>
                      <w:szCs w:val="18"/>
                      <w:u w:val="none"/>
                      <w:lang w:val="en-US" w:eastAsia="zh-CN"/>
                    </w:rPr>
                  </w:pPr>
                  <w:r>
                    <w:rPr>
                      <w:rFonts w:hint="eastAsia"/>
                      <w:color w:val="auto"/>
                      <w:sz w:val="18"/>
                      <w:szCs w:val="18"/>
                      <w:u w:val="none"/>
                      <w:lang w:val="en-US" w:eastAsia="zh-CN"/>
                    </w:rPr>
                    <w:t>13</w:t>
                  </w:r>
                </w:p>
              </w:tc>
              <w:tc>
                <w:tcPr>
                  <w:tcW w:w="584" w:type="dxa"/>
                  <w:tcBorders>
                    <w:tl2br w:val="nil"/>
                    <w:tr2bl w:val="nil"/>
                  </w:tcBorders>
                  <w:vAlign w:val="center"/>
                </w:tcPr>
                <w:p w14:paraId="0C2E8BC5">
                  <w:pPr>
                    <w:adjustRightInd w:val="0"/>
                    <w:snapToGrid w:val="0"/>
                    <w:spacing w:line="240" w:lineRule="auto"/>
                    <w:ind w:left="-42" w:leftChars="-20"/>
                    <w:jc w:val="center"/>
                    <w:rPr>
                      <w:rFonts w:hint="default"/>
                      <w:color w:val="auto"/>
                      <w:sz w:val="18"/>
                      <w:szCs w:val="18"/>
                      <w:u w:val="none"/>
                      <w:lang w:val="en-US" w:eastAsia="zh-CN"/>
                    </w:rPr>
                  </w:pPr>
                  <w:r>
                    <w:rPr>
                      <w:rFonts w:hint="eastAsia"/>
                      <w:color w:val="auto"/>
                      <w:sz w:val="18"/>
                      <w:szCs w:val="18"/>
                      <w:u w:val="none"/>
                      <w:lang w:val="en-US" w:eastAsia="zh-CN"/>
                    </w:rPr>
                    <w:t>15</w:t>
                  </w:r>
                </w:p>
              </w:tc>
              <w:tc>
                <w:tcPr>
                  <w:tcW w:w="589" w:type="dxa"/>
                  <w:tcBorders>
                    <w:tl2br w:val="nil"/>
                    <w:tr2bl w:val="nil"/>
                  </w:tcBorders>
                  <w:vAlign w:val="center"/>
                </w:tcPr>
                <w:p w14:paraId="4B2F925E">
                  <w:pPr>
                    <w:adjustRightInd w:val="0"/>
                    <w:snapToGrid w:val="0"/>
                    <w:spacing w:line="240" w:lineRule="auto"/>
                    <w:ind w:left="-42" w:leftChars="-20"/>
                    <w:jc w:val="center"/>
                    <w:rPr>
                      <w:rFonts w:hint="default"/>
                      <w:color w:val="auto"/>
                      <w:sz w:val="18"/>
                      <w:szCs w:val="18"/>
                      <w:u w:val="none"/>
                      <w:lang w:val="en-US" w:eastAsia="zh-CN"/>
                    </w:rPr>
                  </w:pPr>
                  <w:r>
                    <w:rPr>
                      <w:rFonts w:hint="eastAsia"/>
                      <w:color w:val="auto"/>
                      <w:sz w:val="18"/>
                      <w:szCs w:val="18"/>
                      <w:u w:val="none"/>
                      <w:lang w:val="en-US" w:eastAsia="zh-CN"/>
                    </w:rPr>
                    <w:t>12</w:t>
                  </w:r>
                </w:p>
              </w:tc>
              <w:tc>
                <w:tcPr>
                  <w:tcW w:w="584" w:type="dxa"/>
                  <w:tcBorders>
                    <w:tl2br w:val="nil"/>
                    <w:tr2bl w:val="nil"/>
                  </w:tcBorders>
                  <w:vAlign w:val="center"/>
                </w:tcPr>
                <w:p w14:paraId="27B3BC6D">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15</w:t>
                  </w:r>
                </w:p>
              </w:tc>
              <w:tc>
                <w:tcPr>
                  <w:tcW w:w="584" w:type="dxa"/>
                  <w:tcBorders>
                    <w:tl2br w:val="nil"/>
                    <w:tr2bl w:val="nil"/>
                  </w:tcBorders>
                  <w:vAlign w:val="center"/>
                </w:tcPr>
                <w:p w14:paraId="63D9E48C">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14</w:t>
                  </w:r>
                </w:p>
              </w:tc>
              <w:tc>
                <w:tcPr>
                  <w:tcW w:w="589" w:type="dxa"/>
                  <w:tcBorders>
                    <w:tl2br w:val="nil"/>
                    <w:tr2bl w:val="nil"/>
                  </w:tcBorders>
                  <w:vAlign w:val="center"/>
                </w:tcPr>
                <w:p w14:paraId="1D70FDD0">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13</w:t>
                  </w:r>
                </w:p>
              </w:tc>
              <w:tc>
                <w:tcPr>
                  <w:tcW w:w="584" w:type="dxa"/>
                  <w:tcBorders>
                    <w:tl2br w:val="nil"/>
                    <w:tr2bl w:val="nil"/>
                  </w:tcBorders>
                  <w:vAlign w:val="center"/>
                </w:tcPr>
                <w:p w14:paraId="7FB35AF3">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14</w:t>
                  </w:r>
                </w:p>
              </w:tc>
              <w:tc>
                <w:tcPr>
                  <w:tcW w:w="584" w:type="dxa"/>
                  <w:tcBorders>
                    <w:tl2br w:val="nil"/>
                    <w:tr2bl w:val="nil"/>
                  </w:tcBorders>
                  <w:vAlign w:val="center"/>
                </w:tcPr>
                <w:p w14:paraId="2BD57F5D">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15</w:t>
                  </w:r>
                </w:p>
              </w:tc>
              <w:tc>
                <w:tcPr>
                  <w:tcW w:w="591" w:type="dxa"/>
                  <w:tcBorders>
                    <w:tl2br w:val="nil"/>
                    <w:tr2bl w:val="nil"/>
                  </w:tcBorders>
                  <w:vAlign w:val="center"/>
                </w:tcPr>
                <w:p w14:paraId="24F4AF47">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14</w:t>
                  </w:r>
                </w:p>
              </w:tc>
              <w:tc>
                <w:tcPr>
                  <w:tcW w:w="597" w:type="dxa"/>
                  <w:tcBorders>
                    <w:tl2br w:val="nil"/>
                    <w:tr2bl w:val="nil"/>
                  </w:tcBorders>
                  <w:vAlign w:val="center"/>
                </w:tcPr>
                <w:p w14:paraId="4B5D7D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sz w:val="18"/>
                      <w:szCs w:val="18"/>
                      <w:u w:val="none"/>
                      <w:vertAlign w:val="baseline"/>
                      <w:lang w:val="en-US" w:eastAsia="zh-CN"/>
                    </w:rPr>
                  </w:pPr>
                  <w:r>
                    <w:rPr>
                      <w:rFonts w:hint="eastAsia" w:cs="Times New Roman"/>
                      <w:sz w:val="18"/>
                      <w:szCs w:val="18"/>
                      <w:u w:val="none"/>
                      <w:vertAlign w:val="baseline"/>
                      <w:lang w:val="en-US" w:eastAsia="zh-CN"/>
                    </w:rPr>
                    <w:t>/</w:t>
                  </w:r>
                </w:p>
              </w:tc>
              <w:tc>
                <w:tcPr>
                  <w:tcW w:w="478" w:type="dxa"/>
                  <w:tcBorders>
                    <w:tl2br w:val="nil"/>
                    <w:tr2bl w:val="nil"/>
                  </w:tcBorders>
                  <w:vAlign w:val="center"/>
                </w:tcPr>
                <w:p w14:paraId="5F83257B">
                  <w:pPr>
                    <w:keepNext w:val="0"/>
                    <w:keepLines w:val="0"/>
                    <w:pageBreakBefore w:val="0"/>
                    <w:kinsoku/>
                    <w:wordWrap/>
                    <w:overflowPunct/>
                    <w:topLinePunct w:val="0"/>
                    <w:autoSpaceDE/>
                    <w:autoSpaceDN/>
                    <w:bidi w:val="0"/>
                    <w:adjustRightInd/>
                    <w:snapToGrid/>
                    <w:ind w:left="-53" w:leftChars="-25" w:right="-53" w:rightChars="-25"/>
                    <w:jc w:val="center"/>
                    <w:textAlignment w:val="auto"/>
                    <w:rPr>
                      <w:rFonts w:hint="eastAsia" w:eastAsia="宋体"/>
                      <w:color w:val="auto"/>
                      <w:sz w:val="18"/>
                      <w:szCs w:val="18"/>
                      <w:u w:val="none"/>
                      <w:lang w:val="en-US" w:eastAsia="zh-CN"/>
                    </w:rPr>
                  </w:pPr>
                  <w:r>
                    <w:rPr>
                      <w:rFonts w:hint="eastAsia"/>
                      <w:color w:val="auto"/>
                      <w:sz w:val="18"/>
                      <w:szCs w:val="18"/>
                      <w:u w:val="none"/>
                      <w:lang w:val="en-US" w:eastAsia="zh-CN"/>
                    </w:rPr>
                    <w:t>/</w:t>
                  </w:r>
                </w:p>
              </w:tc>
            </w:tr>
            <w:tr w14:paraId="20D469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1002" w:type="dxa"/>
                  <w:tcBorders>
                    <w:tl2br w:val="nil"/>
                    <w:tr2bl w:val="nil"/>
                  </w:tcBorders>
                  <w:vAlign w:val="center"/>
                </w:tcPr>
                <w:p w14:paraId="138BF72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eastAsia="宋体"/>
                      <w:color w:val="auto"/>
                      <w:sz w:val="18"/>
                      <w:szCs w:val="18"/>
                      <w:u w:val="none"/>
                      <w:lang w:val="en-US" w:eastAsia="zh-CN"/>
                    </w:rPr>
                  </w:pPr>
                  <w:r>
                    <w:rPr>
                      <w:rFonts w:hint="eastAsia"/>
                      <w:sz w:val="18"/>
                      <w:szCs w:val="18"/>
                      <w:u w:val="none"/>
                      <w:lang w:val="en-US" w:eastAsia="zh-CN"/>
                    </w:rPr>
                    <w:t>pH值</w:t>
                  </w:r>
                </w:p>
              </w:tc>
              <w:tc>
                <w:tcPr>
                  <w:tcW w:w="728" w:type="dxa"/>
                  <w:tcBorders>
                    <w:tl2br w:val="nil"/>
                    <w:tr2bl w:val="nil"/>
                  </w:tcBorders>
                  <w:vAlign w:val="center"/>
                </w:tcPr>
                <w:p w14:paraId="2330793E">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18"/>
                      <w:szCs w:val="18"/>
                      <w:u w:val="none"/>
                    </w:rPr>
                  </w:pPr>
                  <w:r>
                    <w:rPr>
                      <w:rFonts w:hint="default" w:ascii="Times New Roman" w:hAnsi="Times New Roman" w:eastAsia="宋体" w:cs="Times New Roman"/>
                      <w:sz w:val="18"/>
                      <w:szCs w:val="18"/>
                      <w:u w:val="none"/>
                      <w:lang w:val="en-US" w:eastAsia="zh-CN"/>
                    </w:rPr>
                    <w:t>无量纲</w:t>
                  </w:r>
                </w:p>
              </w:tc>
              <w:tc>
                <w:tcPr>
                  <w:tcW w:w="584" w:type="dxa"/>
                  <w:tcBorders>
                    <w:tl2br w:val="nil"/>
                    <w:tr2bl w:val="nil"/>
                  </w:tcBorders>
                  <w:vAlign w:val="center"/>
                </w:tcPr>
                <w:p w14:paraId="7F9A0394">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7.3</w:t>
                  </w:r>
                </w:p>
              </w:tc>
              <w:tc>
                <w:tcPr>
                  <w:tcW w:w="584" w:type="dxa"/>
                  <w:tcBorders>
                    <w:tl2br w:val="nil"/>
                    <w:tr2bl w:val="nil"/>
                  </w:tcBorders>
                  <w:vAlign w:val="center"/>
                </w:tcPr>
                <w:p w14:paraId="7E72C776">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7.2</w:t>
                  </w:r>
                </w:p>
              </w:tc>
              <w:tc>
                <w:tcPr>
                  <w:tcW w:w="589" w:type="dxa"/>
                  <w:tcBorders>
                    <w:tl2br w:val="nil"/>
                    <w:tr2bl w:val="nil"/>
                  </w:tcBorders>
                  <w:vAlign w:val="center"/>
                </w:tcPr>
                <w:p w14:paraId="0F41A65C">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7.2</w:t>
                  </w:r>
                </w:p>
              </w:tc>
              <w:tc>
                <w:tcPr>
                  <w:tcW w:w="584" w:type="dxa"/>
                  <w:tcBorders>
                    <w:tl2br w:val="nil"/>
                    <w:tr2bl w:val="nil"/>
                  </w:tcBorders>
                  <w:vAlign w:val="center"/>
                </w:tcPr>
                <w:p w14:paraId="4D2142A7">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7.5</w:t>
                  </w:r>
                </w:p>
              </w:tc>
              <w:tc>
                <w:tcPr>
                  <w:tcW w:w="584" w:type="dxa"/>
                  <w:tcBorders>
                    <w:tl2br w:val="nil"/>
                    <w:tr2bl w:val="nil"/>
                  </w:tcBorders>
                  <w:vAlign w:val="center"/>
                </w:tcPr>
                <w:p w14:paraId="5EBDEFEB">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7.4</w:t>
                  </w:r>
                </w:p>
              </w:tc>
              <w:tc>
                <w:tcPr>
                  <w:tcW w:w="589" w:type="dxa"/>
                  <w:tcBorders>
                    <w:tl2br w:val="nil"/>
                    <w:tr2bl w:val="nil"/>
                  </w:tcBorders>
                  <w:vAlign w:val="center"/>
                </w:tcPr>
                <w:p w14:paraId="4021C0D9">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7.5</w:t>
                  </w:r>
                </w:p>
              </w:tc>
              <w:tc>
                <w:tcPr>
                  <w:tcW w:w="584" w:type="dxa"/>
                  <w:tcBorders>
                    <w:tl2br w:val="nil"/>
                    <w:tr2bl w:val="nil"/>
                  </w:tcBorders>
                  <w:vAlign w:val="center"/>
                </w:tcPr>
                <w:p w14:paraId="76396D06">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7.4</w:t>
                  </w:r>
                </w:p>
              </w:tc>
              <w:tc>
                <w:tcPr>
                  <w:tcW w:w="584" w:type="dxa"/>
                  <w:tcBorders>
                    <w:tl2br w:val="nil"/>
                    <w:tr2bl w:val="nil"/>
                  </w:tcBorders>
                  <w:vAlign w:val="center"/>
                </w:tcPr>
                <w:p w14:paraId="2ACA742D">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7.6</w:t>
                  </w:r>
                </w:p>
              </w:tc>
              <w:tc>
                <w:tcPr>
                  <w:tcW w:w="591" w:type="dxa"/>
                  <w:tcBorders>
                    <w:tl2br w:val="nil"/>
                    <w:tr2bl w:val="nil"/>
                  </w:tcBorders>
                  <w:vAlign w:val="center"/>
                </w:tcPr>
                <w:p w14:paraId="14B80151">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7.7</w:t>
                  </w:r>
                </w:p>
              </w:tc>
              <w:tc>
                <w:tcPr>
                  <w:tcW w:w="597" w:type="dxa"/>
                  <w:tcBorders>
                    <w:tl2br w:val="nil"/>
                    <w:tr2bl w:val="nil"/>
                  </w:tcBorders>
                  <w:vAlign w:val="center"/>
                </w:tcPr>
                <w:p w14:paraId="72BC10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18"/>
                      <w:szCs w:val="18"/>
                      <w:u w:val="none"/>
                    </w:rPr>
                  </w:pPr>
                  <w:r>
                    <w:rPr>
                      <w:rFonts w:hint="eastAsia" w:cs="Times New Roman"/>
                      <w:sz w:val="18"/>
                      <w:szCs w:val="18"/>
                      <w:u w:val="none"/>
                      <w:vertAlign w:val="baseline"/>
                      <w:lang w:val="en-US" w:eastAsia="zh-CN"/>
                    </w:rPr>
                    <w:t>6-9</w:t>
                  </w:r>
                </w:p>
              </w:tc>
              <w:tc>
                <w:tcPr>
                  <w:tcW w:w="478" w:type="dxa"/>
                  <w:tcBorders>
                    <w:tl2br w:val="nil"/>
                    <w:tr2bl w:val="nil"/>
                  </w:tcBorders>
                  <w:vAlign w:val="center"/>
                </w:tcPr>
                <w:p w14:paraId="54A45151">
                  <w:pPr>
                    <w:keepNext w:val="0"/>
                    <w:keepLines w:val="0"/>
                    <w:pageBreakBefore w:val="0"/>
                    <w:kinsoku/>
                    <w:wordWrap/>
                    <w:overflowPunct/>
                    <w:topLinePunct w:val="0"/>
                    <w:autoSpaceDE/>
                    <w:autoSpaceDN/>
                    <w:bidi w:val="0"/>
                    <w:adjustRightInd/>
                    <w:snapToGrid/>
                    <w:ind w:left="-53" w:leftChars="-25" w:right="-53" w:rightChars="-25"/>
                    <w:jc w:val="center"/>
                    <w:textAlignment w:val="auto"/>
                    <w:rPr>
                      <w:color w:val="auto"/>
                      <w:sz w:val="18"/>
                      <w:szCs w:val="18"/>
                      <w:u w:val="none"/>
                    </w:rPr>
                  </w:pPr>
                  <w:r>
                    <w:rPr>
                      <w:color w:val="auto"/>
                      <w:sz w:val="18"/>
                      <w:szCs w:val="18"/>
                      <w:u w:val="none"/>
                    </w:rPr>
                    <w:t>达标</w:t>
                  </w:r>
                </w:p>
              </w:tc>
            </w:tr>
            <w:tr w14:paraId="21AAE1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002" w:type="dxa"/>
                  <w:tcBorders>
                    <w:tl2br w:val="nil"/>
                    <w:tr2bl w:val="nil"/>
                  </w:tcBorders>
                  <w:vAlign w:val="center"/>
                </w:tcPr>
                <w:p w14:paraId="21788D2E">
                  <w:pPr>
                    <w:keepNext w:val="0"/>
                    <w:keepLines w:val="0"/>
                    <w:widowControl/>
                    <w:suppressLineNumbers w:val="0"/>
                    <w:jc w:val="center"/>
                    <w:textAlignment w:val="center"/>
                    <w:rPr>
                      <w:rFonts w:hint="default" w:eastAsia="宋体"/>
                      <w:color w:val="auto"/>
                      <w:sz w:val="18"/>
                      <w:szCs w:val="18"/>
                      <w:u w:val="none"/>
                      <w:lang w:val="en-US" w:eastAsia="zh-CN"/>
                    </w:rPr>
                  </w:pPr>
                  <w:r>
                    <w:rPr>
                      <w:rFonts w:hint="eastAsia" w:ascii="宋体" w:hAnsi="宋体" w:cs="宋体"/>
                      <w:i w:val="0"/>
                      <w:iCs w:val="0"/>
                      <w:color w:val="000000"/>
                      <w:kern w:val="0"/>
                      <w:sz w:val="18"/>
                      <w:szCs w:val="18"/>
                      <w:u w:val="none"/>
                      <w:lang w:val="en-US" w:eastAsia="zh-CN" w:bidi="ar"/>
                    </w:rPr>
                    <w:t>溶解氧</w:t>
                  </w:r>
                </w:p>
              </w:tc>
              <w:tc>
                <w:tcPr>
                  <w:tcW w:w="728" w:type="dxa"/>
                  <w:tcBorders>
                    <w:tl2br w:val="nil"/>
                    <w:tr2bl w:val="nil"/>
                  </w:tcBorders>
                  <w:vAlign w:val="center"/>
                </w:tcPr>
                <w:p w14:paraId="5FBF0AE2">
                  <w:pPr>
                    <w:keepNext w:val="0"/>
                    <w:keepLines w:val="0"/>
                    <w:widowControl/>
                    <w:suppressLineNumbers w:val="0"/>
                    <w:jc w:val="center"/>
                    <w:textAlignment w:val="center"/>
                    <w:rPr>
                      <w:color w:val="auto"/>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mg/L</w:t>
                  </w:r>
                </w:p>
              </w:tc>
              <w:tc>
                <w:tcPr>
                  <w:tcW w:w="584" w:type="dxa"/>
                  <w:tcBorders>
                    <w:tl2br w:val="nil"/>
                    <w:tr2bl w:val="nil"/>
                  </w:tcBorders>
                  <w:vAlign w:val="center"/>
                </w:tcPr>
                <w:p w14:paraId="526882A1">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6.1</w:t>
                  </w:r>
                </w:p>
              </w:tc>
              <w:tc>
                <w:tcPr>
                  <w:tcW w:w="584" w:type="dxa"/>
                  <w:tcBorders>
                    <w:tl2br w:val="nil"/>
                    <w:tr2bl w:val="nil"/>
                  </w:tcBorders>
                  <w:vAlign w:val="center"/>
                </w:tcPr>
                <w:p w14:paraId="20BF07FD">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6.0</w:t>
                  </w:r>
                </w:p>
              </w:tc>
              <w:tc>
                <w:tcPr>
                  <w:tcW w:w="589" w:type="dxa"/>
                  <w:tcBorders>
                    <w:tl2br w:val="nil"/>
                    <w:tr2bl w:val="nil"/>
                  </w:tcBorders>
                  <w:vAlign w:val="center"/>
                </w:tcPr>
                <w:p w14:paraId="3797044E">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6.1</w:t>
                  </w:r>
                </w:p>
              </w:tc>
              <w:tc>
                <w:tcPr>
                  <w:tcW w:w="584" w:type="dxa"/>
                  <w:tcBorders>
                    <w:tl2br w:val="nil"/>
                    <w:tr2bl w:val="nil"/>
                  </w:tcBorders>
                  <w:vAlign w:val="center"/>
                </w:tcPr>
                <w:p w14:paraId="5B206377">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5.8</w:t>
                  </w:r>
                </w:p>
              </w:tc>
              <w:tc>
                <w:tcPr>
                  <w:tcW w:w="584" w:type="dxa"/>
                  <w:tcBorders>
                    <w:tl2br w:val="nil"/>
                    <w:tr2bl w:val="nil"/>
                  </w:tcBorders>
                  <w:vAlign w:val="center"/>
                </w:tcPr>
                <w:p w14:paraId="0B57658A">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5.7</w:t>
                  </w:r>
                </w:p>
              </w:tc>
              <w:tc>
                <w:tcPr>
                  <w:tcW w:w="589" w:type="dxa"/>
                  <w:tcBorders>
                    <w:tl2br w:val="nil"/>
                    <w:tr2bl w:val="nil"/>
                  </w:tcBorders>
                  <w:vAlign w:val="center"/>
                </w:tcPr>
                <w:p w14:paraId="0BECAA80">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5.8</w:t>
                  </w:r>
                </w:p>
              </w:tc>
              <w:tc>
                <w:tcPr>
                  <w:tcW w:w="584" w:type="dxa"/>
                  <w:tcBorders>
                    <w:tl2br w:val="nil"/>
                    <w:tr2bl w:val="nil"/>
                  </w:tcBorders>
                  <w:vAlign w:val="center"/>
                </w:tcPr>
                <w:p w14:paraId="7633DCF8">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6.3</w:t>
                  </w:r>
                </w:p>
              </w:tc>
              <w:tc>
                <w:tcPr>
                  <w:tcW w:w="584" w:type="dxa"/>
                  <w:tcBorders>
                    <w:tl2br w:val="nil"/>
                    <w:tr2bl w:val="nil"/>
                  </w:tcBorders>
                  <w:vAlign w:val="center"/>
                </w:tcPr>
                <w:p w14:paraId="58D21DB3">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6.4</w:t>
                  </w:r>
                </w:p>
              </w:tc>
              <w:tc>
                <w:tcPr>
                  <w:tcW w:w="591" w:type="dxa"/>
                  <w:tcBorders>
                    <w:tl2br w:val="nil"/>
                    <w:tr2bl w:val="nil"/>
                  </w:tcBorders>
                  <w:vAlign w:val="center"/>
                </w:tcPr>
                <w:p w14:paraId="14B8DE3D">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6.4</w:t>
                  </w:r>
                </w:p>
              </w:tc>
              <w:tc>
                <w:tcPr>
                  <w:tcW w:w="597" w:type="dxa"/>
                  <w:tcBorders>
                    <w:tl2br w:val="nil"/>
                    <w:tr2bl w:val="nil"/>
                  </w:tcBorders>
                  <w:vAlign w:val="center"/>
                </w:tcPr>
                <w:p w14:paraId="6E92566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auto"/>
                      <w:sz w:val="18"/>
                      <w:szCs w:val="18"/>
                      <w:u w:val="none"/>
                      <w:lang w:val="en-US" w:eastAsia="zh-CN"/>
                    </w:rPr>
                  </w:pPr>
                  <w:r>
                    <w:rPr>
                      <w:rFonts w:hint="default" w:ascii="Arial" w:hAnsi="Arial" w:cs="Arial"/>
                      <w:sz w:val="18"/>
                      <w:szCs w:val="18"/>
                      <w:u w:val="none"/>
                      <w:vertAlign w:val="baseline"/>
                      <w:lang w:val="en-US" w:eastAsia="zh-CN"/>
                    </w:rPr>
                    <w:t>≥</w:t>
                  </w:r>
                  <w:r>
                    <w:rPr>
                      <w:rFonts w:hint="eastAsia" w:cs="Times New Roman"/>
                      <w:sz w:val="18"/>
                      <w:szCs w:val="18"/>
                      <w:u w:val="none"/>
                      <w:vertAlign w:val="baseline"/>
                      <w:lang w:val="en-US" w:eastAsia="zh-CN"/>
                    </w:rPr>
                    <w:t>5</w:t>
                  </w:r>
                </w:p>
              </w:tc>
              <w:tc>
                <w:tcPr>
                  <w:tcW w:w="478" w:type="dxa"/>
                  <w:tcBorders>
                    <w:tl2br w:val="nil"/>
                    <w:tr2bl w:val="nil"/>
                  </w:tcBorders>
                  <w:vAlign w:val="center"/>
                </w:tcPr>
                <w:p w14:paraId="76009A64">
                  <w:pPr>
                    <w:keepNext w:val="0"/>
                    <w:keepLines w:val="0"/>
                    <w:pageBreakBefore w:val="0"/>
                    <w:kinsoku/>
                    <w:wordWrap/>
                    <w:overflowPunct/>
                    <w:topLinePunct w:val="0"/>
                    <w:autoSpaceDE/>
                    <w:autoSpaceDN/>
                    <w:bidi w:val="0"/>
                    <w:adjustRightInd/>
                    <w:snapToGrid/>
                    <w:ind w:left="-53" w:leftChars="-25" w:right="-53" w:rightChars="-25"/>
                    <w:jc w:val="center"/>
                    <w:textAlignment w:val="auto"/>
                    <w:rPr>
                      <w:color w:val="auto"/>
                      <w:sz w:val="18"/>
                      <w:szCs w:val="18"/>
                      <w:u w:val="none"/>
                    </w:rPr>
                  </w:pPr>
                  <w:r>
                    <w:rPr>
                      <w:color w:val="auto"/>
                      <w:sz w:val="18"/>
                      <w:szCs w:val="18"/>
                      <w:u w:val="none"/>
                    </w:rPr>
                    <w:t>达标</w:t>
                  </w:r>
                </w:p>
              </w:tc>
            </w:tr>
            <w:tr w14:paraId="0C1F0C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002" w:type="dxa"/>
                  <w:tcBorders>
                    <w:tl2br w:val="nil"/>
                    <w:tr2bl w:val="nil"/>
                  </w:tcBorders>
                  <w:vAlign w:val="center"/>
                </w:tcPr>
                <w:p w14:paraId="6A1462D1">
                  <w:pPr>
                    <w:keepNext w:val="0"/>
                    <w:keepLines w:val="0"/>
                    <w:widowControl/>
                    <w:suppressLineNumbers w:val="0"/>
                    <w:jc w:val="center"/>
                    <w:textAlignment w:val="center"/>
                    <w:rPr>
                      <w:rFonts w:hint="default" w:eastAsia="宋体"/>
                      <w:color w:val="auto"/>
                      <w:sz w:val="18"/>
                      <w:szCs w:val="18"/>
                      <w:u w:val="none"/>
                      <w:lang w:val="en-US" w:eastAsia="zh-CN"/>
                    </w:rPr>
                  </w:pPr>
                  <w:r>
                    <w:rPr>
                      <w:sz w:val="18"/>
                      <w:szCs w:val="18"/>
                      <w:u w:val="none"/>
                    </w:rPr>
                    <w:t>高锰酸盐指数</w:t>
                  </w:r>
                </w:p>
              </w:tc>
              <w:tc>
                <w:tcPr>
                  <w:tcW w:w="728" w:type="dxa"/>
                  <w:tcBorders>
                    <w:tl2br w:val="nil"/>
                    <w:tr2bl w:val="nil"/>
                  </w:tcBorders>
                  <w:vAlign w:val="center"/>
                </w:tcPr>
                <w:p w14:paraId="7E6601B4">
                  <w:pPr>
                    <w:keepNext w:val="0"/>
                    <w:keepLines w:val="0"/>
                    <w:widowControl/>
                    <w:suppressLineNumbers w:val="0"/>
                    <w:jc w:val="center"/>
                    <w:textAlignment w:val="center"/>
                    <w:rPr>
                      <w:color w:val="auto"/>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mg/L</w:t>
                  </w:r>
                </w:p>
              </w:tc>
              <w:tc>
                <w:tcPr>
                  <w:tcW w:w="584" w:type="dxa"/>
                  <w:tcBorders>
                    <w:tl2br w:val="nil"/>
                    <w:tr2bl w:val="nil"/>
                  </w:tcBorders>
                  <w:vAlign w:val="center"/>
                </w:tcPr>
                <w:p w14:paraId="5D6F6532">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3.2</w:t>
                  </w:r>
                </w:p>
              </w:tc>
              <w:tc>
                <w:tcPr>
                  <w:tcW w:w="584" w:type="dxa"/>
                  <w:tcBorders>
                    <w:tl2br w:val="nil"/>
                    <w:tr2bl w:val="nil"/>
                  </w:tcBorders>
                  <w:vAlign w:val="center"/>
                </w:tcPr>
                <w:p w14:paraId="30C78EA4">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3.4</w:t>
                  </w:r>
                </w:p>
              </w:tc>
              <w:tc>
                <w:tcPr>
                  <w:tcW w:w="589" w:type="dxa"/>
                  <w:tcBorders>
                    <w:tl2br w:val="nil"/>
                    <w:tr2bl w:val="nil"/>
                  </w:tcBorders>
                  <w:vAlign w:val="center"/>
                </w:tcPr>
                <w:p w14:paraId="7BF68DB5">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3.5</w:t>
                  </w:r>
                </w:p>
              </w:tc>
              <w:tc>
                <w:tcPr>
                  <w:tcW w:w="584" w:type="dxa"/>
                  <w:tcBorders>
                    <w:tl2br w:val="nil"/>
                    <w:tr2bl w:val="nil"/>
                  </w:tcBorders>
                  <w:vAlign w:val="center"/>
                </w:tcPr>
                <w:p w14:paraId="0D49F749">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3.7</w:t>
                  </w:r>
                </w:p>
              </w:tc>
              <w:tc>
                <w:tcPr>
                  <w:tcW w:w="584" w:type="dxa"/>
                  <w:tcBorders>
                    <w:tl2br w:val="nil"/>
                    <w:tr2bl w:val="nil"/>
                  </w:tcBorders>
                  <w:vAlign w:val="center"/>
                </w:tcPr>
                <w:p w14:paraId="430EE428">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3.8</w:t>
                  </w:r>
                </w:p>
              </w:tc>
              <w:tc>
                <w:tcPr>
                  <w:tcW w:w="589" w:type="dxa"/>
                  <w:tcBorders>
                    <w:tl2br w:val="nil"/>
                    <w:tr2bl w:val="nil"/>
                  </w:tcBorders>
                  <w:vAlign w:val="center"/>
                </w:tcPr>
                <w:p w14:paraId="5A0FC6EA">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3.4</w:t>
                  </w:r>
                </w:p>
              </w:tc>
              <w:tc>
                <w:tcPr>
                  <w:tcW w:w="584" w:type="dxa"/>
                  <w:tcBorders>
                    <w:tl2br w:val="nil"/>
                    <w:tr2bl w:val="nil"/>
                  </w:tcBorders>
                  <w:vAlign w:val="center"/>
                </w:tcPr>
                <w:p w14:paraId="3CE90783">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3.9</w:t>
                  </w:r>
                </w:p>
              </w:tc>
              <w:tc>
                <w:tcPr>
                  <w:tcW w:w="584" w:type="dxa"/>
                  <w:tcBorders>
                    <w:tl2br w:val="nil"/>
                    <w:tr2bl w:val="nil"/>
                  </w:tcBorders>
                  <w:vAlign w:val="center"/>
                </w:tcPr>
                <w:p w14:paraId="1361DC9E">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3.8</w:t>
                  </w:r>
                </w:p>
              </w:tc>
              <w:tc>
                <w:tcPr>
                  <w:tcW w:w="591" w:type="dxa"/>
                  <w:tcBorders>
                    <w:tl2br w:val="nil"/>
                    <w:tr2bl w:val="nil"/>
                  </w:tcBorders>
                  <w:vAlign w:val="center"/>
                </w:tcPr>
                <w:p w14:paraId="57894D6D">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3.7</w:t>
                  </w:r>
                </w:p>
              </w:tc>
              <w:tc>
                <w:tcPr>
                  <w:tcW w:w="597" w:type="dxa"/>
                  <w:tcBorders>
                    <w:tl2br w:val="nil"/>
                    <w:tr2bl w:val="nil"/>
                  </w:tcBorders>
                  <w:vAlign w:val="center"/>
                </w:tcPr>
                <w:p w14:paraId="5E4D39D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olor w:val="auto"/>
                      <w:sz w:val="18"/>
                      <w:szCs w:val="18"/>
                      <w:u w:val="none"/>
                      <w:lang w:val="en-US" w:eastAsia="zh-CN"/>
                    </w:rPr>
                  </w:pPr>
                  <w:r>
                    <w:rPr>
                      <w:rFonts w:hint="eastAsia" w:cs="Times New Roman"/>
                      <w:sz w:val="18"/>
                      <w:szCs w:val="18"/>
                      <w:u w:val="none"/>
                      <w:vertAlign w:val="baseline"/>
                      <w:lang w:val="en-US" w:eastAsia="zh-CN"/>
                    </w:rPr>
                    <w:t>6</w:t>
                  </w:r>
                </w:p>
              </w:tc>
              <w:tc>
                <w:tcPr>
                  <w:tcW w:w="478" w:type="dxa"/>
                  <w:tcBorders>
                    <w:tl2br w:val="nil"/>
                    <w:tr2bl w:val="nil"/>
                  </w:tcBorders>
                  <w:vAlign w:val="center"/>
                </w:tcPr>
                <w:p w14:paraId="3B6BC053">
                  <w:pPr>
                    <w:keepNext w:val="0"/>
                    <w:keepLines w:val="0"/>
                    <w:pageBreakBefore w:val="0"/>
                    <w:kinsoku/>
                    <w:wordWrap/>
                    <w:overflowPunct/>
                    <w:topLinePunct w:val="0"/>
                    <w:autoSpaceDE/>
                    <w:autoSpaceDN/>
                    <w:bidi w:val="0"/>
                    <w:adjustRightInd/>
                    <w:snapToGrid/>
                    <w:ind w:left="-53" w:leftChars="-25" w:right="-53" w:rightChars="-25"/>
                    <w:jc w:val="center"/>
                    <w:textAlignment w:val="auto"/>
                    <w:rPr>
                      <w:color w:val="auto"/>
                      <w:sz w:val="18"/>
                      <w:szCs w:val="18"/>
                      <w:u w:val="none"/>
                    </w:rPr>
                  </w:pPr>
                  <w:r>
                    <w:rPr>
                      <w:color w:val="auto"/>
                      <w:sz w:val="18"/>
                      <w:szCs w:val="18"/>
                      <w:u w:val="none"/>
                    </w:rPr>
                    <w:t>达标</w:t>
                  </w:r>
                </w:p>
              </w:tc>
            </w:tr>
            <w:tr w14:paraId="01D928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002" w:type="dxa"/>
                  <w:tcBorders>
                    <w:tl2br w:val="nil"/>
                    <w:tr2bl w:val="nil"/>
                  </w:tcBorders>
                  <w:vAlign w:val="center"/>
                </w:tcPr>
                <w:p w14:paraId="3BB913BF">
                  <w:pPr>
                    <w:keepNext w:val="0"/>
                    <w:keepLines w:val="0"/>
                    <w:widowControl/>
                    <w:suppressLineNumbers w:val="0"/>
                    <w:jc w:val="center"/>
                    <w:textAlignment w:val="center"/>
                    <w:rPr>
                      <w:rFonts w:hint="default" w:eastAsia="宋体"/>
                      <w:color w:val="auto"/>
                      <w:sz w:val="18"/>
                      <w:szCs w:val="18"/>
                      <w:u w:val="none"/>
                      <w:lang w:val="en-US" w:eastAsia="zh-CN"/>
                    </w:rPr>
                  </w:pPr>
                  <w:r>
                    <w:rPr>
                      <w:rFonts w:hint="eastAsia" w:ascii="宋体" w:hAnsi="宋体" w:eastAsia="宋体" w:cs="宋体"/>
                      <w:i w:val="0"/>
                      <w:iCs w:val="0"/>
                      <w:color w:val="000000"/>
                      <w:kern w:val="0"/>
                      <w:sz w:val="18"/>
                      <w:szCs w:val="18"/>
                      <w:u w:val="none"/>
                      <w:lang w:val="en-US" w:eastAsia="zh-CN" w:bidi="ar"/>
                    </w:rPr>
                    <w:t>化学需氧量</w:t>
                  </w:r>
                </w:p>
              </w:tc>
              <w:tc>
                <w:tcPr>
                  <w:tcW w:w="728" w:type="dxa"/>
                  <w:tcBorders>
                    <w:tl2br w:val="nil"/>
                    <w:tr2bl w:val="nil"/>
                  </w:tcBorders>
                  <w:vAlign w:val="center"/>
                </w:tcPr>
                <w:p w14:paraId="083F86BE">
                  <w:pPr>
                    <w:keepNext w:val="0"/>
                    <w:keepLines w:val="0"/>
                    <w:widowControl/>
                    <w:suppressLineNumbers w:val="0"/>
                    <w:jc w:val="center"/>
                    <w:textAlignment w:val="center"/>
                    <w:rPr>
                      <w:color w:val="auto"/>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mg/L</w:t>
                  </w:r>
                </w:p>
              </w:tc>
              <w:tc>
                <w:tcPr>
                  <w:tcW w:w="584" w:type="dxa"/>
                  <w:tcBorders>
                    <w:tl2br w:val="nil"/>
                    <w:tr2bl w:val="nil"/>
                  </w:tcBorders>
                  <w:vAlign w:val="center"/>
                </w:tcPr>
                <w:p w14:paraId="2C61CD19">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10</w:t>
                  </w:r>
                </w:p>
              </w:tc>
              <w:tc>
                <w:tcPr>
                  <w:tcW w:w="584" w:type="dxa"/>
                  <w:tcBorders>
                    <w:tl2br w:val="nil"/>
                    <w:tr2bl w:val="nil"/>
                  </w:tcBorders>
                  <w:vAlign w:val="center"/>
                </w:tcPr>
                <w:p w14:paraId="702F0BF7">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11</w:t>
                  </w:r>
                </w:p>
              </w:tc>
              <w:tc>
                <w:tcPr>
                  <w:tcW w:w="589" w:type="dxa"/>
                  <w:tcBorders>
                    <w:tl2br w:val="nil"/>
                    <w:tr2bl w:val="nil"/>
                  </w:tcBorders>
                  <w:vAlign w:val="center"/>
                </w:tcPr>
                <w:p w14:paraId="319B7850">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11</w:t>
                  </w:r>
                </w:p>
              </w:tc>
              <w:tc>
                <w:tcPr>
                  <w:tcW w:w="584" w:type="dxa"/>
                  <w:tcBorders>
                    <w:tl2br w:val="nil"/>
                    <w:tr2bl w:val="nil"/>
                  </w:tcBorders>
                  <w:vAlign w:val="center"/>
                </w:tcPr>
                <w:p w14:paraId="00198093">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15</w:t>
                  </w:r>
                </w:p>
              </w:tc>
              <w:tc>
                <w:tcPr>
                  <w:tcW w:w="584" w:type="dxa"/>
                  <w:tcBorders>
                    <w:tl2br w:val="nil"/>
                    <w:tr2bl w:val="nil"/>
                  </w:tcBorders>
                  <w:vAlign w:val="center"/>
                </w:tcPr>
                <w:p w14:paraId="26FCE440">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14</w:t>
                  </w:r>
                </w:p>
              </w:tc>
              <w:tc>
                <w:tcPr>
                  <w:tcW w:w="589" w:type="dxa"/>
                  <w:tcBorders>
                    <w:tl2br w:val="nil"/>
                    <w:tr2bl w:val="nil"/>
                  </w:tcBorders>
                  <w:vAlign w:val="center"/>
                </w:tcPr>
                <w:p w14:paraId="6D3BE677">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13</w:t>
                  </w:r>
                </w:p>
              </w:tc>
              <w:tc>
                <w:tcPr>
                  <w:tcW w:w="584" w:type="dxa"/>
                  <w:tcBorders>
                    <w:tl2br w:val="nil"/>
                    <w:tr2bl w:val="nil"/>
                  </w:tcBorders>
                  <w:vAlign w:val="center"/>
                </w:tcPr>
                <w:p w14:paraId="03F2F46C">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15</w:t>
                  </w:r>
                </w:p>
              </w:tc>
              <w:tc>
                <w:tcPr>
                  <w:tcW w:w="584" w:type="dxa"/>
                  <w:tcBorders>
                    <w:tl2br w:val="nil"/>
                    <w:tr2bl w:val="nil"/>
                  </w:tcBorders>
                  <w:vAlign w:val="center"/>
                </w:tcPr>
                <w:p w14:paraId="43DC9430">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16</w:t>
                  </w:r>
                </w:p>
              </w:tc>
              <w:tc>
                <w:tcPr>
                  <w:tcW w:w="591" w:type="dxa"/>
                  <w:tcBorders>
                    <w:tl2br w:val="nil"/>
                    <w:tr2bl w:val="nil"/>
                  </w:tcBorders>
                  <w:vAlign w:val="center"/>
                </w:tcPr>
                <w:p w14:paraId="178CFE9D">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15</w:t>
                  </w:r>
                </w:p>
              </w:tc>
              <w:tc>
                <w:tcPr>
                  <w:tcW w:w="597" w:type="dxa"/>
                  <w:tcBorders>
                    <w:tl2br w:val="nil"/>
                    <w:tr2bl w:val="nil"/>
                  </w:tcBorders>
                  <w:vAlign w:val="center"/>
                </w:tcPr>
                <w:p w14:paraId="0EBA9D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olor w:val="auto"/>
                      <w:sz w:val="18"/>
                      <w:szCs w:val="18"/>
                      <w:u w:val="none"/>
                      <w:lang w:val="en-US" w:eastAsia="zh-CN"/>
                    </w:rPr>
                  </w:pPr>
                  <w:r>
                    <w:rPr>
                      <w:rFonts w:hint="eastAsia" w:cs="Times New Roman"/>
                      <w:sz w:val="18"/>
                      <w:szCs w:val="18"/>
                      <w:u w:val="none"/>
                      <w:vertAlign w:val="baseline"/>
                      <w:lang w:val="en-US" w:eastAsia="zh-CN"/>
                    </w:rPr>
                    <w:t>20</w:t>
                  </w:r>
                </w:p>
              </w:tc>
              <w:tc>
                <w:tcPr>
                  <w:tcW w:w="478" w:type="dxa"/>
                  <w:tcBorders>
                    <w:tl2br w:val="nil"/>
                    <w:tr2bl w:val="nil"/>
                  </w:tcBorders>
                  <w:vAlign w:val="center"/>
                </w:tcPr>
                <w:p w14:paraId="65DA54AE">
                  <w:pPr>
                    <w:keepNext w:val="0"/>
                    <w:keepLines w:val="0"/>
                    <w:pageBreakBefore w:val="0"/>
                    <w:kinsoku/>
                    <w:wordWrap/>
                    <w:overflowPunct/>
                    <w:topLinePunct w:val="0"/>
                    <w:autoSpaceDE/>
                    <w:autoSpaceDN/>
                    <w:bidi w:val="0"/>
                    <w:adjustRightInd/>
                    <w:snapToGrid/>
                    <w:ind w:left="-53" w:leftChars="-25" w:right="-53" w:rightChars="-25"/>
                    <w:jc w:val="center"/>
                    <w:textAlignment w:val="auto"/>
                    <w:rPr>
                      <w:color w:val="auto"/>
                      <w:sz w:val="18"/>
                      <w:szCs w:val="18"/>
                      <w:u w:val="none"/>
                    </w:rPr>
                  </w:pPr>
                  <w:r>
                    <w:rPr>
                      <w:color w:val="auto"/>
                      <w:sz w:val="18"/>
                      <w:szCs w:val="18"/>
                      <w:u w:val="none"/>
                    </w:rPr>
                    <w:t>达标</w:t>
                  </w:r>
                </w:p>
              </w:tc>
            </w:tr>
            <w:tr w14:paraId="7E06E3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2" w:hRule="atLeast"/>
                <w:jc w:val="center"/>
              </w:trPr>
              <w:tc>
                <w:tcPr>
                  <w:tcW w:w="1002" w:type="dxa"/>
                  <w:tcBorders>
                    <w:tl2br w:val="nil"/>
                    <w:tr2bl w:val="nil"/>
                  </w:tcBorders>
                  <w:vAlign w:val="center"/>
                </w:tcPr>
                <w:p w14:paraId="5A9CB10F">
                  <w:pPr>
                    <w:keepNext w:val="0"/>
                    <w:keepLines w:val="0"/>
                    <w:widowControl/>
                    <w:suppressLineNumbers w:val="0"/>
                    <w:jc w:val="center"/>
                    <w:textAlignment w:val="center"/>
                    <w:rPr>
                      <w:rFonts w:hint="eastAsia" w:eastAsia="宋体"/>
                      <w:color w:val="auto"/>
                      <w:sz w:val="18"/>
                      <w:szCs w:val="18"/>
                      <w:u w:val="none"/>
                      <w:lang w:val="en-US" w:eastAsia="zh-CN"/>
                    </w:rPr>
                  </w:pPr>
                  <w:r>
                    <w:rPr>
                      <w:rFonts w:hint="eastAsia" w:ascii="宋体" w:hAnsi="宋体" w:eastAsia="宋体" w:cs="宋体"/>
                      <w:i w:val="0"/>
                      <w:iCs w:val="0"/>
                      <w:color w:val="000000"/>
                      <w:kern w:val="0"/>
                      <w:sz w:val="18"/>
                      <w:szCs w:val="18"/>
                      <w:u w:val="none"/>
                      <w:lang w:val="en-US" w:eastAsia="zh-CN" w:bidi="ar"/>
                    </w:rPr>
                    <w:t>五日生化需氧量</w:t>
                  </w:r>
                </w:p>
              </w:tc>
              <w:tc>
                <w:tcPr>
                  <w:tcW w:w="728" w:type="dxa"/>
                  <w:tcBorders>
                    <w:tl2br w:val="nil"/>
                    <w:tr2bl w:val="nil"/>
                  </w:tcBorders>
                  <w:vAlign w:val="center"/>
                </w:tcPr>
                <w:p w14:paraId="08F9C7C1">
                  <w:pPr>
                    <w:keepNext w:val="0"/>
                    <w:keepLines w:val="0"/>
                    <w:widowControl/>
                    <w:suppressLineNumbers w:val="0"/>
                    <w:jc w:val="center"/>
                    <w:textAlignment w:val="center"/>
                    <w:rPr>
                      <w:color w:val="auto"/>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mg/L</w:t>
                  </w:r>
                </w:p>
              </w:tc>
              <w:tc>
                <w:tcPr>
                  <w:tcW w:w="584" w:type="dxa"/>
                  <w:tcBorders>
                    <w:tl2br w:val="nil"/>
                    <w:tr2bl w:val="nil"/>
                  </w:tcBorders>
                  <w:vAlign w:val="center"/>
                </w:tcPr>
                <w:p w14:paraId="1DCC29C4">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2.4</w:t>
                  </w:r>
                </w:p>
              </w:tc>
              <w:tc>
                <w:tcPr>
                  <w:tcW w:w="584" w:type="dxa"/>
                  <w:tcBorders>
                    <w:tl2br w:val="nil"/>
                    <w:tr2bl w:val="nil"/>
                  </w:tcBorders>
                  <w:vAlign w:val="center"/>
                </w:tcPr>
                <w:p w14:paraId="67A7829C">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2.6</w:t>
                  </w:r>
                </w:p>
              </w:tc>
              <w:tc>
                <w:tcPr>
                  <w:tcW w:w="589" w:type="dxa"/>
                  <w:tcBorders>
                    <w:tl2br w:val="nil"/>
                    <w:tr2bl w:val="nil"/>
                  </w:tcBorders>
                  <w:vAlign w:val="center"/>
                </w:tcPr>
                <w:p w14:paraId="16281A91">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2.2</w:t>
                  </w:r>
                </w:p>
              </w:tc>
              <w:tc>
                <w:tcPr>
                  <w:tcW w:w="584" w:type="dxa"/>
                  <w:tcBorders>
                    <w:tl2br w:val="nil"/>
                    <w:tr2bl w:val="nil"/>
                  </w:tcBorders>
                  <w:vAlign w:val="center"/>
                </w:tcPr>
                <w:p w14:paraId="6978DF99">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2.8</w:t>
                  </w:r>
                </w:p>
              </w:tc>
              <w:tc>
                <w:tcPr>
                  <w:tcW w:w="584" w:type="dxa"/>
                  <w:tcBorders>
                    <w:tl2br w:val="nil"/>
                    <w:tr2bl w:val="nil"/>
                  </w:tcBorders>
                  <w:vAlign w:val="center"/>
                </w:tcPr>
                <w:p w14:paraId="2E2FC6FE">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2.9</w:t>
                  </w:r>
                </w:p>
              </w:tc>
              <w:tc>
                <w:tcPr>
                  <w:tcW w:w="589" w:type="dxa"/>
                  <w:tcBorders>
                    <w:tl2br w:val="nil"/>
                    <w:tr2bl w:val="nil"/>
                  </w:tcBorders>
                  <w:vAlign w:val="center"/>
                </w:tcPr>
                <w:p w14:paraId="69B8545F">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2.6</w:t>
                  </w:r>
                </w:p>
              </w:tc>
              <w:tc>
                <w:tcPr>
                  <w:tcW w:w="584" w:type="dxa"/>
                  <w:tcBorders>
                    <w:tl2br w:val="nil"/>
                    <w:tr2bl w:val="nil"/>
                  </w:tcBorders>
                  <w:vAlign w:val="center"/>
                </w:tcPr>
                <w:p w14:paraId="62BA927B">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2.7</w:t>
                  </w:r>
                </w:p>
              </w:tc>
              <w:tc>
                <w:tcPr>
                  <w:tcW w:w="584" w:type="dxa"/>
                  <w:tcBorders>
                    <w:tl2br w:val="nil"/>
                    <w:tr2bl w:val="nil"/>
                  </w:tcBorders>
                  <w:vAlign w:val="center"/>
                </w:tcPr>
                <w:p w14:paraId="322FBBE2">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2.9</w:t>
                  </w:r>
                </w:p>
              </w:tc>
              <w:tc>
                <w:tcPr>
                  <w:tcW w:w="591" w:type="dxa"/>
                  <w:tcBorders>
                    <w:tl2br w:val="nil"/>
                    <w:tr2bl w:val="nil"/>
                  </w:tcBorders>
                  <w:vAlign w:val="center"/>
                </w:tcPr>
                <w:p w14:paraId="405EACC2">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2.8</w:t>
                  </w:r>
                </w:p>
              </w:tc>
              <w:tc>
                <w:tcPr>
                  <w:tcW w:w="597" w:type="dxa"/>
                  <w:tcBorders>
                    <w:tl2br w:val="nil"/>
                    <w:tr2bl w:val="nil"/>
                  </w:tcBorders>
                  <w:vAlign w:val="center"/>
                </w:tcPr>
                <w:p w14:paraId="76B5AD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auto"/>
                      <w:sz w:val="18"/>
                      <w:szCs w:val="18"/>
                      <w:u w:val="none"/>
                      <w:lang w:val="en-US" w:eastAsia="zh-CN"/>
                    </w:rPr>
                  </w:pPr>
                  <w:r>
                    <w:rPr>
                      <w:rFonts w:hint="eastAsia" w:cs="Times New Roman"/>
                      <w:sz w:val="18"/>
                      <w:szCs w:val="18"/>
                      <w:u w:val="none"/>
                      <w:vertAlign w:val="baseline"/>
                      <w:lang w:val="en-US" w:eastAsia="zh-CN"/>
                    </w:rPr>
                    <w:t>4</w:t>
                  </w:r>
                </w:p>
              </w:tc>
              <w:tc>
                <w:tcPr>
                  <w:tcW w:w="478" w:type="dxa"/>
                  <w:tcBorders>
                    <w:tl2br w:val="nil"/>
                    <w:tr2bl w:val="nil"/>
                  </w:tcBorders>
                  <w:vAlign w:val="center"/>
                </w:tcPr>
                <w:p w14:paraId="3B52B96C">
                  <w:pPr>
                    <w:keepNext w:val="0"/>
                    <w:keepLines w:val="0"/>
                    <w:pageBreakBefore w:val="0"/>
                    <w:kinsoku/>
                    <w:wordWrap/>
                    <w:overflowPunct/>
                    <w:topLinePunct w:val="0"/>
                    <w:autoSpaceDE/>
                    <w:autoSpaceDN/>
                    <w:bidi w:val="0"/>
                    <w:adjustRightInd/>
                    <w:snapToGrid/>
                    <w:ind w:left="-53" w:leftChars="-25" w:right="-53" w:rightChars="-25"/>
                    <w:jc w:val="center"/>
                    <w:textAlignment w:val="auto"/>
                    <w:rPr>
                      <w:color w:val="auto"/>
                      <w:sz w:val="18"/>
                      <w:szCs w:val="18"/>
                      <w:u w:val="none"/>
                    </w:rPr>
                  </w:pPr>
                  <w:r>
                    <w:rPr>
                      <w:color w:val="auto"/>
                      <w:sz w:val="18"/>
                      <w:szCs w:val="18"/>
                      <w:u w:val="none"/>
                    </w:rPr>
                    <w:t>达标</w:t>
                  </w:r>
                </w:p>
              </w:tc>
            </w:tr>
            <w:tr w14:paraId="0B9A75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002" w:type="dxa"/>
                  <w:tcBorders>
                    <w:tl2br w:val="nil"/>
                    <w:tr2bl w:val="nil"/>
                  </w:tcBorders>
                  <w:vAlign w:val="center"/>
                </w:tcPr>
                <w:p w14:paraId="1B8383E8">
                  <w:pPr>
                    <w:keepNext w:val="0"/>
                    <w:keepLines w:val="0"/>
                    <w:widowControl/>
                    <w:suppressLineNumbers w:val="0"/>
                    <w:jc w:val="center"/>
                    <w:textAlignment w:val="center"/>
                    <w:rPr>
                      <w:rFonts w:hint="eastAsia" w:eastAsia="宋体"/>
                      <w:color w:val="auto"/>
                      <w:sz w:val="18"/>
                      <w:szCs w:val="18"/>
                      <w:u w:val="none"/>
                      <w:lang w:val="en-US" w:eastAsia="zh-CN"/>
                    </w:rPr>
                  </w:pPr>
                  <w:r>
                    <w:rPr>
                      <w:rFonts w:hint="eastAsia" w:ascii="宋体" w:hAnsi="宋体" w:eastAsia="宋体" w:cs="宋体"/>
                      <w:i w:val="0"/>
                      <w:iCs w:val="0"/>
                      <w:color w:val="000000"/>
                      <w:kern w:val="0"/>
                      <w:sz w:val="18"/>
                      <w:szCs w:val="18"/>
                      <w:u w:val="none"/>
                      <w:lang w:val="en-US" w:eastAsia="zh-CN" w:bidi="ar"/>
                    </w:rPr>
                    <w:t>氨氮</w:t>
                  </w:r>
                </w:p>
              </w:tc>
              <w:tc>
                <w:tcPr>
                  <w:tcW w:w="728" w:type="dxa"/>
                  <w:tcBorders>
                    <w:tl2br w:val="nil"/>
                    <w:tr2bl w:val="nil"/>
                  </w:tcBorders>
                  <w:vAlign w:val="center"/>
                </w:tcPr>
                <w:p w14:paraId="101E0691">
                  <w:pPr>
                    <w:keepNext w:val="0"/>
                    <w:keepLines w:val="0"/>
                    <w:widowControl/>
                    <w:suppressLineNumbers w:val="0"/>
                    <w:jc w:val="center"/>
                    <w:textAlignment w:val="center"/>
                    <w:rPr>
                      <w:color w:val="auto"/>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mg/L</w:t>
                  </w:r>
                </w:p>
              </w:tc>
              <w:tc>
                <w:tcPr>
                  <w:tcW w:w="584" w:type="dxa"/>
                  <w:tcBorders>
                    <w:tl2br w:val="nil"/>
                    <w:tr2bl w:val="nil"/>
                  </w:tcBorders>
                  <w:vAlign w:val="center"/>
                </w:tcPr>
                <w:p w14:paraId="6A9F2E49">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0.372</w:t>
                  </w:r>
                </w:p>
              </w:tc>
              <w:tc>
                <w:tcPr>
                  <w:tcW w:w="584" w:type="dxa"/>
                  <w:tcBorders>
                    <w:tl2br w:val="nil"/>
                    <w:tr2bl w:val="nil"/>
                  </w:tcBorders>
                  <w:vAlign w:val="center"/>
                </w:tcPr>
                <w:p w14:paraId="4BFD1A45">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0.335</w:t>
                  </w:r>
                </w:p>
              </w:tc>
              <w:tc>
                <w:tcPr>
                  <w:tcW w:w="589" w:type="dxa"/>
                  <w:tcBorders>
                    <w:tl2br w:val="nil"/>
                    <w:tr2bl w:val="nil"/>
                  </w:tcBorders>
                  <w:vAlign w:val="center"/>
                </w:tcPr>
                <w:p w14:paraId="31265B63">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0.336</w:t>
                  </w:r>
                </w:p>
              </w:tc>
              <w:tc>
                <w:tcPr>
                  <w:tcW w:w="584" w:type="dxa"/>
                  <w:tcBorders>
                    <w:tl2br w:val="nil"/>
                    <w:tr2bl w:val="nil"/>
                  </w:tcBorders>
                  <w:vAlign w:val="center"/>
                </w:tcPr>
                <w:p w14:paraId="5648579D">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0.456</w:t>
                  </w:r>
                </w:p>
              </w:tc>
              <w:tc>
                <w:tcPr>
                  <w:tcW w:w="584" w:type="dxa"/>
                  <w:tcBorders>
                    <w:tl2br w:val="nil"/>
                    <w:tr2bl w:val="nil"/>
                  </w:tcBorders>
                  <w:vAlign w:val="center"/>
                </w:tcPr>
                <w:p w14:paraId="368982F7">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0.473</w:t>
                  </w:r>
                </w:p>
              </w:tc>
              <w:tc>
                <w:tcPr>
                  <w:tcW w:w="589" w:type="dxa"/>
                  <w:tcBorders>
                    <w:tl2br w:val="nil"/>
                    <w:tr2bl w:val="nil"/>
                  </w:tcBorders>
                  <w:vAlign w:val="center"/>
                </w:tcPr>
                <w:p w14:paraId="5B2AB984">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0.475</w:t>
                  </w:r>
                </w:p>
              </w:tc>
              <w:tc>
                <w:tcPr>
                  <w:tcW w:w="584" w:type="dxa"/>
                  <w:tcBorders>
                    <w:tl2br w:val="nil"/>
                    <w:tr2bl w:val="nil"/>
                  </w:tcBorders>
                  <w:vAlign w:val="center"/>
                </w:tcPr>
                <w:p w14:paraId="3C517DC8">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0.563</w:t>
                  </w:r>
                </w:p>
              </w:tc>
              <w:tc>
                <w:tcPr>
                  <w:tcW w:w="584" w:type="dxa"/>
                  <w:tcBorders>
                    <w:tl2br w:val="nil"/>
                    <w:tr2bl w:val="nil"/>
                  </w:tcBorders>
                  <w:vAlign w:val="center"/>
                </w:tcPr>
                <w:p w14:paraId="51F4D061">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0.512</w:t>
                  </w:r>
                </w:p>
              </w:tc>
              <w:tc>
                <w:tcPr>
                  <w:tcW w:w="591" w:type="dxa"/>
                  <w:tcBorders>
                    <w:tl2br w:val="nil"/>
                    <w:tr2bl w:val="nil"/>
                  </w:tcBorders>
                  <w:vAlign w:val="center"/>
                </w:tcPr>
                <w:p w14:paraId="30C5A833">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0.523</w:t>
                  </w:r>
                </w:p>
              </w:tc>
              <w:tc>
                <w:tcPr>
                  <w:tcW w:w="597" w:type="dxa"/>
                  <w:tcBorders>
                    <w:tl2br w:val="nil"/>
                    <w:tr2bl w:val="nil"/>
                  </w:tcBorders>
                  <w:vAlign w:val="center"/>
                </w:tcPr>
                <w:p w14:paraId="53905B9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auto"/>
                      <w:sz w:val="18"/>
                      <w:szCs w:val="18"/>
                      <w:u w:val="none"/>
                      <w:lang w:val="en-US" w:eastAsia="zh-CN"/>
                    </w:rPr>
                  </w:pPr>
                  <w:r>
                    <w:rPr>
                      <w:rFonts w:hint="eastAsia" w:cs="Times New Roman"/>
                      <w:sz w:val="18"/>
                      <w:szCs w:val="18"/>
                      <w:u w:val="none"/>
                      <w:vertAlign w:val="baseline"/>
                      <w:lang w:val="en-US" w:eastAsia="zh-CN"/>
                    </w:rPr>
                    <w:t>1.0</w:t>
                  </w:r>
                </w:p>
              </w:tc>
              <w:tc>
                <w:tcPr>
                  <w:tcW w:w="478" w:type="dxa"/>
                  <w:tcBorders>
                    <w:tl2br w:val="nil"/>
                    <w:tr2bl w:val="nil"/>
                  </w:tcBorders>
                  <w:vAlign w:val="center"/>
                </w:tcPr>
                <w:p w14:paraId="796E3DAA">
                  <w:pPr>
                    <w:keepNext w:val="0"/>
                    <w:keepLines w:val="0"/>
                    <w:pageBreakBefore w:val="0"/>
                    <w:kinsoku/>
                    <w:wordWrap/>
                    <w:overflowPunct/>
                    <w:topLinePunct w:val="0"/>
                    <w:autoSpaceDE/>
                    <w:autoSpaceDN/>
                    <w:bidi w:val="0"/>
                    <w:adjustRightInd/>
                    <w:snapToGrid/>
                    <w:ind w:left="-53" w:leftChars="-25" w:right="-53" w:rightChars="-25"/>
                    <w:jc w:val="center"/>
                    <w:textAlignment w:val="auto"/>
                    <w:rPr>
                      <w:color w:val="auto"/>
                      <w:sz w:val="18"/>
                      <w:szCs w:val="18"/>
                      <w:u w:val="none"/>
                    </w:rPr>
                  </w:pPr>
                  <w:r>
                    <w:rPr>
                      <w:color w:val="auto"/>
                      <w:sz w:val="18"/>
                      <w:szCs w:val="18"/>
                      <w:u w:val="none"/>
                    </w:rPr>
                    <w:t>达标</w:t>
                  </w:r>
                </w:p>
              </w:tc>
            </w:tr>
            <w:tr w14:paraId="36F2D5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002" w:type="dxa"/>
                  <w:tcBorders>
                    <w:tl2br w:val="nil"/>
                    <w:tr2bl w:val="nil"/>
                  </w:tcBorders>
                  <w:vAlign w:val="center"/>
                </w:tcPr>
                <w:p w14:paraId="07E44559">
                  <w:pPr>
                    <w:keepNext w:val="0"/>
                    <w:keepLines w:val="0"/>
                    <w:widowControl/>
                    <w:suppressLineNumbers w:val="0"/>
                    <w:jc w:val="center"/>
                    <w:textAlignment w:val="center"/>
                    <w:rPr>
                      <w:rFonts w:hint="eastAsia" w:eastAsia="宋体"/>
                      <w:color w:val="auto"/>
                      <w:sz w:val="18"/>
                      <w:szCs w:val="18"/>
                      <w:u w:val="none"/>
                      <w:lang w:val="en-US" w:eastAsia="zh-CN"/>
                    </w:rPr>
                  </w:pPr>
                  <w:r>
                    <w:rPr>
                      <w:rFonts w:hint="eastAsia" w:ascii="宋体" w:hAnsi="宋体" w:eastAsia="宋体" w:cs="宋体"/>
                      <w:i w:val="0"/>
                      <w:iCs w:val="0"/>
                      <w:color w:val="auto"/>
                      <w:kern w:val="0"/>
                      <w:sz w:val="18"/>
                      <w:szCs w:val="18"/>
                      <w:u w:val="none"/>
                      <w:lang w:val="en-US" w:eastAsia="zh-CN" w:bidi="ar"/>
                    </w:rPr>
                    <w:t>总磷</w:t>
                  </w:r>
                </w:p>
              </w:tc>
              <w:tc>
                <w:tcPr>
                  <w:tcW w:w="728" w:type="dxa"/>
                  <w:tcBorders>
                    <w:tl2br w:val="nil"/>
                    <w:tr2bl w:val="nil"/>
                  </w:tcBorders>
                  <w:vAlign w:val="center"/>
                </w:tcPr>
                <w:p w14:paraId="181C44DB">
                  <w:pPr>
                    <w:keepNext w:val="0"/>
                    <w:keepLines w:val="0"/>
                    <w:widowControl/>
                    <w:suppressLineNumbers w:val="0"/>
                    <w:jc w:val="center"/>
                    <w:textAlignment w:val="center"/>
                    <w:rPr>
                      <w:color w:val="auto"/>
                      <w:sz w:val="18"/>
                      <w:szCs w:val="18"/>
                      <w:u w:val="none"/>
                    </w:rPr>
                  </w:pPr>
                  <w:r>
                    <w:rPr>
                      <w:rFonts w:hint="default" w:ascii="Times New Roman" w:hAnsi="Times New Roman" w:eastAsia="宋体" w:cs="Times New Roman"/>
                      <w:i w:val="0"/>
                      <w:iCs w:val="0"/>
                      <w:color w:val="auto"/>
                      <w:kern w:val="0"/>
                      <w:sz w:val="18"/>
                      <w:szCs w:val="18"/>
                      <w:u w:val="none"/>
                      <w:lang w:val="en-US" w:eastAsia="zh-CN" w:bidi="ar"/>
                    </w:rPr>
                    <w:t>mg/L</w:t>
                  </w:r>
                </w:p>
              </w:tc>
              <w:tc>
                <w:tcPr>
                  <w:tcW w:w="584" w:type="dxa"/>
                  <w:tcBorders>
                    <w:tl2br w:val="nil"/>
                    <w:tr2bl w:val="nil"/>
                  </w:tcBorders>
                  <w:vAlign w:val="center"/>
                </w:tcPr>
                <w:p w14:paraId="28CE94C7">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0.07</w:t>
                  </w:r>
                </w:p>
              </w:tc>
              <w:tc>
                <w:tcPr>
                  <w:tcW w:w="584" w:type="dxa"/>
                  <w:tcBorders>
                    <w:tl2br w:val="nil"/>
                    <w:tr2bl w:val="nil"/>
                  </w:tcBorders>
                  <w:vAlign w:val="center"/>
                </w:tcPr>
                <w:p w14:paraId="65EF2C88">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0.06</w:t>
                  </w:r>
                </w:p>
              </w:tc>
              <w:tc>
                <w:tcPr>
                  <w:tcW w:w="589" w:type="dxa"/>
                  <w:tcBorders>
                    <w:tl2br w:val="nil"/>
                    <w:tr2bl w:val="nil"/>
                  </w:tcBorders>
                  <w:vAlign w:val="center"/>
                </w:tcPr>
                <w:p w14:paraId="49F85DEE">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0.07</w:t>
                  </w:r>
                </w:p>
              </w:tc>
              <w:tc>
                <w:tcPr>
                  <w:tcW w:w="584" w:type="dxa"/>
                  <w:tcBorders>
                    <w:tl2br w:val="nil"/>
                    <w:tr2bl w:val="nil"/>
                  </w:tcBorders>
                  <w:vAlign w:val="center"/>
                </w:tcPr>
                <w:p w14:paraId="118DA64C">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0.09</w:t>
                  </w:r>
                </w:p>
              </w:tc>
              <w:tc>
                <w:tcPr>
                  <w:tcW w:w="584" w:type="dxa"/>
                  <w:tcBorders>
                    <w:tl2br w:val="nil"/>
                    <w:tr2bl w:val="nil"/>
                  </w:tcBorders>
                  <w:vAlign w:val="center"/>
                </w:tcPr>
                <w:p w14:paraId="3ABC511F">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0.1</w:t>
                  </w:r>
                </w:p>
              </w:tc>
              <w:tc>
                <w:tcPr>
                  <w:tcW w:w="589" w:type="dxa"/>
                  <w:tcBorders>
                    <w:tl2br w:val="nil"/>
                    <w:tr2bl w:val="nil"/>
                  </w:tcBorders>
                  <w:vAlign w:val="center"/>
                </w:tcPr>
                <w:p w14:paraId="4C1B87C5">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0.12</w:t>
                  </w:r>
                </w:p>
              </w:tc>
              <w:tc>
                <w:tcPr>
                  <w:tcW w:w="584" w:type="dxa"/>
                  <w:tcBorders>
                    <w:tl2br w:val="nil"/>
                    <w:tr2bl w:val="nil"/>
                  </w:tcBorders>
                  <w:vAlign w:val="center"/>
                </w:tcPr>
                <w:p w14:paraId="212F96BE">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0.1</w:t>
                  </w:r>
                </w:p>
              </w:tc>
              <w:tc>
                <w:tcPr>
                  <w:tcW w:w="584" w:type="dxa"/>
                  <w:tcBorders>
                    <w:tl2br w:val="nil"/>
                    <w:tr2bl w:val="nil"/>
                  </w:tcBorders>
                  <w:vAlign w:val="center"/>
                </w:tcPr>
                <w:p w14:paraId="78F0D8DB">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0.09</w:t>
                  </w:r>
                </w:p>
              </w:tc>
              <w:tc>
                <w:tcPr>
                  <w:tcW w:w="591" w:type="dxa"/>
                  <w:tcBorders>
                    <w:tl2br w:val="nil"/>
                    <w:tr2bl w:val="nil"/>
                  </w:tcBorders>
                  <w:vAlign w:val="center"/>
                </w:tcPr>
                <w:p w14:paraId="3059BA47">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0.08</w:t>
                  </w:r>
                </w:p>
              </w:tc>
              <w:tc>
                <w:tcPr>
                  <w:tcW w:w="597" w:type="dxa"/>
                  <w:tcBorders>
                    <w:tl2br w:val="nil"/>
                    <w:tr2bl w:val="nil"/>
                  </w:tcBorders>
                  <w:vAlign w:val="center"/>
                </w:tcPr>
                <w:p w14:paraId="22E96A6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auto"/>
                      <w:sz w:val="18"/>
                      <w:szCs w:val="18"/>
                      <w:u w:val="none"/>
                      <w:lang w:val="en-US" w:eastAsia="zh-CN"/>
                    </w:rPr>
                  </w:pPr>
                  <w:r>
                    <w:rPr>
                      <w:rFonts w:hint="eastAsia" w:cs="Times New Roman"/>
                      <w:color w:val="auto"/>
                      <w:sz w:val="18"/>
                      <w:szCs w:val="18"/>
                      <w:u w:val="none"/>
                      <w:vertAlign w:val="baseline"/>
                      <w:lang w:val="en-US" w:eastAsia="zh-CN"/>
                    </w:rPr>
                    <w:t>0.2</w:t>
                  </w:r>
                </w:p>
              </w:tc>
              <w:tc>
                <w:tcPr>
                  <w:tcW w:w="478" w:type="dxa"/>
                  <w:tcBorders>
                    <w:tl2br w:val="nil"/>
                    <w:tr2bl w:val="nil"/>
                  </w:tcBorders>
                  <w:vAlign w:val="center"/>
                </w:tcPr>
                <w:p w14:paraId="6BE34690">
                  <w:pPr>
                    <w:keepNext w:val="0"/>
                    <w:keepLines w:val="0"/>
                    <w:pageBreakBefore w:val="0"/>
                    <w:kinsoku/>
                    <w:wordWrap/>
                    <w:overflowPunct/>
                    <w:topLinePunct w:val="0"/>
                    <w:autoSpaceDE/>
                    <w:autoSpaceDN/>
                    <w:bidi w:val="0"/>
                    <w:adjustRightInd/>
                    <w:snapToGrid/>
                    <w:ind w:left="-53" w:leftChars="-25" w:right="-53" w:rightChars="-25"/>
                    <w:jc w:val="center"/>
                    <w:textAlignment w:val="auto"/>
                    <w:rPr>
                      <w:color w:val="auto"/>
                      <w:sz w:val="18"/>
                      <w:szCs w:val="18"/>
                      <w:u w:val="none"/>
                    </w:rPr>
                  </w:pPr>
                  <w:r>
                    <w:rPr>
                      <w:color w:val="auto"/>
                      <w:sz w:val="18"/>
                      <w:szCs w:val="18"/>
                      <w:u w:val="none"/>
                    </w:rPr>
                    <w:t>达标</w:t>
                  </w:r>
                </w:p>
              </w:tc>
            </w:tr>
            <w:tr w14:paraId="1B3880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002" w:type="dxa"/>
                  <w:tcBorders>
                    <w:tl2br w:val="nil"/>
                    <w:tr2bl w:val="nil"/>
                  </w:tcBorders>
                  <w:vAlign w:val="center"/>
                </w:tcPr>
                <w:p w14:paraId="77A6837D">
                  <w:pPr>
                    <w:keepNext w:val="0"/>
                    <w:keepLines w:val="0"/>
                    <w:widowControl/>
                    <w:suppressLineNumbers w:val="0"/>
                    <w:jc w:val="center"/>
                    <w:textAlignment w:val="center"/>
                    <w:rPr>
                      <w:rFonts w:hint="eastAsia" w:eastAsia="宋体"/>
                      <w:color w:val="auto"/>
                      <w:sz w:val="18"/>
                      <w:szCs w:val="18"/>
                      <w:u w:val="none"/>
                      <w:lang w:val="en-US" w:eastAsia="zh-CN"/>
                    </w:rPr>
                  </w:pPr>
                  <w:r>
                    <w:rPr>
                      <w:rFonts w:hint="eastAsia" w:ascii="宋体" w:hAnsi="宋体" w:eastAsia="宋体" w:cs="宋体"/>
                      <w:i w:val="0"/>
                      <w:iCs w:val="0"/>
                      <w:color w:val="000000"/>
                      <w:kern w:val="0"/>
                      <w:sz w:val="18"/>
                      <w:szCs w:val="18"/>
                      <w:u w:val="none"/>
                      <w:lang w:val="en-US" w:eastAsia="zh-CN" w:bidi="ar"/>
                    </w:rPr>
                    <w:t>总氮</w:t>
                  </w:r>
                </w:p>
              </w:tc>
              <w:tc>
                <w:tcPr>
                  <w:tcW w:w="728" w:type="dxa"/>
                  <w:tcBorders>
                    <w:tl2br w:val="nil"/>
                    <w:tr2bl w:val="nil"/>
                  </w:tcBorders>
                  <w:vAlign w:val="center"/>
                </w:tcPr>
                <w:p w14:paraId="16D1DF2B">
                  <w:pPr>
                    <w:keepNext w:val="0"/>
                    <w:keepLines w:val="0"/>
                    <w:widowControl/>
                    <w:suppressLineNumbers w:val="0"/>
                    <w:jc w:val="center"/>
                    <w:textAlignment w:val="center"/>
                    <w:rPr>
                      <w:color w:val="auto"/>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mg/L</w:t>
                  </w:r>
                </w:p>
              </w:tc>
              <w:tc>
                <w:tcPr>
                  <w:tcW w:w="584" w:type="dxa"/>
                  <w:tcBorders>
                    <w:tl2br w:val="nil"/>
                    <w:tr2bl w:val="nil"/>
                  </w:tcBorders>
                  <w:vAlign w:val="center"/>
                </w:tcPr>
                <w:p w14:paraId="706C72D7">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0.45</w:t>
                  </w:r>
                </w:p>
              </w:tc>
              <w:tc>
                <w:tcPr>
                  <w:tcW w:w="584" w:type="dxa"/>
                  <w:tcBorders>
                    <w:tl2br w:val="nil"/>
                    <w:tr2bl w:val="nil"/>
                  </w:tcBorders>
                  <w:vAlign w:val="center"/>
                </w:tcPr>
                <w:p w14:paraId="2F0A60B9">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0.48</w:t>
                  </w:r>
                </w:p>
              </w:tc>
              <w:tc>
                <w:tcPr>
                  <w:tcW w:w="589" w:type="dxa"/>
                  <w:tcBorders>
                    <w:tl2br w:val="nil"/>
                    <w:tr2bl w:val="nil"/>
                  </w:tcBorders>
                  <w:vAlign w:val="center"/>
                </w:tcPr>
                <w:p w14:paraId="783C7017">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0.42</w:t>
                  </w:r>
                </w:p>
              </w:tc>
              <w:tc>
                <w:tcPr>
                  <w:tcW w:w="584" w:type="dxa"/>
                  <w:tcBorders>
                    <w:tl2br w:val="nil"/>
                    <w:tr2bl w:val="nil"/>
                  </w:tcBorders>
                  <w:vAlign w:val="center"/>
                </w:tcPr>
                <w:p w14:paraId="057DEADD">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0.57</w:t>
                  </w:r>
                </w:p>
              </w:tc>
              <w:tc>
                <w:tcPr>
                  <w:tcW w:w="584" w:type="dxa"/>
                  <w:tcBorders>
                    <w:tl2br w:val="nil"/>
                    <w:tr2bl w:val="nil"/>
                  </w:tcBorders>
                  <w:vAlign w:val="center"/>
                </w:tcPr>
                <w:p w14:paraId="4751E561">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0.6</w:t>
                  </w:r>
                </w:p>
              </w:tc>
              <w:tc>
                <w:tcPr>
                  <w:tcW w:w="589" w:type="dxa"/>
                  <w:tcBorders>
                    <w:tl2br w:val="nil"/>
                    <w:tr2bl w:val="nil"/>
                  </w:tcBorders>
                  <w:vAlign w:val="center"/>
                </w:tcPr>
                <w:p w14:paraId="2101108B">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0.54</w:t>
                  </w:r>
                </w:p>
              </w:tc>
              <w:tc>
                <w:tcPr>
                  <w:tcW w:w="584" w:type="dxa"/>
                  <w:tcBorders>
                    <w:tl2br w:val="nil"/>
                    <w:tr2bl w:val="nil"/>
                  </w:tcBorders>
                  <w:vAlign w:val="center"/>
                </w:tcPr>
                <w:p w14:paraId="088E56E3">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0.63</w:t>
                  </w:r>
                </w:p>
              </w:tc>
              <w:tc>
                <w:tcPr>
                  <w:tcW w:w="584" w:type="dxa"/>
                  <w:tcBorders>
                    <w:tl2br w:val="nil"/>
                    <w:tr2bl w:val="nil"/>
                  </w:tcBorders>
                  <w:vAlign w:val="center"/>
                </w:tcPr>
                <w:p w14:paraId="3E87FEBD">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0.66</w:t>
                  </w:r>
                </w:p>
              </w:tc>
              <w:tc>
                <w:tcPr>
                  <w:tcW w:w="591" w:type="dxa"/>
                  <w:tcBorders>
                    <w:tl2br w:val="nil"/>
                    <w:tr2bl w:val="nil"/>
                  </w:tcBorders>
                  <w:vAlign w:val="center"/>
                </w:tcPr>
                <w:p w14:paraId="4E12A6CC">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0.63</w:t>
                  </w:r>
                </w:p>
              </w:tc>
              <w:tc>
                <w:tcPr>
                  <w:tcW w:w="597" w:type="dxa"/>
                  <w:tcBorders>
                    <w:tl2br w:val="nil"/>
                    <w:tr2bl w:val="nil"/>
                  </w:tcBorders>
                  <w:vAlign w:val="center"/>
                </w:tcPr>
                <w:p w14:paraId="1759162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auto"/>
                      <w:kern w:val="0"/>
                      <w:sz w:val="18"/>
                      <w:szCs w:val="18"/>
                      <w:u w:val="none"/>
                      <w:lang w:val="en-US" w:eastAsia="zh-CN" w:bidi="ar"/>
                    </w:rPr>
                  </w:pPr>
                  <w:r>
                    <w:rPr>
                      <w:rFonts w:hint="eastAsia" w:cs="Times New Roman"/>
                      <w:sz w:val="18"/>
                      <w:szCs w:val="18"/>
                      <w:u w:val="none"/>
                      <w:vertAlign w:val="baseline"/>
                      <w:lang w:val="en-US" w:eastAsia="zh-CN"/>
                    </w:rPr>
                    <w:t>1.0</w:t>
                  </w:r>
                </w:p>
              </w:tc>
              <w:tc>
                <w:tcPr>
                  <w:tcW w:w="478" w:type="dxa"/>
                  <w:tcBorders>
                    <w:tl2br w:val="nil"/>
                    <w:tr2bl w:val="nil"/>
                  </w:tcBorders>
                  <w:vAlign w:val="center"/>
                </w:tcPr>
                <w:p w14:paraId="198A0A07">
                  <w:pPr>
                    <w:keepNext w:val="0"/>
                    <w:keepLines w:val="0"/>
                    <w:pageBreakBefore w:val="0"/>
                    <w:kinsoku/>
                    <w:wordWrap/>
                    <w:overflowPunct/>
                    <w:topLinePunct w:val="0"/>
                    <w:autoSpaceDE/>
                    <w:autoSpaceDN/>
                    <w:bidi w:val="0"/>
                    <w:adjustRightInd/>
                    <w:snapToGrid/>
                    <w:ind w:left="-53" w:leftChars="-25" w:right="-53" w:rightChars="-25"/>
                    <w:jc w:val="center"/>
                    <w:textAlignment w:val="auto"/>
                    <w:rPr>
                      <w:color w:val="auto"/>
                      <w:sz w:val="18"/>
                      <w:szCs w:val="18"/>
                      <w:u w:val="none"/>
                    </w:rPr>
                  </w:pPr>
                  <w:r>
                    <w:rPr>
                      <w:color w:val="auto"/>
                      <w:sz w:val="18"/>
                      <w:szCs w:val="18"/>
                      <w:u w:val="none"/>
                    </w:rPr>
                    <w:t>达标</w:t>
                  </w:r>
                </w:p>
              </w:tc>
            </w:tr>
            <w:tr w14:paraId="05AFB4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002" w:type="dxa"/>
                  <w:tcBorders>
                    <w:tl2br w:val="nil"/>
                    <w:tr2bl w:val="nil"/>
                  </w:tcBorders>
                  <w:vAlign w:val="center"/>
                </w:tcPr>
                <w:p w14:paraId="2ECBFC89">
                  <w:pPr>
                    <w:keepNext w:val="0"/>
                    <w:keepLines w:val="0"/>
                    <w:widowControl/>
                    <w:suppressLineNumbers w:val="0"/>
                    <w:jc w:val="center"/>
                    <w:textAlignment w:val="center"/>
                    <w:rPr>
                      <w:rFonts w:hint="default" w:eastAsia="宋体"/>
                      <w:color w:val="auto"/>
                      <w:sz w:val="18"/>
                      <w:szCs w:val="18"/>
                      <w:u w:val="none"/>
                      <w:lang w:val="en-US" w:eastAsia="zh-CN"/>
                    </w:rPr>
                  </w:pPr>
                  <w:r>
                    <w:rPr>
                      <w:rFonts w:hint="eastAsia" w:ascii="宋体" w:hAnsi="宋体" w:eastAsia="宋体" w:cs="宋体"/>
                      <w:i w:val="0"/>
                      <w:iCs w:val="0"/>
                      <w:color w:val="000000"/>
                      <w:kern w:val="0"/>
                      <w:sz w:val="18"/>
                      <w:szCs w:val="18"/>
                      <w:u w:val="none"/>
                      <w:lang w:val="en-US" w:eastAsia="zh-CN" w:bidi="ar"/>
                    </w:rPr>
                    <w:t>石油类</w:t>
                  </w:r>
                </w:p>
              </w:tc>
              <w:tc>
                <w:tcPr>
                  <w:tcW w:w="728" w:type="dxa"/>
                  <w:tcBorders>
                    <w:tl2br w:val="nil"/>
                    <w:tr2bl w:val="nil"/>
                  </w:tcBorders>
                  <w:vAlign w:val="center"/>
                </w:tcPr>
                <w:p w14:paraId="3A59D89F">
                  <w:pPr>
                    <w:keepNext w:val="0"/>
                    <w:keepLines w:val="0"/>
                    <w:widowControl/>
                    <w:suppressLineNumbers w:val="0"/>
                    <w:jc w:val="center"/>
                    <w:textAlignment w:val="center"/>
                    <w:rPr>
                      <w:rFonts w:hint="default" w:eastAsia="宋体"/>
                      <w:color w:val="auto"/>
                      <w:sz w:val="18"/>
                      <w:szCs w:val="18"/>
                      <w:u w:val="no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mg/L</w:t>
                  </w:r>
                </w:p>
              </w:tc>
              <w:tc>
                <w:tcPr>
                  <w:tcW w:w="584" w:type="dxa"/>
                  <w:tcBorders>
                    <w:tl2br w:val="nil"/>
                    <w:tr2bl w:val="nil"/>
                  </w:tcBorders>
                  <w:vAlign w:val="center"/>
                </w:tcPr>
                <w:p w14:paraId="257B4A1A">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ND</w:t>
                  </w:r>
                </w:p>
              </w:tc>
              <w:tc>
                <w:tcPr>
                  <w:tcW w:w="584" w:type="dxa"/>
                  <w:tcBorders>
                    <w:tl2br w:val="nil"/>
                    <w:tr2bl w:val="nil"/>
                  </w:tcBorders>
                  <w:vAlign w:val="center"/>
                </w:tcPr>
                <w:p w14:paraId="53039E5A">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ND</w:t>
                  </w:r>
                </w:p>
              </w:tc>
              <w:tc>
                <w:tcPr>
                  <w:tcW w:w="589" w:type="dxa"/>
                  <w:tcBorders>
                    <w:tl2br w:val="nil"/>
                    <w:tr2bl w:val="nil"/>
                  </w:tcBorders>
                  <w:vAlign w:val="center"/>
                </w:tcPr>
                <w:p w14:paraId="4D4F9AB5">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ND</w:t>
                  </w:r>
                </w:p>
              </w:tc>
              <w:tc>
                <w:tcPr>
                  <w:tcW w:w="584" w:type="dxa"/>
                  <w:tcBorders>
                    <w:tl2br w:val="nil"/>
                    <w:tr2bl w:val="nil"/>
                  </w:tcBorders>
                  <w:vAlign w:val="center"/>
                </w:tcPr>
                <w:p w14:paraId="383DFEFE">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ND</w:t>
                  </w:r>
                </w:p>
              </w:tc>
              <w:tc>
                <w:tcPr>
                  <w:tcW w:w="584" w:type="dxa"/>
                  <w:tcBorders>
                    <w:tl2br w:val="nil"/>
                    <w:tr2bl w:val="nil"/>
                  </w:tcBorders>
                  <w:vAlign w:val="center"/>
                </w:tcPr>
                <w:p w14:paraId="569B4486">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ND</w:t>
                  </w:r>
                </w:p>
              </w:tc>
              <w:tc>
                <w:tcPr>
                  <w:tcW w:w="589" w:type="dxa"/>
                  <w:tcBorders>
                    <w:tl2br w:val="nil"/>
                    <w:tr2bl w:val="nil"/>
                  </w:tcBorders>
                  <w:vAlign w:val="center"/>
                </w:tcPr>
                <w:p w14:paraId="230F6C44">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ND</w:t>
                  </w:r>
                </w:p>
              </w:tc>
              <w:tc>
                <w:tcPr>
                  <w:tcW w:w="584" w:type="dxa"/>
                  <w:tcBorders>
                    <w:tl2br w:val="nil"/>
                    <w:tr2bl w:val="nil"/>
                  </w:tcBorders>
                  <w:vAlign w:val="center"/>
                </w:tcPr>
                <w:p w14:paraId="302CC977">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ND</w:t>
                  </w:r>
                </w:p>
              </w:tc>
              <w:tc>
                <w:tcPr>
                  <w:tcW w:w="584" w:type="dxa"/>
                  <w:tcBorders>
                    <w:tl2br w:val="nil"/>
                    <w:tr2bl w:val="nil"/>
                  </w:tcBorders>
                  <w:vAlign w:val="center"/>
                </w:tcPr>
                <w:p w14:paraId="5571CCB0">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ND</w:t>
                  </w:r>
                </w:p>
              </w:tc>
              <w:tc>
                <w:tcPr>
                  <w:tcW w:w="591" w:type="dxa"/>
                  <w:tcBorders>
                    <w:tl2br w:val="nil"/>
                    <w:tr2bl w:val="nil"/>
                  </w:tcBorders>
                  <w:vAlign w:val="center"/>
                </w:tcPr>
                <w:p w14:paraId="43736657">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ND</w:t>
                  </w:r>
                </w:p>
              </w:tc>
              <w:tc>
                <w:tcPr>
                  <w:tcW w:w="597" w:type="dxa"/>
                  <w:tcBorders>
                    <w:tl2br w:val="nil"/>
                    <w:tr2bl w:val="nil"/>
                  </w:tcBorders>
                  <w:vAlign w:val="center"/>
                </w:tcPr>
                <w:p w14:paraId="43B727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auto"/>
                      <w:sz w:val="18"/>
                      <w:szCs w:val="18"/>
                      <w:u w:val="none"/>
                      <w:lang w:val="en-US" w:eastAsia="zh-CN"/>
                    </w:rPr>
                  </w:pPr>
                  <w:r>
                    <w:rPr>
                      <w:rFonts w:hint="eastAsia" w:cs="Times New Roman"/>
                      <w:sz w:val="18"/>
                      <w:szCs w:val="18"/>
                      <w:u w:val="none"/>
                      <w:vertAlign w:val="baseline"/>
                      <w:lang w:val="en-US" w:eastAsia="zh-CN"/>
                    </w:rPr>
                    <w:t>0.05</w:t>
                  </w:r>
                </w:p>
              </w:tc>
              <w:tc>
                <w:tcPr>
                  <w:tcW w:w="478" w:type="dxa"/>
                  <w:tcBorders>
                    <w:tl2br w:val="nil"/>
                    <w:tr2bl w:val="nil"/>
                  </w:tcBorders>
                  <w:vAlign w:val="center"/>
                </w:tcPr>
                <w:p w14:paraId="35BAD919">
                  <w:pPr>
                    <w:keepNext w:val="0"/>
                    <w:keepLines w:val="0"/>
                    <w:pageBreakBefore w:val="0"/>
                    <w:kinsoku/>
                    <w:wordWrap/>
                    <w:overflowPunct/>
                    <w:topLinePunct w:val="0"/>
                    <w:autoSpaceDE/>
                    <w:autoSpaceDN/>
                    <w:bidi w:val="0"/>
                    <w:adjustRightInd/>
                    <w:snapToGrid/>
                    <w:ind w:left="-53" w:leftChars="-25" w:right="-53" w:rightChars="-25"/>
                    <w:jc w:val="center"/>
                    <w:textAlignment w:val="auto"/>
                    <w:rPr>
                      <w:color w:val="auto"/>
                      <w:sz w:val="18"/>
                      <w:szCs w:val="18"/>
                      <w:u w:val="none"/>
                    </w:rPr>
                  </w:pPr>
                  <w:r>
                    <w:rPr>
                      <w:color w:val="auto"/>
                      <w:sz w:val="18"/>
                      <w:szCs w:val="18"/>
                      <w:u w:val="none"/>
                    </w:rPr>
                    <w:t>达标</w:t>
                  </w:r>
                </w:p>
              </w:tc>
            </w:tr>
            <w:tr w14:paraId="12D279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002" w:type="dxa"/>
                  <w:tcBorders>
                    <w:tl2br w:val="nil"/>
                    <w:tr2bl w:val="nil"/>
                  </w:tcBorders>
                  <w:vAlign w:val="center"/>
                </w:tcPr>
                <w:p w14:paraId="29B79D91">
                  <w:pPr>
                    <w:keepNext w:val="0"/>
                    <w:keepLines w:val="0"/>
                    <w:widowControl/>
                    <w:suppressLineNumbers w:val="0"/>
                    <w:jc w:val="center"/>
                    <w:textAlignment w:val="center"/>
                    <w:rPr>
                      <w:rFonts w:hint="eastAsia" w:eastAsia="宋体"/>
                      <w:color w:val="auto"/>
                      <w:sz w:val="18"/>
                      <w:szCs w:val="18"/>
                      <w:u w:val="none"/>
                      <w:lang w:val="en-US" w:eastAsia="zh-CN"/>
                    </w:rPr>
                  </w:pPr>
                  <w:r>
                    <w:rPr>
                      <w:rFonts w:hint="eastAsia" w:ascii="宋体" w:hAnsi="宋体" w:eastAsia="宋体" w:cs="宋体"/>
                      <w:i w:val="0"/>
                      <w:iCs w:val="0"/>
                      <w:color w:val="000000"/>
                      <w:kern w:val="0"/>
                      <w:sz w:val="18"/>
                      <w:szCs w:val="18"/>
                      <w:u w:val="none"/>
                      <w:lang w:val="en-US" w:eastAsia="zh-CN" w:bidi="ar"/>
                    </w:rPr>
                    <w:t>阴离子表面活性剂</w:t>
                  </w:r>
                </w:p>
              </w:tc>
              <w:tc>
                <w:tcPr>
                  <w:tcW w:w="728" w:type="dxa"/>
                  <w:tcBorders>
                    <w:tl2br w:val="nil"/>
                    <w:tr2bl w:val="nil"/>
                  </w:tcBorders>
                  <w:vAlign w:val="center"/>
                </w:tcPr>
                <w:p w14:paraId="4899F34A">
                  <w:pPr>
                    <w:keepNext w:val="0"/>
                    <w:keepLines w:val="0"/>
                    <w:widowControl/>
                    <w:suppressLineNumbers w:val="0"/>
                    <w:jc w:val="center"/>
                    <w:textAlignment w:val="center"/>
                    <w:rPr>
                      <w:color w:val="auto"/>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mg/L</w:t>
                  </w:r>
                </w:p>
              </w:tc>
              <w:tc>
                <w:tcPr>
                  <w:tcW w:w="584" w:type="dxa"/>
                  <w:tcBorders>
                    <w:tl2br w:val="nil"/>
                    <w:tr2bl w:val="nil"/>
                  </w:tcBorders>
                  <w:vAlign w:val="center"/>
                </w:tcPr>
                <w:p w14:paraId="3C76BE7E">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0.053</w:t>
                  </w:r>
                </w:p>
              </w:tc>
              <w:tc>
                <w:tcPr>
                  <w:tcW w:w="584" w:type="dxa"/>
                  <w:tcBorders>
                    <w:tl2br w:val="nil"/>
                    <w:tr2bl w:val="nil"/>
                  </w:tcBorders>
                  <w:vAlign w:val="center"/>
                </w:tcPr>
                <w:p w14:paraId="6D8FBA5D">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0.058</w:t>
                  </w:r>
                </w:p>
              </w:tc>
              <w:tc>
                <w:tcPr>
                  <w:tcW w:w="589" w:type="dxa"/>
                  <w:tcBorders>
                    <w:tl2br w:val="nil"/>
                    <w:tr2bl w:val="nil"/>
                  </w:tcBorders>
                  <w:vAlign w:val="center"/>
                </w:tcPr>
                <w:p w14:paraId="71238263">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0.06</w:t>
                  </w:r>
                </w:p>
              </w:tc>
              <w:tc>
                <w:tcPr>
                  <w:tcW w:w="584" w:type="dxa"/>
                  <w:tcBorders>
                    <w:tl2br w:val="nil"/>
                    <w:tr2bl w:val="nil"/>
                  </w:tcBorders>
                  <w:vAlign w:val="center"/>
                </w:tcPr>
                <w:p w14:paraId="39A4C4F3">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0.078</w:t>
                  </w:r>
                </w:p>
              </w:tc>
              <w:tc>
                <w:tcPr>
                  <w:tcW w:w="584" w:type="dxa"/>
                  <w:tcBorders>
                    <w:tl2br w:val="nil"/>
                    <w:tr2bl w:val="nil"/>
                  </w:tcBorders>
                  <w:vAlign w:val="center"/>
                </w:tcPr>
                <w:p w14:paraId="0C565586">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0.075</w:t>
                  </w:r>
                </w:p>
              </w:tc>
              <w:tc>
                <w:tcPr>
                  <w:tcW w:w="589" w:type="dxa"/>
                  <w:tcBorders>
                    <w:tl2br w:val="nil"/>
                    <w:tr2bl w:val="nil"/>
                  </w:tcBorders>
                  <w:vAlign w:val="center"/>
                </w:tcPr>
                <w:p w14:paraId="48DE9D26">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0.07</w:t>
                  </w:r>
                </w:p>
              </w:tc>
              <w:tc>
                <w:tcPr>
                  <w:tcW w:w="584" w:type="dxa"/>
                  <w:tcBorders>
                    <w:tl2br w:val="nil"/>
                    <w:tr2bl w:val="nil"/>
                  </w:tcBorders>
                  <w:vAlign w:val="center"/>
                </w:tcPr>
                <w:p w14:paraId="19FFEA63">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0.069</w:t>
                  </w:r>
                </w:p>
              </w:tc>
              <w:tc>
                <w:tcPr>
                  <w:tcW w:w="584" w:type="dxa"/>
                  <w:tcBorders>
                    <w:tl2br w:val="nil"/>
                    <w:tr2bl w:val="nil"/>
                  </w:tcBorders>
                  <w:vAlign w:val="center"/>
                </w:tcPr>
                <w:p w14:paraId="3DCF37E6">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0.068</w:t>
                  </w:r>
                </w:p>
              </w:tc>
              <w:tc>
                <w:tcPr>
                  <w:tcW w:w="591" w:type="dxa"/>
                  <w:tcBorders>
                    <w:tl2br w:val="nil"/>
                    <w:tr2bl w:val="nil"/>
                  </w:tcBorders>
                  <w:vAlign w:val="center"/>
                </w:tcPr>
                <w:p w14:paraId="1B6A2AD0">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0.068</w:t>
                  </w:r>
                </w:p>
              </w:tc>
              <w:tc>
                <w:tcPr>
                  <w:tcW w:w="597" w:type="dxa"/>
                  <w:tcBorders>
                    <w:tl2br w:val="nil"/>
                    <w:tr2bl w:val="nil"/>
                  </w:tcBorders>
                  <w:vAlign w:val="center"/>
                </w:tcPr>
                <w:p w14:paraId="431F1B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auto"/>
                      <w:sz w:val="18"/>
                      <w:szCs w:val="18"/>
                      <w:u w:val="none"/>
                      <w:lang w:val="en-US" w:eastAsia="zh-CN"/>
                    </w:rPr>
                  </w:pPr>
                  <w:r>
                    <w:rPr>
                      <w:rFonts w:hint="eastAsia" w:cs="Times New Roman"/>
                      <w:sz w:val="18"/>
                      <w:szCs w:val="18"/>
                      <w:u w:val="none"/>
                      <w:vertAlign w:val="baseline"/>
                      <w:lang w:val="en-US" w:eastAsia="zh-CN"/>
                    </w:rPr>
                    <w:t>0.2</w:t>
                  </w:r>
                </w:p>
              </w:tc>
              <w:tc>
                <w:tcPr>
                  <w:tcW w:w="478" w:type="dxa"/>
                  <w:tcBorders>
                    <w:tl2br w:val="nil"/>
                    <w:tr2bl w:val="nil"/>
                  </w:tcBorders>
                  <w:vAlign w:val="center"/>
                </w:tcPr>
                <w:p w14:paraId="658C0AF1">
                  <w:pPr>
                    <w:keepNext w:val="0"/>
                    <w:keepLines w:val="0"/>
                    <w:pageBreakBefore w:val="0"/>
                    <w:kinsoku/>
                    <w:wordWrap/>
                    <w:overflowPunct/>
                    <w:topLinePunct w:val="0"/>
                    <w:autoSpaceDE/>
                    <w:autoSpaceDN/>
                    <w:bidi w:val="0"/>
                    <w:adjustRightInd/>
                    <w:snapToGrid/>
                    <w:ind w:left="-53" w:leftChars="-25" w:right="-53" w:rightChars="-25"/>
                    <w:jc w:val="center"/>
                    <w:textAlignment w:val="auto"/>
                    <w:rPr>
                      <w:color w:val="auto"/>
                      <w:sz w:val="18"/>
                      <w:szCs w:val="18"/>
                      <w:u w:val="none"/>
                    </w:rPr>
                  </w:pPr>
                  <w:r>
                    <w:rPr>
                      <w:color w:val="auto"/>
                      <w:sz w:val="18"/>
                      <w:szCs w:val="18"/>
                      <w:u w:val="none"/>
                    </w:rPr>
                    <w:t>达标</w:t>
                  </w:r>
                </w:p>
              </w:tc>
            </w:tr>
            <w:tr w14:paraId="05C8F9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002" w:type="dxa"/>
                  <w:tcBorders>
                    <w:tl2br w:val="nil"/>
                    <w:tr2bl w:val="nil"/>
                  </w:tcBorders>
                  <w:vAlign w:val="center"/>
                </w:tcPr>
                <w:p w14:paraId="2C7E8C00">
                  <w:pPr>
                    <w:keepNext w:val="0"/>
                    <w:keepLines w:val="0"/>
                    <w:widowControl/>
                    <w:suppressLineNumbers w:val="0"/>
                    <w:jc w:val="center"/>
                    <w:textAlignment w:val="center"/>
                    <w:rPr>
                      <w:rFonts w:hint="default" w:eastAsia="宋体"/>
                      <w:color w:val="auto"/>
                      <w:sz w:val="18"/>
                      <w:szCs w:val="18"/>
                      <w:u w:val="none"/>
                      <w:lang w:val="en-US" w:eastAsia="zh-CN"/>
                    </w:rPr>
                  </w:pPr>
                  <w:r>
                    <w:rPr>
                      <w:rFonts w:hint="eastAsia" w:ascii="宋体" w:hAnsi="宋体" w:cs="宋体"/>
                      <w:i w:val="0"/>
                      <w:iCs w:val="0"/>
                      <w:color w:val="000000"/>
                      <w:kern w:val="0"/>
                      <w:sz w:val="18"/>
                      <w:szCs w:val="18"/>
                      <w:u w:val="none"/>
                      <w:lang w:val="en-US" w:eastAsia="zh-CN" w:bidi="ar"/>
                    </w:rPr>
                    <w:t>硫化物</w:t>
                  </w:r>
                </w:p>
              </w:tc>
              <w:tc>
                <w:tcPr>
                  <w:tcW w:w="728" w:type="dxa"/>
                  <w:tcBorders>
                    <w:tl2br w:val="nil"/>
                    <w:tr2bl w:val="nil"/>
                  </w:tcBorders>
                  <w:vAlign w:val="center"/>
                </w:tcPr>
                <w:p w14:paraId="15E8ED7A">
                  <w:pPr>
                    <w:keepNext w:val="0"/>
                    <w:keepLines w:val="0"/>
                    <w:widowControl/>
                    <w:suppressLineNumbers w:val="0"/>
                    <w:jc w:val="center"/>
                    <w:textAlignment w:val="center"/>
                    <w:rPr>
                      <w:color w:val="auto"/>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mg/L</w:t>
                  </w:r>
                </w:p>
              </w:tc>
              <w:tc>
                <w:tcPr>
                  <w:tcW w:w="584" w:type="dxa"/>
                  <w:tcBorders>
                    <w:tl2br w:val="nil"/>
                    <w:tr2bl w:val="nil"/>
                  </w:tcBorders>
                  <w:vAlign w:val="center"/>
                </w:tcPr>
                <w:p w14:paraId="363D6588">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0.07</w:t>
                  </w:r>
                </w:p>
              </w:tc>
              <w:tc>
                <w:tcPr>
                  <w:tcW w:w="584" w:type="dxa"/>
                  <w:tcBorders>
                    <w:tl2br w:val="nil"/>
                    <w:tr2bl w:val="nil"/>
                  </w:tcBorders>
                  <w:vAlign w:val="center"/>
                </w:tcPr>
                <w:p w14:paraId="7F933C44">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0.09</w:t>
                  </w:r>
                </w:p>
              </w:tc>
              <w:tc>
                <w:tcPr>
                  <w:tcW w:w="589" w:type="dxa"/>
                  <w:tcBorders>
                    <w:tl2br w:val="nil"/>
                    <w:tr2bl w:val="nil"/>
                  </w:tcBorders>
                  <w:vAlign w:val="center"/>
                </w:tcPr>
                <w:p w14:paraId="3C33FF0F">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0.08</w:t>
                  </w:r>
                </w:p>
              </w:tc>
              <w:tc>
                <w:tcPr>
                  <w:tcW w:w="584" w:type="dxa"/>
                  <w:tcBorders>
                    <w:tl2br w:val="nil"/>
                    <w:tr2bl w:val="nil"/>
                  </w:tcBorders>
                  <w:vAlign w:val="center"/>
                </w:tcPr>
                <w:p w14:paraId="67D4CD62">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0.06</w:t>
                  </w:r>
                </w:p>
              </w:tc>
              <w:tc>
                <w:tcPr>
                  <w:tcW w:w="584" w:type="dxa"/>
                  <w:tcBorders>
                    <w:tl2br w:val="nil"/>
                    <w:tr2bl w:val="nil"/>
                  </w:tcBorders>
                  <w:vAlign w:val="center"/>
                </w:tcPr>
                <w:p w14:paraId="3BA7E054">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007</w:t>
                  </w:r>
                </w:p>
              </w:tc>
              <w:tc>
                <w:tcPr>
                  <w:tcW w:w="589" w:type="dxa"/>
                  <w:tcBorders>
                    <w:tl2br w:val="nil"/>
                    <w:tr2bl w:val="nil"/>
                  </w:tcBorders>
                  <w:vAlign w:val="center"/>
                </w:tcPr>
                <w:p w14:paraId="61A1E632">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0.1</w:t>
                  </w:r>
                </w:p>
              </w:tc>
              <w:tc>
                <w:tcPr>
                  <w:tcW w:w="584" w:type="dxa"/>
                  <w:tcBorders>
                    <w:tl2br w:val="nil"/>
                    <w:tr2bl w:val="nil"/>
                  </w:tcBorders>
                  <w:vAlign w:val="center"/>
                </w:tcPr>
                <w:p w14:paraId="35ED608C">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0.09</w:t>
                  </w:r>
                </w:p>
              </w:tc>
              <w:tc>
                <w:tcPr>
                  <w:tcW w:w="584" w:type="dxa"/>
                  <w:tcBorders>
                    <w:tl2br w:val="nil"/>
                    <w:tr2bl w:val="nil"/>
                  </w:tcBorders>
                  <w:vAlign w:val="center"/>
                </w:tcPr>
                <w:p w14:paraId="1B4C7896">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0.08</w:t>
                  </w:r>
                </w:p>
              </w:tc>
              <w:tc>
                <w:tcPr>
                  <w:tcW w:w="591" w:type="dxa"/>
                  <w:tcBorders>
                    <w:tl2br w:val="nil"/>
                    <w:tr2bl w:val="nil"/>
                  </w:tcBorders>
                  <w:vAlign w:val="center"/>
                </w:tcPr>
                <w:p w14:paraId="7FDE0469">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0.08</w:t>
                  </w:r>
                </w:p>
              </w:tc>
              <w:tc>
                <w:tcPr>
                  <w:tcW w:w="597" w:type="dxa"/>
                  <w:tcBorders>
                    <w:tl2br w:val="nil"/>
                    <w:tr2bl w:val="nil"/>
                  </w:tcBorders>
                  <w:vAlign w:val="center"/>
                </w:tcPr>
                <w:p w14:paraId="01171B1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auto"/>
                      <w:sz w:val="18"/>
                      <w:szCs w:val="18"/>
                      <w:u w:val="none"/>
                      <w:lang w:val="en-US" w:eastAsia="zh-CN"/>
                    </w:rPr>
                  </w:pPr>
                  <w:r>
                    <w:rPr>
                      <w:rFonts w:hint="eastAsia" w:cs="Times New Roman"/>
                      <w:sz w:val="18"/>
                      <w:szCs w:val="18"/>
                      <w:u w:val="none"/>
                      <w:vertAlign w:val="baseline"/>
                      <w:lang w:val="en-US" w:eastAsia="zh-CN"/>
                    </w:rPr>
                    <w:t>0.2</w:t>
                  </w:r>
                </w:p>
              </w:tc>
              <w:tc>
                <w:tcPr>
                  <w:tcW w:w="478" w:type="dxa"/>
                  <w:tcBorders>
                    <w:tl2br w:val="nil"/>
                    <w:tr2bl w:val="nil"/>
                  </w:tcBorders>
                  <w:vAlign w:val="center"/>
                </w:tcPr>
                <w:p w14:paraId="76B9F932">
                  <w:pPr>
                    <w:keepNext w:val="0"/>
                    <w:keepLines w:val="0"/>
                    <w:pageBreakBefore w:val="0"/>
                    <w:kinsoku/>
                    <w:wordWrap/>
                    <w:overflowPunct/>
                    <w:topLinePunct w:val="0"/>
                    <w:autoSpaceDE/>
                    <w:autoSpaceDN/>
                    <w:bidi w:val="0"/>
                    <w:adjustRightInd/>
                    <w:snapToGrid/>
                    <w:ind w:left="-53" w:leftChars="-25" w:right="-53" w:rightChars="-25"/>
                    <w:jc w:val="center"/>
                    <w:textAlignment w:val="auto"/>
                    <w:rPr>
                      <w:color w:val="auto"/>
                      <w:sz w:val="18"/>
                      <w:szCs w:val="18"/>
                      <w:u w:val="none"/>
                    </w:rPr>
                  </w:pPr>
                  <w:r>
                    <w:rPr>
                      <w:color w:val="auto"/>
                      <w:sz w:val="18"/>
                      <w:szCs w:val="18"/>
                      <w:u w:val="none"/>
                    </w:rPr>
                    <w:t>达标</w:t>
                  </w:r>
                </w:p>
              </w:tc>
            </w:tr>
            <w:tr w14:paraId="60522F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002" w:type="dxa"/>
                  <w:tcBorders>
                    <w:tl2br w:val="nil"/>
                    <w:tr2bl w:val="nil"/>
                  </w:tcBorders>
                  <w:vAlign w:val="center"/>
                </w:tcPr>
                <w:p w14:paraId="6B717B22">
                  <w:pPr>
                    <w:keepNext w:val="0"/>
                    <w:keepLines w:val="0"/>
                    <w:widowControl/>
                    <w:suppressLineNumbers w:val="0"/>
                    <w:jc w:val="center"/>
                    <w:textAlignment w:val="center"/>
                    <w:rPr>
                      <w:rFonts w:hint="eastAsia" w:eastAsia="宋体"/>
                      <w:color w:val="auto"/>
                      <w:sz w:val="18"/>
                      <w:szCs w:val="18"/>
                      <w:u w:val="none"/>
                      <w:lang w:val="en-US" w:eastAsia="zh-CN"/>
                    </w:rPr>
                  </w:pPr>
                  <w:r>
                    <w:rPr>
                      <w:rFonts w:hint="eastAsia" w:ascii="宋体" w:hAnsi="宋体" w:eastAsia="宋体" w:cs="宋体"/>
                      <w:i w:val="0"/>
                      <w:iCs w:val="0"/>
                      <w:color w:val="000000"/>
                      <w:kern w:val="0"/>
                      <w:sz w:val="18"/>
                      <w:szCs w:val="18"/>
                      <w:u w:val="none"/>
                      <w:lang w:val="en-US" w:eastAsia="zh-CN" w:bidi="ar"/>
                    </w:rPr>
                    <w:t>粪大肠菌群</w:t>
                  </w:r>
                </w:p>
              </w:tc>
              <w:tc>
                <w:tcPr>
                  <w:tcW w:w="728" w:type="dxa"/>
                  <w:tcBorders>
                    <w:tl2br w:val="nil"/>
                    <w:tr2bl w:val="nil"/>
                  </w:tcBorders>
                  <w:vAlign w:val="center"/>
                </w:tcPr>
                <w:p w14:paraId="181FB506">
                  <w:pPr>
                    <w:keepNext w:val="0"/>
                    <w:keepLines w:val="0"/>
                    <w:widowControl/>
                    <w:suppressLineNumbers w:val="0"/>
                    <w:jc w:val="center"/>
                    <w:textAlignment w:val="center"/>
                    <w:rPr>
                      <w:color w:val="auto"/>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MPN/L</w:t>
                  </w:r>
                </w:p>
              </w:tc>
              <w:tc>
                <w:tcPr>
                  <w:tcW w:w="584" w:type="dxa"/>
                  <w:tcBorders>
                    <w:tl2br w:val="nil"/>
                    <w:tr2bl w:val="nil"/>
                  </w:tcBorders>
                  <w:vAlign w:val="center"/>
                </w:tcPr>
                <w:p w14:paraId="3CFB8ACC">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1100</w:t>
                  </w:r>
                </w:p>
              </w:tc>
              <w:tc>
                <w:tcPr>
                  <w:tcW w:w="584" w:type="dxa"/>
                  <w:tcBorders>
                    <w:tl2br w:val="nil"/>
                    <w:tr2bl w:val="nil"/>
                  </w:tcBorders>
                  <w:vAlign w:val="center"/>
                </w:tcPr>
                <w:p w14:paraId="5663F954">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1200</w:t>
                  </w:r>
                </w:p>
              </w:tc>
              <w:tc>
                <w:tcPr>
                  <w:tcW w:w="589" w:type="dxa"/>
                  <w:tcBorders>
                    <w:tl2br w:val="nil"/>
                    <w:tr2bl w:val="nil"/>
                  </w:tcBorders>
                  <w:vAlign w:val="center"/>
                </w:tcPr>
                <w:p w14:paraId="6B7DCDDF">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1100</w:t>
                  </w:r>
                </w:p>
              </w:tc>
              <w:tc>
                <w:tcPr>
                  <w:tcW w:w="584" w:type="dxa"/>
                  <w:tcBorders>
                    <w:tl2br w:val="nil"/>
                    <w:tr2bl w:val="nil"/>
                  </w:tcBorders>
                  <w:vAlign w:val="center"/>
                </w:tcPr>
                <w:p w14:paraId="3B381B61">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1300</w:t>
                  </w:r>
                </w:p>
              </w:tc>
              <w:tc>
                <w:tcPr>
                  <w:tcW w:w="584" w:type="dxa"/>
                  <w:tcBorders>
                    <w:tl2br w:val="nil"/>
                    <w:tr2bl w:val="nil"/>
                  </w:tcBorders>
                  <w:vAlign w:val="center"/>
                </w:tcPr>
                <w:p w14:paraId="19696C4C">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1400</w:t>
                  </w:r>
                </w:p>
              </w:tc>
              <w:tc>
                <w:tcPr>
                  <w:tcW w:w="589" w:type="dxa"/>
                  <w:tcBorders>
                    <w:tl2br w:val="nil"/>
                    <w:tr2bl w:val="nil"/>
                  </w:tcBorders>
                  <w:vAlign w:val="center"/>
                </w:tcPr>
                <w:p w14:paraId="49BD89A6">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1300</w:t>
                  </w:r>
                </w:p>
              </w:tc>
              <w:tc>
                <w:tcPr>
                  <w:tcW w:w="584" w:type="dxa"/>
                  <w:tcBorders>
                    <w:tl2br w:val="nil"/>
                    <w:tr2bl w:val="nil"/>
                  </w:tcBorders>
                  <w:vAlign w:val="center"/>
                </w:tcPr>
                <w:p w14:paraId="05D08BC9">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1400</w:t>
                  </w:r>
                </w:p>
              </w:tc>
              <w:tc>
                <w:tcPr>
                  <w:tcW w:w="584" w:type="dxa"/>
                  <w:tcBorders>
                    <w:tl2br w:val="nil"/>
                    <w:tr2bl w:val="nil"/>
                  </w:tcBorders>
                  <w:vAlign w:val="center"/>
                </w:tcPr>
                <w:p w14:paraId="0A774102">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1300</w:t>
                  </w:r>
                </w:p>
              </w:tc>
              <w:tc>
                <w:tcPr>
                  <w:tcW w:w="591" w:type="dxa"/>
                  <w:tcBorders>
                    <w:tl2br w:val="nil"/>
                    <w:tr2bl w:val="nil"/>
                  </w:tcBorders>
                  <w:vAlign w:val="center"/>
                </w:tcPr>
                <w:p w14:paraId="55E877B9">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1400</w:t>
                  </w:r>
                </w:p>
              </w:tc>
              <w:tc>
                <w:tcPr>
                  <w:tcW w:w="597" w:type="dxa"/>
                  <w:tcBorders>
                    <w:tl2br w:val="nil"/>
                    <w:tr2bl w:val="nil"/>
                  </w:tcBorders>
                  <w:vAlign w:val="center"/>
                </w:tcPr>
                <w:p w14:paraId="35E819F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auto"/>
                      <w:sz w:val="18"/>
                      <w:szCs w:val="18"/>
                      <w:u w:val="none"/>
                      <w:lang w:val="en-US" w:eastAsia="zh-CN"/>
                    </w:rPr>
                  </w:pPr>
                  <w:r>
                    <w:rPr>
                      <w:rFonts w:hint="eastAsia" w:cs="Times New Roman"/>
                      <w:sz w:val="18"/>
                      <w:szCs w:val="18"/>
                      <w:u w:val="none"/>
                      <w:vertAlign w:val="baseline"/>
                      <w:lang w:val="en-US" w:eastAsia="zh-CN"/>
                    </w:rPr>
                    <w:t>10000</w:t>
                  </w:r>
                </w:p>
              </w:tc>
              <w:tc>
                <w:tcPr>
                  <w:tcW w:w="478" w:type="dxa"/>
                  <w:tcBorders>
                    <w:tl2br w:val="nil"/>
                    <w:tr2bl w:val="nil"/>
                  </w:tcBorders>
                  <w:vAlign w:val="center"/>
                </w:tcPr>
                <w:p w14:paraId="79704668">
                  <w:pPr>
                    <w:keepNext w:val="0"/>
                    <w:keepLines w:val="0"/>
                    <w:pageBreakBefore w:val="0"/>
                    <w:kinsoku/>
                    <w:wordWrap/>
                    <w:overflowPunct/>
                    <w:topLinePunct w:val="0"/>
                    <w:autoSpaceDE/>
                    <w:autoSpaceDN/>
                    <w:bidi w:val="0"/>
                    <w:adjustRightInd/>
                    <w:snapToGrid/>
                    <w:ind w:left="-53" w:leftChars="-25" w:right="-53" w:rightChars="-25"/>
                    <w:jc w:val="center"/>
                    <w:textAlignment w:val="auto"/>
                    <w:rPr>
                      <w:color w:val="auto"/>
                      <w:sz w:val="18"/>
                      <w:szCs w:val="18"/>
                      <w:u w:val="none"/>
                    </w:rPr>
                  </w:pPr>
                  <w:r>
                    <w:rPr>
                      <w:color w:val="auto"/>
                      <w:sz w:val="18"/>
                      <w:szCs w:val="18"/>
                      <w:u w:val="none"/>
                    </w:rPr>
                    <w:t>达标</w:t>
                  </w:r>
                </w:p>
              </w:tc>
            </w:tr>
            <w:tr w14:paraId="67B869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002" w:type="dxa"/>
                  <w:tcBorders>
                    <w:tl2br w:val="nil"/>
                    <w:tr2bl w:val="nil"/>
                  </w:tcBorders>
                  <w:vAlign w:val="center"/>
                </w:tcPr>
                <w:p w14:paraId="13A99FC5">
                  <w:pPr>
                    <w:keepNext w:val="0"/>
                    <w:keepLines w:val="0"/>
                    <w:widowControl/>
                    <w:suppressLineNumbers w:val="0"/>
                    <w:jc w:val="center"/>
                    <w:textAlignment w:val="center"/>
                    <w:rPr>
                      <w:rFonts w:hint="eastAsia" w:eastAsia="宋体"/>
                      <w:color w:val="auto"/>
                      <w:sz w:val="18"/>
                      <w:szCs w:val="18"/>
                      <w:u w:val="none"/>
                      <w:lang w:val="en-US" w:eastAsia="zh-CN"/>
                    </w:rPr>
                  </w:pPr>
                  <w:r>
                    <w:rPr>
                      <w:rFonts w:hint="eastAsia" w:ascii="宋体" w:hAnsi="宋体" w:cs="宋体"/>
                      <w:i w:val="0"/>
                      <w:iCs w:val="0"/>
                      <w:color w:val="000000"/>
                      <w:kern w:val="0"/>
                      <w:sz w:val="18"/>
                      <w:szCs w:val="18"/>
                      <w:u w:val="none"/>
                      <w:lang w:val="en-US" w:eastAsia="zh-CN" w:bidi="ar"/>
                    </w:rPr>
                    <w:t>氯化物</w:t>
                  </w:r>
                </w:p>
              </w:tc>
              <w:tc>
                <w:tcPr>
                  <w:tcW w:w="728" w:type="dxa"/>
                  <w:tcBorders>
                    <w:tl2br w:val="nil"/>
                    <w:tr2bl w:val="nil"/>
                  </w:tcBorders>
                  <w:vAlign w:val="center"/>
                </w:tcPr>
                <w:p w14:paraId="17680FEC">
                  <w:pPr>
                    <w:keepNext w:val="0"/>
                    <w:keepLines w:val="0"/>
                    <w:widowControl/>
                    <w:suppressLineNumbers w:val="0"/>
                    <w:jc w:val="center"/>
                    <w:textAlignment w:val="center"/>
                    <w:rPr>
                      <w:color w:val="auto"/>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mg/L</w:t>
                  </w:r>
                </w:p>
              </w:tc>
              <w:tc>
                <w:tcPr>
                  <w:tcW w:w="584" w:type="dxa"/>
                  <w:tcBorders>
                    <w:tl2br w:val="nil"/>
                    <w:tr2bl w:val="nil"/>
                  </w:tcBorders>
                  <w:vAlign w:val="center"/>
                </w:tcPr>
                <w:p w14:paraId="1DA5BCCD">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25.2</w:t>
                  </w:r>
                </w:p>
              </w:tc>
              <w:tc>
                <w:tcPr>
                  <w:tcW w:w="584" w:type="dxa"/>
                  <w:tcBorders>
                    <w:tl2br w:val="nil"/>
                    <w:tr2bl w:val="nil"/>
                  </w:tcBorders>
                  <w:vAlign w:val="center"/>
                </w:tcPr>
                <w:p w14:paraId="486B12EC">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26.9</w:t>
                  </w:r>
                </w:p>
              </w:tc>
              <w:tc>
                <w:tcPr>
                  <w:tcW w:w="589" w:type="dxa"/>
                  <w:tcBorders>
                    <w:tl2br w:val="nil"/>
                    <w:tr2bl w:val="nil"/>
                  </w:tcBorders>
                  <w:vAlign w:val="center"/>
                </w:tcPr>
                <w:p w14:paraId="68AC8CC6">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24.9</w:t>
                  </w:r>
                </w:p>
              </w:tc>
              <w:tc>
                <w:tcPr>
                  <w:tcW w:w="584" w:type="dxa"/>
                  <w:tcBorders>
                    <w:tl2br w:val="nil"/>
                    <w:tr2bl w:val="nil"/>
                  </w:tcBorders>
                  <w:vAlign w:val="center"/>
                </w:tcPr>
                <w:p w14:paraId="3011EB69">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27.8</w:t>
                  </w:r>
                </w:p>
              </w:tc>
              <w:tc>
                <w:tcPr>
                  <w:tcW w:w="584" w:type="dxa"/>
                  <w:tcBorders>
                    <w:tl2br w:val="nil"/>
                    <w:tr2bl w:val="nil"/>
                  </w:tcBorders>
                  <w:vAlign w:val="center"/>
                </w:tcPr>
                <w:p w14:paraId="35E82377">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26.2</w:t>
                  </w:r>
                </w:p>
              </w:tc>
              <w:tc>
                <w:tcPr>
                  <w:tcW w:w="589" w:type="dxa"/>
                  <w:tcBorders>
                    <w:tl2br w:val="nil"/>
                    <w:tr2bl w:val="nil"/>
                  </w:tcBorders>
                  <w:vAlign w:val="center"/>
                </w:tcPr>
                <w:p w14:paraId="209F1CAC">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27.0</w:t>
                  </w:r>
                </w:p>
              </w:tc>
              <w:tc>
                <w:tcPr>
                  <w:tcW w:w="584" w:type="dxa"/>
                  <w:tcBorders>
                    <w:tl2br w:val="nil"/>
                    <w:tr2bl w:val="nil"/>
                  </w:tcBorders>
                  <w:vAlign w:val="center"/>
                </w:tcPr>
                <w:p w14:paraId="75A35D50">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29.2</w:t>
                  </w:r>
                </w:p>
              </w:tc>
              <w:tc>
                <w:tcPr>
                  <w:tcW w:w="584" w:type="dxa"/>
                  <w:tcBorders>
                    <w:tl2br w:val="nil"/>
                    <w:tr2bl w:val="nil"/>
                  </w:tcBorders>
                  <w:vAlign w:val="center"/>
                </w:tcPr>
                <w:p w14:paraId="0742D57F">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28.0</w:t>
                  </w:r>
                </w:p>
              </w:tc>
              <w:tc>
                <w:tcPr>
                  <w:tcW w:w="591" w:type="dxa"/>
                  <w:tcBorders>
                    <w:tl2br w:val="nil"/>
                    <w:tr2bl w:val="nil"/>
                  </w:tcBorders>
                  <w:vAlign w:val="center"/>
                </w:tcPr>
                <w:p w14:paraId="43687800">
                  <w:pPr>
                    <w:adjustRightInd w:val="0"/>
                    <w:snapToGrid w:val="0"/>
                    <w:spacing w:line="240" w:lineRule="auto"/>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28.7</w:t>
                  </w:r>
                </w:p>
              </w:tc>
              <w:tc>
                <w:tcPr>
                  <w:tcW w:w="597" w:type="dxa"/>
                  <w:tcBorders>
                    <w:tl2br w:val="nil"/>
                    <w:tr2bl w:val="nil"/>
                  </w:tcBorders>
                  <w:vAlign w:val="center"/>
                </w:tcPr>
                <w:p w14:paraId="68383B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auto"/>
                      <w:sz w:val="18"/>
                      <w:szCs w:val="18"/>
                      <w:u w:val="none"/>
                      <w:lang w:val="en-US" w:eastAsia="zh-CN"/>
                    </w:rPr>
                  </w:pPr>
                  <w:r>
                    <w:rPr>
                      <w:rFonts w:hint="eastAsia" w:cs="Times New Roman"/>
                      <w:sz w:val="18"/>
                      <w:szCs w:val="18"/>
                      <w:u w:val="none"/>
                      <w:vertAlign w:val="baseline"/>
                      <w:lang w:val="en-US" w:eastAsia="zh-CN"/>
                    </w:rPr>
                    <w:t>250</w:t>
                  </w:r>
                </w:p>
              </w:tc>
              <w:tc>
                <w:tcPr>
                  <w:tcW w:w="478" w:type="dxa"/>
                  <w:tcBorders>
                    <w:tl2br w:val="nil"/>
                    <w:tr2bl w:val="nil"/>
                  </w:tcBorders>
                  <w:vAlign w:val="center"/>
                </w:tcPr>
                <w:p w14:paraId="51581F48">
                  <w:pPr>
                    <w:keepNext w:val="0"/>
                    <w:keepLines w:val="0"/>
                    <w:pageBreakBefore w:val="0"/>
                    <w:kinsoku/>
                    <w:wordWrap/>
                    <w:overflowPunct/>
                    <w:topLinePunct w:val="0"/>
                    <w:autoSpaceDE/>
                    <w:autoSpaceDN/>
                    <w:bidi w:val="0"/>
                    <w:adjustRightInd/>
                    <w:snapToGrid/>
                    <w:ind w:left="-53" w:leftChars="-25" w:right="-53" w:rightChars="-25"/>
                    <w:jc w:val="center"/>
                    <w:textAlignment w:val="auto"/>
                    <w:rPr>
                      <w:color w:val="auto"/>
                      <w:sz w:val="18"/>
                      <w:szCs w:val="18"/>
                      <w:u w:val="none"/>
                    </w:rPr>
                  </w:pPr>
                  <w:r>
                    <w:rPr>
                      <w:color w:val="auto"/>
                      <w:sz w:val="18"/>
                      <w:szCs w:val="18"/>
                      <w:u w:val="none"/>
                    </w:rPr>
                    <w:t>达标</w:t>
                  </w:r>
                </w:p>
              </w:tc>
            </w:tr>
            <w:tr w14:paraId="7C24BF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002" w:type="dxa"/>
                  <w:tcBorders>
                    <w:tl2br w:val="nil"/>
                    <w:tr2bl w:val="nil"/>
                  </w:tcBorders>
                  <w:vAlign w:val="center"/>
                </w:tcPr>
                <w:p w14:paraId="55FD5817">
                  <w:pPr>
                    <w:keepNext w:val="0"/>
                    <w:keepLines w:val="0"/>
                    <w:widowControl/>
                    <w:suppressLineNumbers w:val="0"/>
                    <w:jc w:val="center"/>
                    <w:textAlignment w:val="center"/>
                    <w:rPr>
                      <w:rFonts w:hint="eastAsia" w:eastAsia="宋体"/>
                      <w:color w:val="auto"/>
                      <w:sz w:val="18"/>
                      <w:szCs w:val="18"/>
                      <w:u w:val="none"/>
                      <w:lang w:val="en-US" w:eastAsia="zh-CN"/>
                    </w:rPr>
                  </w:pPr>
                  <w:r>
                    <w:rPr>
                      <w:rFonts w:hint="eastAsia" w:ascii="宋体" w:hAnsi="宋体" w:eastAsia="宋体" w:cs="宋体"/>
                      <w:i w:val="0"/>
                      <w:iCs w:val="0"/>
                      <w:color w:val="000000"/>
                      <w:kern w:val="0"/>
                      <w:sz w:val="18"/>
                      <w:szCs w:val="18"/>
                      <w:u w:val="none"/>
                      <w:lang w:val="en-US" w:eastAsia="zh-CN" w:bidi="ar"/>
                    </w:rPr>
                    <w:t>氟化物</w:t>
                  </w:r>
                </w:p>
              </w:tc>
              <w:tc>
                <w:tcPr>
                  <w:tcW w:w="728" w:type="dxa"/>
                  <w:tcBorders>
                    <w:tl2br w:val="nil"/>
                    <w:tr2bl w:val="nil"/>
                  </w:tcBorders>
                  <w:vAlign w:val="center"/>
                </w:tcPr>
                <w:p w14:paraId="1B99365E">
                  <w:pPr>
                    <w:keepNext w:val="0"/>
                    <w:keepLines w:val="0"/>
                    <w:widowControl/>
                    <w:suppressLineNumbers w:val="0"/>
                    <w:jc w:val="center"/>
                    <w:textAlignment w:val="center"/>
                    <w:rPr>
                      <w:color w:val="auto"/>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mg/L</w:t>
                  </w:r>
                </w:p>
              </w:tc>
              <w:tc>
                <w:tcPr>
                  <w:tcW w:w="584" w:type="dxa"/>
                  <w:tcBorders>
                    <w:tl2br w:val="nil"/>
                    <w:tr2bl w:val="nil"/>
                  </w:tcBorders>
                  <w:vAlign w:val="center"/>
                </w:tcPr>
                <w:p w14:paraId="6B1CE99E">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0.124</w:t>
                  </w:r>
                </w:p>
              </w:tc>
              <w:tc>
                <w:tcPr>
                  <w:tcW w:w="584" w:type="dxa"/>
                  <w:tcBorders>
                    <w:tl2br w:val="nil"/>
                    <w:tr2bl w:val="nil"/>
                  </w:tcBorders>
                  <w:vAlign w:val="center"/>
                </w:tcPr>
                <w:p w14:paraId="2297BAEC">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0.112</w:t>
                  </w:r>
                </w:p>
              </w:tc>
              <w:tc>
                <w:tcPr>
                  <w:tcW w:w="589" w:type="dxa"/>
                  <w:tcBorders>
                    <w:tl2br w:val="nil"/>
                    <w:tr2bl w:val="nil"/>
                  </w:tcBorders>
                  <w:vAlign w:val="center"/>
                </w:tcPr>
                <w:p w14:paraId="30DC6110">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0.119</w:t>
                  </w:r>
                </w:p>
              </w:tc>
              <w:tc>
                <w:tcPr>
                  <w:tcW w:w="584" w:type="dxa"/>
                  <w:tcBorders>
                    <w:tl2br w:val="nil"/>
                    <w:tr2bl w:val="nil"/>
                  </w:tcBorders>
                  <w:vAlign w:val="center"/>
                </w:tcPr>
                <w:p w14:paraId="6B1F2F28">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0.162</w:t>
                  </w:r>
                </w:p>
              </w:tc>
              <w:tc>
                <w:tcPr>
                  <w:tcW w:w="584" w:type="dxa"/>
                  <w:tcBorders>
                    <w:tl2br w:val="nil"/>
                    <w:tr2bl w:val="nil"/>
                  </w:tcBorders>
                  <w:vAlign w:val="center"/>
                </w:tcPr>
                <w:p w14:paraId="3D73D6F9">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0.174</w:t>
                  </w:r>
                </w:p>
              </w:tc>
              <w:tc>
                <w:tcPr>
                  <w:tcW w:w="589" w:type="dxa"/>
                  <w:tcBorders>
                    <w:tl2br w:val="nil"/>
                    <w:tr2bl w:val="nil"/>
                  </w:tcBorders>
                  <w:vAlign w:val="center"/>
                </w:tcPr>
                <w:p w14:paraId="3E9F4855">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0.159</w:t>
                  </w:r>
                </w:p>
              </w:tc>
              <w:tc>
                <w:tcPr>
                  <w:tcW w:w="584" w:type="dxa"/>
                  <w:tcBorders>
                    <w:tl2br w:val="nil"/>
                    <w:tr2bl w:val="nil"/>
                  </w:tcBorders>
                  <w:vAlign w:val="center"/>
                </w:tcPr>
                <w:p w14:paraId="207B2FE4">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0.149</w:t>
                  </w:r>
                </w:p>
              </w:tc>
              <w:tc>
                <w:tcPr>
                  <w:tcW w:w="584" w:type="dxa"/>
                  <w:tcBorders>
                    <w:tl2br w:val="nil"/>
                    <w:tr2bl w:val="nil"/>
                  </w:tcBorders>
                  <w:vAlign w:val="center"/>
                </w:tcPr>
                <w:p w14:paraId="3F58F98E">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0.162</w:t>
                  </w:r>
                </w:p>
              </w:tc>
              <w:tc>
                <w:tcPr>
                  <w:tcW w:w="591" w:type="dxa"/>
                  <w:tcBorders>
                    <w:tl2br w:val="nil"/>
                    <w:tr2bl w:val="nil"/>
                  </w:tcBorders>
                  <w:vAlign w:val="center"/>
                </w:tcPr>
                <w:p w14:paraId="38F8C134">
                  <w:pPr>
                    <w:adjustRightInd w:val="0"/>
                    <w:snapToGrid w:val="0"/>
                    <w:ind w:left="-42" w:leftChars="-20"/>
                    <w:jc w:val="center"/>
                    <w:rPr>
                      <w:rFonts w:hint="default" w:eastAsia="宋体"/>
                      <w:color w:val="auto"/>
                      <w:sz w:val="18"/>
                      <w:szCs w:val="18"/>
                      <w:u w:val="none"/>
                      <w:lang w:val="en-US" w:eastAsia="zh-CN"/>
                    </w:rPr>
                  </w:pPr>
                  <w:r>
                    <w:rPr>
                      <w:rFonts w:hint="eastAsia"/>
                      <w:color w:val="auto"/>
                      <w:sz w:val="18"/>
                      <w:szCs w:val="18"/>
                      <w:u w:val="none"/>
                      <w:lang w:val="en-US" w:eastAsia="zh-CN"/>
                    </w:rPr>
                    <w:t>0.144</w:t>
                  </w:r>
                </w:p>
              </w:tc>
              <w:tc>
                <w:tcPr>
                  <w:tcW w:w="597" w:type="dxa"/>
                  <w:tcBorders>
                    <w:tl2br w:val="nil"/>
                    <w:tr2bl w:val="nil"/>
                  </w:tcBorders>
                  <w:vAlign w:val="center"/>
                </w:tcPr>
                <w:p w14:paraId="6401A77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宋体"/>
                      <w:color w:val="auto"/>
                      <w:sz w:val="18"/>
                      <w:szCs w:val="18"/>
                      <w:u w:val="none"/>
                      <w:lang w:val="en-US" w:eastAsia="zh-CN"/>
                    </w:rPr>
                  </w:pPr>
                  <w:r>
                    <w:rPr>
                      <w:rFonts w:hint="eastAsia" w:cs="Times New Roman"/>
                      <w:kern w:val="2"/>
                      <w:sz w:val="18"/>
                      <w:szCs w:val="18"/>
                      <w:u w:val="none"/>
                      <w:vertAlign w:val="baseline"/>
                      <w:lang w:val="en-US" w:eastAsia="zh-CN" w:bidi="ar-SA"/>
                    </w:rPr>
                    <w:t>1.0</w:t>
                  </w:r>
                </w:p>
              </w:tc>
              <w:tc>
                <w:tcPr>
                  <w:tcW w:w="478" w:type="dxa"/>
                  <w:tcBorders>
                    <w:tl2br w:val="nil"/>
                    <w:tr2bl w:val="nil"/>
                  </w:tcBorders>
                  <w:vAlign w:val="center"/>
                </w:tcPr>
                <w:p w14:paraId="7926BB1E">
                  <w:pPr>
                    <w:keepNext w:val="0"/>
                    <w:keepLines w:val="0"/>
                    <w:pageBreakBefore w:val="0"/>
                    <w:kinsoku/>
                    <w:wordWrap/>
                    <w:overflowPunct/>
                    <w:topLinePunct w:val="0"/>
                    <w:autoSpaceDE/>
                    <w:autoSpaceDN/>
                    <w:bidi w:val="0"/>
                    <w:adjustRightInd/>
                    <w:snapToGrid/>
                    <w:ind w:left="-53" w:leftChars="-25" w:right="-53" w:rightChars="-25"/>
                    <w:jc w:val="center"/>
                    <w:textAlignment w:val="auto"/>
                    <w:rPr>
                      <w:color w:val="auto"/>
                      <w:sz w:val="18"/>
                      <w:szCs w:val="18"/>
                      <w:u w:val="none"/>
                    </w:rPr>
                  </w:pPr>
                  <w:r>
                    <w:rPr>
                      <w:color w:val="auto"/>
                      <w:sz w:val="18"/>
                      <w:szCs w:val="18"/>
                      <w:u w:val="none"/>
                    </w:rPr>
                    <w:t>达标</w:t>
                  </w:r>
                </w:p>
              </w:tc>
            </w:tr>
            <w:tr w14:paraId="2FA1A1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0" w:hRule="atLeast"/>
                <w:jc w:val="center"/>
              </w:trPr>
              <w:tc>
                <w:tcPr>
                  <w:tcW w:w="1002" w:type="dxa"/>
                  <w:tcBorders>
                    <w:tl2br w:val="nil"/>
                    <w:tr2bl w:val="nil"/>
                  </w:tcBorders>
                  <w:vAlign w:val="center"/>
                </w:tcPr>
                <w:p w14:paraId="272C6519">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硫酸盐</w:t>
                  </w:r>
                </w:p>
              </w:tc>
              <w:tc>
                <w:tcPr>
                  <w:tcW w:w="728" w:type="dxa"/>
                  <w:tcBorders>
                    <w:tl2br w:val="nil"/>
                    <w:tr2bl w:val="nil"/>
                  </w:tcBorders>
                  <w:vAlign w:val="center"/>
                </w:tcPr>
                <w:p w14:paraId="7A9BCE1D">
                  <w:pPr>
                    <w:keepNext w:val="0"/>
                    <w:keepLines w:val="0"/>
                    <w:widowControl/>
                    <w:suppressLineNumbers w:val="0"/>
                    <w:jc w:val="center"/>
                    <w:textAlignment w:val="center"/>
                    <w:rPr>
                      <w:rFonts w:hint="eastAsia"/>
                      <w:color w:val="auto"/>
                      <w:sz w:val="18"/>
                      <w:szCs w:val="18"/>
                      <w:u w:val="no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mg/L</w:t>
                  </w:r>
                </w:p>
              </w:tc>
              <w:tc>
                <w:tcPr>
                  <w:tcW w:w="584" w:type="dxa"/>
                  <w:tcBorders>
                    <w:tl2br w:val="nil"/>
                    <w:tr2bl w:val="nil"/>
                  </w:tcBorders>
                  <w:vAlign w:val="center"/>
                </w:tcPr>
                <w:p w14:paraId="6907F71A">
                  <w:pPr>
                    <w:adjustRightInd w:val="0"/>
                    <w:snapToGrid w:val="0"/>
                    <w:ind w:left="-42" w:leftChars="-20"/>
                    <w:jc w:val="center"/>
                    <w:rPr>
                      <w:rFonts w:hint="default"/>
                      <w:color w:val="auto"/>
                      <w:sz w:val="18"/>
                      <w:szCs w:val="18"/>
                      <w:u w:val="none"/>
                      <w:lang w:val="en-US" w:eastAsia="zh-CN"/>
                    </w:rPr>
                  </w:pPr>
                  <w:r>
                    <w:rPr>
                      <w:rFonts w:hint="eastAsia"/>
                      <w:color w:val="auto"/>
                      <w:sz w:val="18"/>
                      <w:szCs w:val="18"/>
                      <w:u w:val="none"/>
                      <w:lang w:val="en-US" w:eastAsia="zh-CN"/>
                    </w:rPr>
                    <w:t>34.9</w:t>
                  </w:r>
                </w:p>
              </w:tc>
              <w:tc>
                <w:tcPr>
                  <w:tcW w:w="584" w:type="dxa"/>
                  <w:tcBorders>
                    <w:tl2br w:val="nil"/>
                    <w:tr2bl w:val="nil"/>
                  </w:tcBorders>
                  <w:vAlign w:val="center"/>
                </w:tcPr>
                <w:p w14:paraId="5D5FE137">
                  <w:pPr>
                    <w:adjustRightInd w:val="0"/>
                    <w:snapToGrid w:val="0"/>
                    <w:ind w:left="-42" w:leftChars="-20"/>
                    <w:jc w:val="center"/>
                    <w:rPr>
                      <w:rFonts w:hint="default"/>
                      <w:color w:val="auto"/>
                      <w:sz w:val="18"/>
                      <w:szCs w:val="18"/>
                      <w:u w:val="none"/>
                      <w:lang w:val="en-US" w:eastAsia="zh-CN"/>
                    </w:rPr>
                  </w:pPr>
                  <w:r>
                    <w:rPr>
                      <w:rFonts w:hint="eastAsia"/>
                      <w:color w:val="auto"/>
                      <w:sz w:val="18"/>
                      <w:szCs w:val="18"/>
                      <w:u w:val="none"/>
                      <w:lang w:val="en-US" w:eastAsia="zh-CN"/>
                    </w:rPr>
                    <w:t>35.2</w:t>
                  </w:r>
                </w:p>
              </w:tc>
              <w:tc>
                <w:tcPr>
                  <w:tcW w:w="589" w:type="dxa"/>
                  <w:tcBorders>
                    <w:tl2br w:val="nil"/>
                    <w:tr2bl w:val="nil"/>
                  </w:tcBorders>
                  <w:vAlign w:val="center"/>
                </w:tcPr>
                <w:p w14:paraId="49D4B8F7">
                  <w:pPr>
                    <w:adjustRightInd w:val="0"/>
                    <w:snapToGrid w:val="0"/>
                    <w:ind w:left="-42" w:leftChars="-20"/>
                    <w:jc w:val="center"/>
                    <w:rPr>
                      <w:rFonts w:hint="default"/>
                      <w:color w:val="auto"/>
                      <w:sz w:val="18"/>
                      <w:szCs w:val="18"/>
                      <w:u w:val="none"/>
                      <w:lang w:val="en-US" w:eastAsia="zh-CN"/>
                    </w:rPr>
                  </w:pPr>
                  <w:r>
                    <w:rPr>
                      <w:rFonts w:hint="eastAsia"/>
                      <w:color w:val="auto"/>
                      <w:sz w:val="18"/>
                      <w:szCs w:val="18"/>
                      <w:u w:val="none"/>
                      <w:lang w:val="en-US" w:eastAsia="zh-CN"/>
                    </w:rPr>
                    <w:t>34.4</w:t>
                  </w:r>
                </w:p>
              </w:tc>
              <w:tc>
                <w:tcPr>
                  <w:tcW w:w="584" w:type="dxa"/>
                  <w:tcBorders>
                    <w:tl2br w:val="nil"/>
                    <w:tr2bl w:val="nil"/>
                  </w:tcBorders>
                  <w:vAlign w:val="center"/>
                </w:tcPr>
                <w:p w14:paraId="3ACC8B1A">
                  <w:pPr>
                    <w:adjustRightInd w:val="0"/>
                    <w:snapToGrid w:val="0"/>
                    <w:ind w:left="-42" w:leftChars="-20"/>
                    <w:jc w:val="center"/>
                    <w:rPr>
                      <w:rFonts w:hint="default"/>
                      <w:color w:val="auto"/>
                      <w:sz w:val="18"/>
                      <w:szCs w:val="18"/>
                      <w:u w:val="none"/>
                      <w:lang w:val="en-US" w:eastAsia="zh-CN"/>
                    </w:rPr>
                  </w:pPr>
                  <w:r>
                    <w:rPr>
                      <w:rFonts w:hint="eastAsia"/>
                      <w:color w:val="auto"/>
                      <w:sz w:val="18"/>
                      <w:szCs w:val="18"/>
                      <w:u w:val="none"/>
                      <w:lang w:val="en-US" w:eastAsia="zh-CN"/>
                    </w:rPr>
                    <w:t>32.2</w:t>
                  </w:r>
                </w:p>
              </w:tc>
              <w:tc>
                <w:tcPr>
                  <w:tcW w:w="584" w:type="dxa"/>
                  <w:tcBorders>
                    <w:tl2br w:val="nil"/>
                    <w:tr2bl w:val="nil"/>
                  </w:tcBorders>
                  <w:vAlign w:val="center"/>
                </w:tcPr>
                <w:p w14:paraId="276FD8A9">
                  <w:pPr>
                    <w:adjustRightInd w:val="0"/>
                    <w:snapToGrid w:val="0"/>
                    <w:ind w:left="-42" w:leftChars="-20"/>
                    <w:jc w:val="center"/>
                    <w:rPr>
                      <w:rFonts w:hint="default"/>
                      <w:color w:val="auto"/>
                      <w:sz w:val="18"/>
                      <w:szCs w:val="18"/>
                      <w:u w:val="none"/>
                      <w:lang w:val="en-US" w:eastAsia="zh-CN"/>
                    </w:rPr>
                  </w:pPr>
                  <w:r>
                    <w:rPr>
                      <w:rFonts w:hint="eastAsia"/>
                      <w:color w:val="auto"/>
                      <w:sz w:val="18"/>
                      <w:szCs w:val="18"/>
                      <w:u w:val="none"/>
                      <w:lang w:val="en-US" w:eastAsia="zh-CN"/>
                    </w:rPr>
                    <w:t>30.9</w:t>
                  </w:r>
                </w:p>
              </w:tc>
              <w:tc>
                <w:tcPr>
                  <w:tcW w:w="589" w:type="dxa"/>
                  <w:tcBorders>
                    <w:tl2br w:val="nil"/>
                    <w:tr2bl w:val="nil"/>
                  </w:tcBorders>
                  <w:vAlign w:val="center"/>
                </w:tcPr>
                <w:p w14:paraId="22880418">
                  <w:pPr>
                    <w:adjustRightInd w:val="0"/>
                    <w:snapToGrid w:val="0"/>
                    <w:ind w:left="-42" w:leftChars="-20"/>
                    <w:jc w:val="center"/>
                    <w:rPr>
                      <w:rFonts w:hint="default"/>
                      <w:color w:val="auto"/>
                      <w:sz w:val="18"/>
                      <w:szCs w:val="18"/>
                      <w:u w:val="none"/>
                      <w:lang w:val="en-US" w:eastAsia="zh-CN"/>
                    </w:rPr>
                  </w:pPr>
                  <w:r>
                    <w:rPr>
                      <w:rFonts w:hint="eastAsia"/>
                      <w:color w:val="auto"/>
                      <w:sz w:val="18"/>
                      <w:szCs w:val="18"/>
                      <w:u w:val="none"/>
                      <w:lang w:val="en-US" w:eastAsia="zh-CN"/>
                    </w:rPr>
                    <w:t>30.4</w:t>
                  </w:r>
                </w:p>
              </w:tc>
              <w:tc>
                <w:tcPr>
                  <w:tcW w:w="584" w:type="dxa"/>
                  <w:tcBorders>
                    <w:tl2br w:val="nil"/>
                    <w:tr2bl w:val="nil"/>
                  </w:tcBorders>
                  <w:vAlign w:val="center"/>
                </w:tcPr>
                <w:p w14:paraId="58E7D907">
                  <w:pPr>
                    <w:adjustRightInd w:val="0"/>
                    <w:snapToGrid w:val="0"/>
                    <w:ind w:left="-42" w:leftChars="-20"/>
                    <w:jc w:val="center"/>
                    <w:rPr>
                      <w:rFonts w:hint="default"/>
                      <w:color w:val="auto"/>
                      <w:sz w:val="18"/>
                      <w:szCs w:val="18"/>
                      <w:u w:val="none"/>
                      <w:lang w:val="en-US" w:eastAsia="zh-CN"/>
                    </w:rPr>
                  </w:pPr>
                  <w:r>
                    <w:rPr>
                      <w:rFonts w:hint="eastAsia"/>
                      <w:color w:val="auto"/>
                      <w:sz w:val="18"/>
                      <w:szCs w:val="18"/>
                      <w:u w:val="none"/>
                      <w:lang w:val="en-US" w:eastAsia="zh-CN"/>
                    </w:rPr>
                    <w:t>32.8</w:t>
                  </w:r>
                </w:p>
              </w:tc>
              <w:tc>
                <w:tcPr>
                  <w:tcW w:w="584" w:type="dxa"/>
                  <w:tcBorders>
                    <w:tl2br w:val="nil"/>
                    <w:tr2bl w:val="nil"/>
                  </w:tcBorders>
                  <w:vAlign w:val="center"/>
                </w:tcPr>
                <w:p w14:paraId="64E0A15F">
                  <w:pPr>
                    <w:adjustRightInd w:val="0"/>
                    <w:snapToGrid w:val="0"/>
                    <w:ind w:left="-42" w:leftChars="-20"/>
                    <w:jc w:val="center"/>
                    <w:rPr>
                      <w:rFonts w:hint="default"/>
                      <w:color w:val="auto"/>
                      <w:sz w:val="18"/>
                      <w:szCs w:val="18"/>
                      <w:u w:val="none"/>
                      <w:lang w:val="en-US" w:eastAsia="zh-CN"/>
                    </w:rPr>
                  </w:pPr>
                  <w:r>
                    <w:rPr>
                      <w:rFonts w:hint="eastAsia"/>
                      <w:color w:val="auto"/>
                      <w:sz w:val="18"/>
                      <w:szCs w:val="18"/>
                      <w:u w:val="none"/>
                      <w:lang w:val="en-US" w:eastAsia="zh-CN"/>
                    </w:rPr>
                    <w:t>32.2</w:t>
                  </w:r>
                </w:p>
              </w:tc>
              <w:tc>
                <w:tcPr>
                  <w:tcW w:w="591" w:type="dxa"/>
                  <w:tcBorders>
                    <w:tl2br w:val="nil"/>
                    <w:tr2bl w:val="nil"/>
                  </w:tcBorders>
                  <w:vAlign w:val="center"/>
                </w:tcPr>
                <w:p w14:paraId="7D5EE841">
                  <w:pPr>
                    <w:adjustRightInd w:val="0"/>
                    <w:snapToGrid w:val="0"/>
                    <w:ind w:left="-42" w:leftChars="-20"/>
                    <w:jc w:val="center"/>
                    <w:rPr>
                      <w:rFonts w:hint="default"/>
                      <w:color w:val="auto"/>
                      <w:sz w:val="18"/>
                      <w:szCs w:val="18"/>
                      <w:u w:val="none"/>
                      <w:lang w:val="en-US" w:eastAsia="zh-CN"/>
                    </w:rPr>
                  </w:pPr>
                  <w:r>
                    <w:rPr>
                      <w:rFonts w:hint="eastAsia"/>
                      <w:color w:val="auto"/>
                      <w:sz w:val="18"/>
                      <w:szCs w:val="18"/>
                      <w:u w:val="none"/>
                      <w:lang w:val="en-US" w:eastAsia="zh-CN"/>
                    </w:rPr>
                    <w:t>31.4</w:t>
                  </w:r>
                </w:p>
              </w:tc>
              <w:tc>
                <w:tcPr>
                  <w:tcW w:w="597" w:type="dxa"/>
                  <w:tcBorders>
                    <w:tl2br w:val="nil"/>
                    <w:tr2bl w:val="nil"/>
                  </w:tcBorders>
                  <w:vAlign w:val="center"/>
                </w:tcPr>
                <w:p w14:paraId="2B67675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olor w:val="auto"/>
                      <w:sz w:val="18"/>
                      <w:szCs w:val="18"/>
                      <w:u w:val="none"/>
                      <w:lang w:val="en-US" w:eastAsia="zh-CN"/>
                    </w:rPr>
                  </w:pPr>
                  <w:r>
                    <w:rPr>
                      <w:rFonts w:hint="eastAsia" w:cs="Times New Roman"/>
                      <w:kern w:val="2"/>
                      <w:sz w:val="18"/>
                      <w:szCs w:val="18"/>
                      <w:u w:val="none"/>
                      <w:vertAlign w:val="baseline"/>
                      <w:lang w:val="en-US" w:eastAsia="zh-CN" w:bidi="ar-SA"/>
                    </w:rPr>
                    <w:t>250</w:t>
                  </w:r>
                </w:p>
              </w:tc>
              <w:tc>
                <w:tcPr>
                  <w:tcW w:w="478" w:type="dxa"/>
                  <w:tcBorders>
                    <w:tl2br w:val="nil"/>
                    <w:tr2bl w:val="nil"/>
                  </w:tcBorders>
                  <w:vAlign w:val="center"/>
                </w:tcPr>
                <w:p w14:paraId="649D6DB7">
                  <w:pPr>
                    <w:keepNext w:val="0"/>
                    <w:keepLines w:val="0"/>
                    <w:pageBreakBefore w:val="0"/>
                    <w:kinsoku/>
                    <w:wordWrap/>
                    <w:overflowPunct/>
                    <w:topLinePunct w:val="0"/>
                    <w:autoSpaceDE/>
                    <w:autoSpaceDN/>
                    <w:bidi w:val="0"/>
                    <w:adjustRightInd/>
                    <w:snapToGrid/>
                    <w:ind w:left="-53" w:leftChars="-25" w:right="-53" w:rightChars="-25"/>
                    <w:jc w:val="center"/>
                    <w:textAlignment w:val="auto"/>
                    <w:rPr>
                      <w:color w:val="auto"/>
                      <w:sz w:val="18"/>
                      <w:szCs w:val="18"/>
                      <w:u w:val="none"/>
                    </w:rPr>
                  </w:pPr>
                  <w:r>
                    <w:rPr>
                      <w:color w:val="auto"/>
                      <w:sz w:val="18"/>
                      <w:szCs w:val="18"/>
                      <w:u w:val="none"/>
                    </w:rPr>
                    <w:t>达标</w:t>
                  </w:r>
                </w:p>
              </w:tc>
            </w:tr>
          </w:tbl>
          <w:p w14:paraId="61574904">
            <w:pPr>
              <w:pStyle w:val="87"/>
              <w:spacing w:line="360" w:lineRule="auto"/>
              <w:jc w:val="left"/>
              <w:rPr>
                <w:rFonts w:hAnsi="Times New Roman" w:cs="Times New Roman"/>
                <w:bCs/>
                <w:color w:val="auto"/>
                <w:sz w:val="24"/>
                <w:u w:val="none"/>
              </w:rPr>
            </w:pPr>
            <w:r>
              <w:rPr>
                <w:color w:val="auto"/>
                <w:sz w:val="24"/>
                <w:u w:val="none"/>
              </w:rPr>
              <w:t>由监测结果可以看出，项目地表水质量现状满足《地表水环境质量标准》（GB3838-2002）中</w:t>
            </w:r>
            <w:r>
              <w:rPr>
                <w:bCs/>
                <w:color w:val="auto"/>
                <w:sz w:val="24"/>
                <w:u w:val="none"/>
              </w:rPr>
              <w:fldChar w:fldCharType="begin"/>
            </w:r>
            <w:r>
              <w:rPr>
                <w:bCs/>
                <w:color w:val="auto"/>
                <w:sz w:val="24"/>
                <w:u w:val="none"/>
              </w:rPr>
              <w:instrText xml:space="preserve"> = 3 \* ROMAN </w:instrText>
            </w:r>
            <w:r>
              <w:rPr>
                <w:bCs/>
                <w:color w:val="auto"/>
                <w:sz w:val="24"/>
                <w:u w:val="none"/>
              </w:rPr>
              <w:fldChar w:fldCharType="separate"/>
            </w:r>
            <w:r>
              <w:rPr>
                <w:bCs/>
                <w:color w:val="auto"/>
                <w:sz w:val="24"/>
                <w:u w:val="none"/>
              </w:rPr>
              <w:t>III</w:t>
            </w:r>
            <w:r>
              <w:rPr>
                <w:bCs/>
                <w:color w:val="auto"/>
                <w:sz w:val="24"/>
                <w:u w:val="none"/>
              </w:rPr>
              <w:fldChar w:fldCharType="end"/>
            </w:r>
            <w:r>
              <w:rPr>
                <w:color w:val="auto"/>
                <w:sz w:val="24"/>
                <w:u w:val="none"/>
              </w:rPr>
              <w:t>类水域标准限值的要求。</w:t>
            </w:r>
          </w:p>
          <w:p w14:paraId="46FEF83D">
            <w:pPr>
              <w:spacing w:line="360" w:lineRule="auto"/>
              <w:ind w:firstLine="482" w:firstLineChars="200"/>
              <w:rPr>
                <w:b/>
                <w:bCs/>
                <w:color w:val="auto"/>
                <w:sz w:val="24"/>
                <w:u w:val="none"/>
              </w:rPr>
            </w:pPr>
            <w:r>
              <w:rPr>
                <w:b/>
                <w:bCs/>
                <w:color w:val="auto"/>
                <w:sz w:val="24"/>
                <w:u w:val="none"/>
              </w:rPr>
              <w:t>3声环境质量现状</w:t>
            </w:r>
          </w:p>
          <w:p w14:paraId="3144A9F0">
            <w:pPr>
              <w:pStyle w:val="87"/>
              <w:spacing w:line="360" w:lineRule="auto"/>
              <w:jc w:val="left"/>
              <w:rPr>
                <w:rFonts w:hint="eastAsia" w:hAnsi="Times New Roman" w:cs="Times New Roman"/>
                <w:bCs/>
                <w:color w:val="auto"/>
                <w:sz w:val="24"/>
                <w:u w:val="none"/>
                <w:lang w:eastAsia="zh-CN"/>
              </w:rPr>
            </w:pPr>
            <w:r>
              <w:rPr>
                <w:rFonts w:hint="eastAsia"/>
                <w:color w:val="auto"/>
                <w:sz w:val="24"/>
                <w:u w:val="none"/>
                <w:lang w:eastAsia="zh-CN"/>
              </w:rPr>
              <w:t>项目地周边</w:t>
            </w:r>
            <w:r>
              <w:rPr>
                <w:rFonts w:hint="eastAsia"/>
                <w:color w:val="auto"/>
                <w:sz w:val="24"/>
                <w:u w:val="none"/>
                <w:lang w:val="en-US" w:eastAsia="zh-CN"/>
              </w:rPr>
              <w:t>50米无声环境保护目标，无需进行声环境现状监测</w:t>
            </w:r>
            <w:r>
              <w:rPr>
                <w:rFonts w:hAnsi="Times New Roman" w:cs="Times New Roman"/>
                <w:bCs/>
                <w:color w:val="auto"/>
                <w:sz w:val="24"/>
                <w:u w:val="none"/>
              </w:rPr>
              <w:t>。</w:t>
            </w:r>
            <w:r>
              <w:rPr>
                <w:rFonts w:hint="eastAsia" w:hAnsi="Times New Roman" w:cs="Times New Roman"/>
                <w:bCs/>
                <w:color w:val="auto"/>
                <w:sz w:val="24"/>
                <w:u w:val="none"/>
                <w:lang w:eastAsia="zh-CN"/>
              </w:rPr>
              <w:t>本项目对管道工程段声环境保护目标进行了监测，本项目执行《声环境质量标准》（GB3096-2008）中的2类标准。本次环评声环境现状监测因子为连续等效A声级。连续采样2天，分昼间和夜间监测。监测布点见表3-</w:t>
            </w:r>
            <w:r>
              <w:rPr>
                <w:rFonts w:hint="eastAsia" w:hAnsi="Times New Roman" w:cs="Times New Roman"/>
                <w:bCs/>
                <w:color w:val="auto"/>
                <w:sz w:val="24"/>
                <w:u w:val="none"/>
                <w:lang w:val="en-US" w:eastAsia="zh-CN"/>
              </w:rPr>
              <w:t>3</w:t>
            </w:r>
            <w:r>
              <w:rPr>
                <w:rFonts w:hint="eastAsia" w:hAnsi="Times New Roman" w:cs="Times New Roman"/>
                <w:bCs/>
                <w:color w:val="auto"/>
                <w:sz w:val="24"/>
                <w:u w:val="none"/>
                <w:lang w:eastAsia="zh-CN"/>
              </w:rPr>
              <w:t>，监测结果见3-</w:t>
            </w:r>
            <w:r>
              <w:rPr>
                <w:rFonts w:hint="eastAsia" w:hAnsi="Times New Roman" w:cs="Times New Roman"/>
                <w:bCs/>
                <w:color w:val="auto"/>
                <w:sz w:val="24"/>
                <w:u w:val="none"/>
                <w:lang w:val="en-US" w:eastAsia="zh-CN"/>
              </w:rPr>
              <w:t>4</w:t>
            </w:r>
            <w:r>
              <w:rPr>
                <w:rFonts w:hint="eastAsia" w:hAnsi="Times New Roman" w:cs="Times New Roman"/>
                <w:bCs/>
                <w:color w:val="auto"/>
                <w:sz w:val="24"/>
                <w:u w:val="none"/>
                <w:lang w:eastAsia="zh-CN"/>
              </w:rPr>
              <w:t>。监测结果见下表：</w:t>
            </w:r>
          </w:p>
          <w:p w14:paraId="04A48225">
            <w:pPr>
              <w:pStyle w:val="87"/>
              <w:spacing w:line="360" w:lineRule="auto"/>
              <w:jc w:val="center"/>
              <w:rPr>
                <w:rFonts w:hint="eastAsia" w:hAnsi="Times New Roman" w:cs="Times New Roman"/>
                <w:bCs/>
                <w:color w:val="auto"/>
                <w:sz w:val="24"/>
                <w:u w:val="none"/>
                <w:lang w:eastAsia="zh-CN"/>
              </w:rPr>
            </w:pPr>
            <w:r>
              <w:rPr>
                <w:rFonts w:hint="eastAsia" w:hAnsi="Times New Roman" w:cs="Times New Roman"/>
                <w:bCs/>
                <w:color w:val="auto"/>
                <w:sz w:val="24"/>
                <w:u w:val="none"/>
                <w:lang w:eastAsia="zh-CN"/>
              </w:rPr>
              <w:t>表3-</w:t>
            </w:r>
            <w:r>
              <w:rPr>
                <w:rFonts w:hint="eastAsia" w:hAnsi="Times New Roman" w:cs="Times New Roman"/>
                <w:bCs/>
                <w:color w:val="auto"/>
                <w:sz w:val="24"/>
                <w:u w:val="none"/>
                <w:lang w:val="en-US" w:eastAsia="zh-CN"/>
              </w:rPr>
              <w:t>3</w:t>
            </w:r>
            <w:r>
              <w:rPr>
                <w:rFonts w:hint="eastAsia" w:hAnsi="Times New Roman" w:cs="Times New Roman"/>
                <w:bCs/>
                <w:color w:val="auto"/>
                <w:sz w:val="24"/>
                <w:u w:val="none"/>
                <w:lang w:eastAsia="zh-CN"/>
              </w:rPr>
              <w:t xml:space="preserve"> 声环境监测结果</w:t>
            </w:r>
          </w:p>
          <w:tbl>
            <w:tblPr>
              <w:tblStyle w:val="32"/>
              <w:tblW w:w="490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56"/>
              <w:gridCol w:w="3073"/>
              <w:gridCol w:w="1964"/>
              <w:gridCol w:w="1809"/>
            </w:tblGrid>
            <w:tr w14:paraId="5686B13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6" w:hRule="atLeast"/>
                <w:jc w:val="center"/>
              </w:trPr>
              <w:tc>
                <w:tcPr>
                  <w:tcW w:w="668" w:type="pct"/>
                  <w:tcBorders>
                    <w:tl2br w:val="nil"/>
                    <w:tr2bl w:val="nil"/>
                  </w:tcBorders>
                  <w:noWrap w:val="0"/>
                  <w:vAlign w:val="center"/>
                </w:tcPr>
                <w:p w14:paraId="1CF9AA17">
                  <w:pPr>
                    <w:pStyle w:val="145"/>
                    <w:rPr>
                      <w:rFonts w:hint="default" w:ascii="Times New Roman" w:hAnsi="Times New Roman" w:cs="Times New Roman"/>
                    </w:rPr>
                  </w:pPr>
                  <w:r>
                    <w:rPr>
                      <w:rFonts w:hint="default" w:ascii="Times New Roman" w:hAnsi="Times New Roman" w:cs="Times New Roman"/>
                    </w:rPr>
                    <w:t>编号</w:t>
                  </w:r>
                </w:p>
              </w:tc>
              <w:tc>
                <w:tcPr>
                  <w:tcW w:w="1944" w:type="pct"/>
                  <w:tcBorders>
                    <w:tl2br w:val="nil"/>
                    <w:tr2bl w:val="nil"/>
                  </w:tcBorders>
                  <w:noWrap w:val="0"/>
                  <w:vAlign w:val="center"/>
                </w:tcPr>
                <w:p w14:paraId="5DD98DD8">
                  <w:pPr>
                    <w:pStyle w:val="145"/>
                    <w:rPr>
                      <w:rFonts w:hint="default" w:ascii="Times New Roman" w:hAnsi="Times New Roman" w:cs="Times New Roman"/>
                    </w:rPr>
                  </w:pPr>
                  <w:r>
                    <w:rPr>
                      <w:rFonts w:hint="default" w:ascii="Times New Roman" w:hAnsi="Times New Roman" w:cs="Times New Roman"/>
                    </w:rPr>
                    <w:t>监测点名称</w:t>
                  </w:r>
                </w:p>
              </w:tc>
              <w:tc>
                <w:tcPr>
                  <w:tcW w:w="1242" w:type="pct"/>
                  <w:tcBorders>
                    <w:tl2br w:val="nil"/>
                    <w:tr2bl w:val="nil"/>
                  </w:tcBorders>
                  <w:noWrap w:val="0"/>
                  <w:vAlign w:val="center"/>
                </w:tcPr>
                <w:p w14:paraId="11B4088B">
                  <w:pPr>
                    <w:pStyle w:val="145"/>
                    <w:rPr>
                      <w:rFonts w:hint="default" w:ascii="Times New Roman" w:hAnsi="Times New Roman" w:cs="Times New Roman"/>
                    </w:rPr>
                  </w:pPr>
                  <w:r>
                    <w:rPr>
                      <w:rFonts w:hint="default" w:ascii="Times New Roman" w:hAnsi="Times New Roman" w:cs="Times New Roman"/>
                    </w:rPr>
                    <w:t>相对方位</w:t>
                  </w:r>
                </w:p>
              </w:tc>
              <w:tc>
                <w:tcPr>
                  <w:tcW w:w="1144" w:type="pct"/>
                  <w:tcBorders>
                    <w:tl2br w:val="nil"/>
                    <w:tr2bl w:val="nil"/>
                  </w:tcBorders>
                  <w:noWrap w:val="0"/>
                  <w:vAlign w:val="center"/>
                </w:tcPr>
                <w:p w14:paraId="555688A5">
                  <w:pPr>
                    <w:pStyle w:val="145"/>
                    <w:rPr>
                      <w:rFonts w:hint="default" w:ascii="Times New Roman" w:hAnsi="Times New Roman" w:cs="Times New Roman"/>
                    </w:rPr>
                  </w:pPr>
                  <w:r>
                    <w:rPr>
                      <w:rFonts w:hint="default" w:ascii="Times New Roman" w:hAnsi="Times New Roman" w:cs="Times New Roman"/>
                    </w:rPr>
                    <w:t>距离</w:t>
                  </w:r>
                </w:p>
              </w:tc>
            </w:tr>
            <w:tr w14:paraId="7DBCF6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6" w:hRule="atLeast"/>
                <w:jc w:val="center"/>
              </w:trPr>
              <w:tc>
                <w:tcPr>
                  <w:tcW w:w="668" w:type="pct"/>
                  <w:tcBorders>
                    <w:tl2br w:val="nil"/>
                    <w:tr2bl w:val="nil"/>
                  </w:tcBorders>
                  <w:noWrap w:val="0"/>
                  <w:vAlign w:val="center"/>
                </w:tcPr>
                <w:p w14:paraId="7B62D6DD">
                  <w:pPr>
                    <w:pStyle w:val="145"/>
                    <w:rPr>
                      <w:rFonts w:hint="default" w:ascii="Times New Roman" w:hAnsi="Times New Roman" w:cs="Times New Roman"/>
                    </w:rPr>
                  </w:pPr>
                  <w:r>
                    <w:rPr>
                      <w:rFonts w:hint="default" w:ascii="Times New Roman" w:hAnsi="Times New Roman" w:cs="Times New Roman"/>
                    </w:rPr>
                    <w:t>N1</w:t>
                  </w:r>
                </w:p>
              </w:tc>
              <w:tc>
                <w:tcPr>
                  <w:tcW w:w="1944" w:type="pct"/>
                  <w:tcBorders>
                    <w:tl2br w:val="nil"/>
                    <w:tr2bl w:val="nil"/>
                  </w:tcBorders>
                  <w:noWrap w:val="0"/>
                  <w:vAlign w:val="center"/>
                </w:tcPr>
                <w:p w14:paraId="0EC8E201">
                  <w:pPr>
                    <w:pStyle w:val="145"/>
                    <w:rPr>
                      <w:rFonts w:hint="default" w:ascii="Times New Roman" w:hAnsi="Times New Roman" w:eastAsia="宋体" w:cs="Times New Roman"/>
                      <w:lang w:eastAsia="zh-CN"/>
                    </w:rPr>
                  </w:pPr>
                  <w:r>
                    <w:rPr>
                      <w:rFonts w:hint="default" w:ascii="Times New Roman" w:hAnsi="Times New Roman" w:cs="Times New Roman"/>
                      <w:lang w:eastAsia="zh-CN"/>
                    </w:rPr>
                    <w:t>管道铺设东侧王家院子居民点</w:t>
                  </w:r>
                </w:p>
              </w:tc>
              <w:tc>
                <w:tcPr>
                  <w:tcW w:w="1242" w:type="pct"/>
                  <w:tcBorders>
                    <w:tl2br w:val="nil"/>
                    <w:tr2bl w:val="nil"/>
                  </w:tcBorders>
                  <w:noWrap w:val="0"/>
                  <w:vAlign w:val="center"/>
                </w:tcPr>
                <w:p w14:paraId="015E2070">
                  <w:pPr>
                    <w:pStyle w:val="145"/>
                    <w:rPr>
                      <w:rFonts w:hint="default" w:ascii="Times New Roman" w:hAnsi="Times New Roman" w:cs="Times New Roman"/>
                    </w:rPr>
                  </w:pPr>
                  <w:r>
                    <w:rPr>
                      <w:rFonts w:hint="default" w:ascii="Times New Roman" w:hAnsi="Times New Roman" w:cs="Times New Roman"/>
                    </w:rPr>
                    <w:t>E</w:t>
                  </w:r>
                </w:p>
              </w:tc>
              <w:tc>
                <w:tcPr>
                  <w:tcW w:w="1144" w:type="pct"/>
                  <w:tcBorders>
                    <w:tl2br w:val="nil"/>
                    <w:tr2bl w:val="nil"/>
                  </w:tcBorders>
                  <w:noWrap w:val="0"/>
                  <w:vAlign w:val="center"/>
                </w:tcPr>
                <w:p w14:paraId="6F6D5979">
                  <w:pPr>
                    <w:pStyle w:val="145"/>
                    <w:rPr>
                      <w:rFonts w:hint="default" w:ascii="Times New Roman" w:hAnsi="Times New Roman" w:cs="Times New Roman"/>
                    </w:rPr>
                  </w:pPr>
                  <w:r>
                    <w:rPr>
                      <w:rFonts w:hint="default" w:ascii="Times New Roman" w:hAnsi="Times New Roman" w:cs="Times New Roman"/>
                      <w:lang w:val="en-US" w:eastAsia="zh-CN"/>
                    </w:rPr>
                    <w:t>10</w:t>
                  </w:r>
                  <w:r>
                    <w:rPr>
                      <w:rFonts w:hint="default" w:ascii="Times New Roman" w:hAnsi="Times New Roman" w:cs="Times New Roman"/>
                    </w:rPr>
                    <w:t>m</w:t>
                  </w:r>
                </w:p>
              </w:tc>
            </w:tr>
            <w:tr w14:paraId="529C98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6" w:hRule="atLeast"/>
                <w:jc w:val="center"/>
              </w:trPr>
              <w:tc>
                <w:tcPr>
                  <w:tcW w:w="668" w:type="pct"/>
                  <w:tcBorders>
                    <w:tl2br w:val="nil"/>
                    <w:tr2bl w:val="nil"/>
                  </w:tcBorders>
                  <w:noWrap w:val="0"/>
                  <w:vAlign w:val="center"/>
                </w:tcPr>
                <w:p w14:paraId="3A2988F9">
                  <w:pPr>
                    <w:pStyle w:val="145"/>
                    <w:rPr>
                      <w:rFonts w:hint="default" w:ascii="Times New Roman" w:hAnsi="Times New Roman" w:cs="Times New Roman"/>
                    </w:rPr>
                  </w:pPr>
                  <w:r>
                    <w:rPr>
                      <w:rFonts w:hint="default" w:ascii="Times New Roman" w:hAnsi="Times New Roman" w:cs="Times New Roman"/>
                    </w:rPr>
                    <w:t>N2</w:t>
                  </w:r>
                </w:p>
              </w:tc>
              <w:tc>
                <w:tcPr>
                  <w:tcW w:w="1944" w:type="pct"/>
                  <w:tcBorders>
                    <w:tl2br w:val="nil"/>
                    <w:tr2bl w:val="nil"/>
                  </w:tcBorders>
                  <w:noWrap w:val="0"/>
                  <w:vAlign w:val="center"/>
                </w:tcPr>
                <w:p w14:paraId="6408D787">
                  <w:pPr>
                    <w:pStyle w:val="145"/>
                    <w:rPr>
                      <w:rFonts w:hint="default" w:ascii="Times New Roman" w:hAnsi="Times New Roman" w:cs="Times New Roman"/>
                    </w:rPr>
                  </w:pPr>
                  <w:r>
                    <w:rPr>
                      <w:rFonts w:hint="default" w:ascii="Times New Roman" w:hAnsi="Times New Roman" w:cs="Times New Roman"/>
                      <w:lang w:eastAsia="zh-CN"/>
                    </w:rPr>
                    <w:t>管道铺设西侧胡家院子居民点</w:t>
                  </w:r>
                </w:p>
              </w:tc>
              <w:tc>
                <w:tcPr>
                  <w:tcW w:w="1242" w:type="pct"/>
                  <w:tcBorders>
                    <w:tl2br w:val="nil"/>
                    <w:tr2bl w:val="nil"/>
                  </w:tcBorders>
                  <w:noWrap w:val="0"/>
                  <w:vAlign w:val="center"/>
                </w:tcPr>
                <w:p w14:paraId="11ED3063">
                  <w:pPr>
                    <w:pStyle w:val="145"/>
                    <w:rPr>
                      <w:rFonts w:hint="default" w:ascii="Times New Roman" w:hAnsi="Times New Roman" w:cs="Times New Roman"/>
                    </w:rPr>
                  </w:pPr>
                  <w:r>
                    <w:rPr>
                      <w:rFonts w:hint="default" w:ascii="Times New Roman" w:hAnsi="Times New Roman" w:cs="Times New Roman"/>
                    </w:rPr>
                    <w:t>S</w:t>
                  </w:r>
                </w:p>
              </w:tc>
              <w:tc>
                <w:tcPr>
                  <w:tcW w:w="1144" w:type="pct"/>
                  <w:tcBorders>
                    <w:tl2br w:val="nil"/>
                    <w:tr2bl w:val="nil"/>
                  </w:tcBorders>
                  <w:noWrap w:val="0"/>
                  <w:vAlign w:val="center"/>
                </w:tcPr>
                <w:p w14:paraId="521396E8">
                  <w:pPr>
                    <w:pStyle w:val="145"/>
                    <w:rPr>
                      <w:rFonts w:hint="default" w:ascii="Times New Roman" w:hAnsi="Times New Roman" w:cs="Times New Roman"/>
                    </w:rPr>
                  </w:pPr>
                  <w:r>
                    <w:rPr>
                      <w:rFonts w:hint="default" w:ascii="Times New Roman" w:hAnsi="Times New Roman" w:cs="Times New Roman"/>
                      <w:lang w:val="en-US" w:eastAsia="zh-CN"/>
                    </w:rPr>
                    <w:t>10</w:t>
                  </w:r>
                  <w:r>
                    <w:rPr>
                      <w:rFonts w:hint="default" w:ascii="Times New Roman" w:hAnsi="Times New Roman" w:cs="Times New Roman"/>
                    </w:rPr>
                    <w:t>m</w:t>
                  </w:r>
                </w:p>
              </w:tc>
            </w:tr>
            <w:tr w14:paraId="1F413F3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26" w:hRule="atLeast"/>
                <w:jc w:val="center"/>
              </w:trPr>
              <w:tc>
                <w:tcPr>
                  <w:tcW w:w="668" w:type="pct"/>
                  <w:tcBorders>
                    <w:tl2br w:val="nil"/>
                    <w:tr2bl w:val="nil"/>
                  </w:tcBorders>
                  <w:noWrap w:val="0"/>
                  <w:vAlign w:val="center"/>
                </w:tcPr>
                <w:p w14:paraId="707F1238">
                  <w:pPr>
                    <w:pStyle w:val="145"/>
                    <w:rPr>
                      <w:rFonts w:hint="default" w:ascii="Times New Roman" w:hAnsi="Times New Roman" w:cs="Times New Roman"/>
                    </w:rPr>
                  </w:pPr>
                  <w:r>
                    <w:rPr>
                      <w:rFonts w:hint="default" w:ascii="Times New Roman" w:hAnsi="Times New Roman" w:cs="Times New Roman"/>
                    </w:rPr>
                    <w:t>N3</w:t>
                  </w:r>
                </w:p>
              </w:tc>
              <w:tc>
                <w:tcPr>
                  <w:tcW w:w="1944" w:type="pct"/>
                  <w:tcBorders>
                    <w:tl2br w:val="nil"/>
                    <w:tr2bl w:val="nil"/>
                  </w:tcBorders>
                  <w:noWrap w:val="0"/>
                  <w:vAlign w:val="center"/>
                </w:tcPr>
                <w:p w14:paraId="274722E6">
                  <w:pPr>
                    <w:pStyle w:val="145"/>
                    <w:rPr>
                      <w:rFonts w:hint="default" w:ascii="Times New Roman" w:hAnsi="Times New Roman" w:cs="Times New Roman"/>
                    </w:rPr>
                  </w:pPr>
                  <w:r>
                    <w:rPr>
                      <w:rFonts w:hint="default" w:ascii="Times New Roman" w:hAnsi="Times New Roman" w:cs="Times New Roman"/>
                      <w:lang w:eastAsia="zh-CN"/>
                    </w:rPr>
                    <w:t>管道铺设东侧刘家院子居民点</w:t>
                  </w:r>
                </w:p>
              </w:tc>
              <w:tc>
                <w:tcPr>
                  <w:tcW w:w="1242" w:type="pct"/>
                  <w:tcBorders>
                    <w:tl2br w:val="nil"/>
                    <w:tr2bl w:val="nil"/>
                  </w:tcBorders>
                  <w:noWrap w:val="0"/>
                  <w:vAlign w:val="center"/>
                </w:tcPr>
                <w:p w14:paraId="1B8C162E">
                  <w:pPr>
                    <w:pStyle w:val="145"/>
                    <w:rPr>
                      <w:rFonts w:hint="default" w:ascii="Times New Roman" w:hAnsi="Times New Roman" w:eastAsia="宋体" w:cs="Times New Roman"/>
                      <w:lang w:eastAsia="zh-CN"/>
                    </w:rPr>
                  </w:pPr>
                  <w:r>
                    <w:rPr>
                      <w:rFonts w:hint="default" w:ascii="Times New Roman" w:hAnsi="Times New Roman" w:cs="Times New Roman"/>
                      <w:lang w:val="en-US" w:eastAsia="zh-CN"/>
                    </w:rPr>
                    <w:t>E</w:t>
                  </w:r>
                </w:p>
              </w:tc>
              <w:tc>
                <w:tcPr>
                  <w:tcW w:w="1144" w:type="pct"/>
                  <w:tcBorders>
                    <w:tl2br w:val="nil"/>
                    <w:tr2bl w:val="nil"/>
                  </w:tcBorders>
                  <w:noWrap w:val="0"/>
                  <w:vAlign w:val="center"/>
                </w:tcPr>
                <w:p w14:paraId="1DD1AFCA">
                  <w:pPr>
                    <w:pStyle w:val="145"/>
                    <w:rPr>
                      <w:rFonts w:hint="default" w:ascii="Times New Roman" w:hAnsi="Times New Roman" w:cs="Times New Roman"/>
                    </w:rPr>
                  </w:pPr>
                  <w:r>
                    <w:rPr>
                      <w:rFonts w:hint="default" w:ascii="Times New Roman" w:hAnsi="Times New Roman" w:cs="Times New Roman"/>
                      <w:lang w:val="en-US" w:eastAsia="zh-CN"/>
                    </w:rPr>
                    <w:t>10</w:t>
                  </w:r>
                  <w:r>
                    <w:rPr>
                      <w:rFonts w:hint="default" w:ascii="Times New Roman" w:hAnsi="Times New Roman" w:cs="Times New Roman"/>
                    </w:rPr>
                    <w:t>m</w:t>
                  </w:r>
                </w:p>
              </w:tc>
            </w:tr>
            <w:tr w14:paraId="15FFD8E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45" w:hRule="atLeast"/>
                <w:jc w:val="center"/>
              </w:trPr>
              <w:tc>
                <w:tcPr>
                  <w:tcW w:w="668" w:type="pct"/>
                  <w:tcBorders>
                    <w:tl2br w:val="nil"/>
                    <w:tr2bl w:val="nil"/>
                  </w:tcBorders>
                  <w:noWrap w:val="0"/>
                  <w:vAlign w:val="center"/>
                </w:tcPr>
                <w:p w14:paraId="40024837">
                  <w:pPr>
                    <w:pStyle w:val="145"/>
                    <w:rPr>
                      <w:rFonts w:hint="default" w:ascii="Times New Roman" w:hAnsi="Times New Roman" w:eastAsia="宋体" w:cs="Times New Roman"/>
                      <w:lang w:val="en-US" w:eastAsia="zh-CN"/>
                    </w:rPr>
                  </w:pPr>
                  <w:r>
                    <w:rPr>
                      <w:rFonts w:hint="default" w:ascii="Times New Roman" w:hAnsi="Times New Roman" w:cs="Times New Roman"/>
                      <w:lang w:val="en-US" w:eastAsia="zh-CN"/>
                    </w:rPr>
                    <w:t>N4</w:t>
                  </w:r>
                </w:p>
              </w:tc>
              <w:tc>
                <w:tcPr>
                  <w:tcW w:w="1944" w:type="pct"/>
                  <w:tcBorders>
                    <w:tl2br w:val="nil"/>
                    <w:tr2bl w:val="nil"/>
                  </w:tcBorders>
                  <w:noWrap w:val="0"/>
                  <w:vAlign w:val="center"/>
                </w:tcPr>
                <w:p w14:paraId="2B54A34B">
                  <w:pPr>
                    <w:pStyle w:val="145"/>
                    <w:rPr>
                      <w:rFonts w:hint="default" w:ascii="Times New Roman" w:hAnsi="Times New Roman" w:cs="Times New Roman"/>
                      <w:lang w:eastAsia="zh-CN"/>
                    </w:rPr>
                  </w:pPr>
                  <w:r>
                    <w:rPr>
                      <w:rFonts w:hint="default" w:ascii="Times New Roman" w:hAnsi="Times New Roman" w:cs="Times New Roman"/>
                      <w:lang w:eastAsia="zh-CN"/>
                    </w:rPr>
                    <w:t>管道铺设东侧白坪村居民点</w:t>
                  </w:r>
                </w:p>
              </w:tc>
              <w:tc>
                <w:tcPr>
                  <w:tcW w:w="1242" w:type="pct"/>
                  <w:tcBorders>
                    <w:tl2br w:val="nil"/>
                    <w:tr2bl w:val="nil"/>
                  </w:tcBorders>
                  <w:noWrap w:val="0"/>
                  <w:vAlign w:val="center"/>
                </w:tcPr>
                <w:p w14:paraId="184A9975">
                  <w:pPr>
                    <w:pStyle w:val="145"/>
                    <w:rPr>
                      <w:rFonts w:hint="default" w:ascii="Times New Roman" w:hAnsi="Times New Roman" w:cs="Times New Roman"/>
                      <w:lang w:val="en-US" w:eastAsia="zh-CN"/>
                    </w:rPr>
                  </w:pPr>
                  <w:r>
                    <w:rPr>
                      <w:rFonts w:hint="default" w:ascii="Times New Roman" w:hAnsi="Times New Roman" w:cs="Times New Roman"/>
                      <w:lang w:val="en-US" w:eastAsia="zh-CN"/>
                    </w:rPr>
                    <w:t>E</w:t>
                  </w:r>
                </w:p>
              </w:tc>
              <w:tc>
                <w:tcPr>
                  <w:tcW w:w="1144" w:type="pct"/>
                  <w:tcBorders>
                    <w:tl2br w:val="nil"/>
                    <w:tr2bl w:val="nil"/>
                  </w:tcBorders>
                  <w:noWrap w:val="0"/>
                  <w:vAlign w:val="center"/>
                </w:tcPr>
                <w:p w14:paraId="09AB2757">
                  <w:pPr>
                    <w:pStyle w:val="145"/>
                    <w:rPr>
                      <w:rFonts w:hint="default" w:ascii="Times New Roman" w:hAnsi="Times New Roman" w:cs="Times New Roman"/>
                      <w:lang w:val="en-US" w:eastAsia="zh-CN"/>
                    </w:rPr>
                  </w:pPr>
                  <w:r>
                    <w:rPr>
                      <w:rFonts w:hint="default" w:ascii="Times New Roman" w:hAnsi="Times New Roman" w:cs="Times New Roman"/>
                      <w:lang w:val="en-US" w:eastAsia="zh-CN"/>
                    </w:rPr>
                    <w:t>20</w:t>
                  </w:r>
                  <w:r>
                    <w:rPr>
                      <w:rFonts w:hint="default" w:ascii="Times New Roman" w:hAnsi="Times New Roman" w:cs="Times New Roman"/>
                    </w:rPr>
                    <w:t>m</w:t>
                  </w:r>
                </w:p>
              </w:tc>
            </w:tr>
          </w:tbl>
          <w:p w14:paraId="03459F7E">
            <w:pPr>
              <w:pStyle w:val="87"/>
              <w:spacing w:line="360" w:lineRule="auto"/>
              <w:jc w:val="center"/>
              <w:rPr>
                <w:rFonts w:hint="eastAsia" w:hAnsi="Times New Roman" w:cs="Times New Roman"/>
                <w:bCs/>
                <w:color w:val="auto"/>
                <w:sz w:val="24"/>
                <w:u w:val="none"/>
                <w:lang w:eastAsia="zh-CN"/>
              </w:rPr>
            </w:pPr>
            <w:r>
              <w:rPr>
                <w:rFonts w:hint="eastAsia" w:hAnsi="Times New Roman" w:cs="Times New Roman"/>
                <w:bCs/>
                <w:color w:val="auto"/>
                <w:sz w:val="24"/>
                <w:u w:val="none"/>
                <w:lang w:eastAsia="zh-CN"/>
              </w:rPr>
              <w:t>表3-</w:t>
            </w:r>
            <w:r>
              <w:rPr>
                <w:rFonts w:hint="eastAsia" w:hAnsi="Times New Roman" w:cs="Times New Roman"/>
                <w:bCs/>
                <w:color w:val="auto"/>
                <w:sz w:val="24"/>
                <w:u w:val="none"/>
                <w:lang w:val="en-US" w:eastAsia="zh-CN"/>
              </w:rPr>
              <w:t>4</w:t>
            </w:r>
            <w:r>
              <w:rPr>
                <w:rFonts w:hint="eastAsia" w:hAnsi="Times New Roman" w:cs="Times New Roman"/>
                <w:bCs/>
                <w:color w:val="auto"/>
                <w:sz w:val="24"/>
                <w:u w:val="none"/>
                <w:lang w:eastAsia="zh-CN"/>
              </w:rPr>
              <w:t xml:space="preserve"> 声环境监测结果</w:t>
            </w:r>
          </w:p>
          <w:tbl>
            <w:tblPr>
              <w:tblStyle w:val="32"/>
              <w:tblW w:w="484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3"/>
              <w:gridCol w:w="975"/>
              <w:gridCol w:w="870"/>
              <w:gridCol w:w="945"/>
              <w:gridCol w:w="960"/>
              <w:gridCol w:w="1080"/>
              <w:gridCol w:w="2163"/>
            </w:tblGrid>
            <w:tr w14:paraId="0A063E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3" w:type="dxa"/>
                  <w:vMerge w:val="restart"/>
                  <w:tcBorders>
                    <w:tl2br w:val="nil"/>
                    <w:tr2bl w:val="nil"/>
                  </w:tcBorders>
                  <w:vAlign w:val="center"/>
                </w:tcPr>
                <w:p w14:paraId="3BBA1C3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监测点</w:t>
                  </w:r>
                </w:p>
              </w:tc>
              <w:tc>
                <w:tcPr>
                  <w:tcW w:w="1845" w:type="dxa"/>
                  <w:gridSpan w:val="2"/>
                  <w:tcBorders>
                    <w:tl2br w:val="nil"/>
                    <w:tr2bl w:val="nil"/>
                  </w:tcBorders>
                  <w:vAlign w:val="center"/>
                </w:tcPr>
                <w:p w14:paraId="4643907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202</w:t>
                  </w:r>
                  <w:r>
                    <w:rPr>
                      <w:rFonts w:hint="eastAsia" w:ascii="Times New Roman" w:hAnsi="Times New Roman" w:eastAsia="宋体" w:cs="Times New Roman"/>
                      <w:i w:val="0"/>
                      <w:iCs w:val="0"/>
                      <w:color w:val="000000"/>
                      <w:kern w:val="0"/>
                      <w:sz w:val="21"/>
                      <w:szCs w:val="21"/>
                      <w:u w:val="none"/>
                      <w:lang w:val="en-US" w:eastAsia="zh-CN" w:bidi="ar"/>
                    </w:rPr>
                    <w:t>4</w:t>
                  </w:r>
                  <w:r>
                    <w:rPr>
                      <w:rFonts w:hint="default" w:ascii="Times New Roman" w:hAnsi="Times New Roman" w:eastAsia="宋体" w:cs="Times New Roman"/>
                      <w:i w:val="0"/>
                      <w:iCs w:val="0"/>
                      <w:color w:val="000000"/>
                      <w:kern w:val="0"/>
                      <w:sz w:val="21"/>
                      <w:szCs w:val="21"/>
                      <w:u w:val="none"/>
                      <w:lang w:val="en-US" w:eastAsia="zh-CN" w:bidi="ar"/>
                    </w:rPr>
                    <w:t>年</w:t>
                  </w:r>
                  <w:r>
                    <w:rPr>
                      <w:rFonts w:hint="eastAsia" w:ascii="Times New Roman" w:hAnsi="Times New Roman" w:eastAsia="宋体" w:cs="Times New Roman"/>
                      <w:i w:val="0"/>
                      <w:iCs w:val="0"/>
                      <w:color w:val="000000"/>
                      <w:kern w:val="0"/>
                      <w:sz w:val="21"/>
                      <w:szCs w:val="21"/>
                      <w:u w:val="none"/>
                      <w:lang w:val="en-US" w:eastAsia="zh-CN" w:bidi="ar"/>
                    </w:rPr>
                    <w:t>7</w:t>
                  </w:r>
                  <w:r>
                    <w:rPr>
                      <w:rFonts w:hint="default" w:ascii="Times New Roman" w:hAnsi="Times New Roman" w:eastAsia="宋体" w:cs="Times New Roman"/>
                      <w:i w:val="0"/>
                      <w:iCs w:val="0"/>
                      <w:color w:val="000000"/>
                      <w:kern w:val="0"/>
                      <w:sz w:val="21"/>
                      <w:szCs w:val="21"/>
                      <w:u w:val="none"/>
                      <w:lang w:val="en-US" w:eastAsia="zh-CN" w:bidi="ar"/>
                    </w:rPr>
                    <w:t>月</w:t>
                  </w:r>
                  <w:r>
                    <w:rPr>
                      <w:rFonts w:hint="eastAsia" w:ascii="Times New Roman" w:hAnsi="Times New Roman" w:eastAsia="宋体" w:cs="Times New Roman"/>
                      <w:i w:val="0"/>
                      <w:iCs w:val="0"/>
                      <w:color w:val="000000"/>
                      <w:kern w:val="0"/>
                      <w:sz w:val="21"/>
                      <w:szCs w:val="21"/>
                      <w:u w:val="none"/>
                      <w:lang w:val="en-US" w:eastAsia="zh-CN" w:bidi="ar"/>
                    </w:rPr>
                    <w:t>24</w:t>
                  </w:r>
                  <w:r>
                    <w:rPr>
                      <w:rFonts w:hint="default" w:ascii="Times New Roman" w:hAnsi="Times New Roman" w:eastAsia="宋体" w:cs="Times New Roman"/>
                      <w:i w:val="0"/>
                      <w:iCs w:val="0"/>
                      <w:color w:val="000000"/>
                      <w:kern w:val="0"/>
                      <w:sz w:val="21"/>
                      <w:szCs w:val="21"/>
                      <w:u w:val="none"/>
                      <w:lang w:val="en-US" w:eastAsia="zh-CN" w:bidi="ar"/>
                    </w:rPr>
                    <w:t>日</w:t>
                  </w:r>
                </w:p>
              </w:tc>
              <w:tc>
                <w:tcPr>
                  <w:tcW w:w="1905" w:type="dxa"/>
                  <w:gridSpan w:val="2"/>
                  <w:tcBorders>
                    <w:tl2br w:val="nil"/>
                    <w:tr2bl w:val="nil"/>
                  </w:tcBorders>
                  <w:vAlign w:val="center"/>
                </w:tcPr>
                <w:p w14:paraId="4CCE1BF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202</w:t>
                  </w:r>
                  <w:r>
                    <w:rPr>
                      <w:rFonts w:hint="eastAsia" w:ascii="Times New Roman" w:hAnsi="Times New Roman" w:eastAsia="宋体" w:cs="Times New Roman"/>
                      <w:i w:val="0"/>
                      <w:iCs w:val="0"/>
                      <w:color w:val="000000"/>
                      <w:kern w:val="0"/>
                      <w:sz w:val="21"/>
                      <w:szCs w:val="21"/>
                      <w:u w:val="none"/>
                      <w:lang w:val="en-US" w:eastAsia="zh-CN" w:bidi="ar"/>
                    </w:rPr>
                    <w:t>4</w:t>
                  </w:r>
                  <w:r>
                    <w:rPr>
                      <w:rFonts w:hint="default" w:ascii="Times New Roman" w:hAnsi="Times New Roman" w:eastAsia="宋体" w:cs="Times New Roman"/>
                      <w:i w:val="0"/>
                      <w:iCs w:val="0"/>
                      <w:color w:val="000000"/>
                      <w:kern w:val="0"/>
                      <w:sz w:val="21"/>
                      <w:szCs w:val="21"/>
                      <w:u w:val="none"/>
                      <w:lang w:val="en-US" w:eastAsia="zh-CN" w:bidi="ar"/>
                    </w:rPr>
                    <w:t>年</w:t>
                  </w:r>
                  <w:r>
                    <w:rPr>
                      <w:rFonts w:hint="eastAsia" w:ascii="Times New Roman" w:hAnsi="Times New Roman" w:eastAsia="宋体" w:cs="Times New Roman"/>
                      <w:i w:val="0"/>
                      <w:iCs w:val="0"/>
                      <w:color w:val="000000"/>
                      <w:kern w:val="0"/>
                      <w:sz w:val="21"/>
                      <w:szCs w:val="21"/>
                      <w:u w:val="none"/>
                      <w:lang w:val="en-US" w:eastAsia="zh-CN" w:bidi="ar"/>
                    </w:rPr>
                    <w:t>7</w:t>
                  </w:r>
                  <w:r>
                    <w:rPr>
                      <w:rFonts w:hint="default" w:ascii="Times New Roman" w:hAnsi="Times New Roman" w:eastAsia="宋体" w:cs="Times New Roman"/>
                      <w:i w:val="0"/>
                      <w:iCs w:val="0"/>
                      <w:color w:val="000000"/>
                      <w:kern w:val="0"/>
                      <w:sz w:val="21"/>
                      <w:szCs w:val="21"/>
                      <w:u w:val="none"/>
                      <w:lang w:val="en-US" w:eastAsia="zh-CN" w:bidi="ar"/>
                    </w:rPr>
                    <w:t>月</w:t>
                  </w:r>
                  <w:r>
                    <w:rPr>
                      <w:rFonts w:hint="eastAsia" w:ascii="Times New Roman" w:hAnsi="Times New Roman" w:eastAsia="宋体" w:cs="Times New Roman"/>
                      <w:i w:val="0"/>
                      <w:iCs w:val="0"/>
                      <w:color w:val="000000"/>
                      <w:kern w:val="0"/>
                      <w:sz w:val="21"/>
                      <w:szCs w:val="21"/>
                      <w:u w:val="none"/>
                      <w:lang w:val="en-US" w:eastAsia="zh-CN" w:bidi="ar"/>
                    </w:rPr>
                    <w:t>25</w:t>
                  </w:r>
                  <w:r>
                    <w:rPr>
                      <w:rFonts w:hint="default" w:ascii="Times New Roman" w:hAnsi="Times New Roman" w:eastAsia="宋体" w:cs="Times New Roman"/>
                      <w:i w:val="0"/>
                      <w:iCs w:val="0"/>
                      <w:color w:val="000000"/>
                      <w:kern w:val="0"/>
                      <w:sz w:val="21"/>
                      <w:szCs w:val="21"/>
                      <w:u w:val="none"/>
                      <w:lang w:val="en-US" w:eastAsia="zh-CN" w:bidi="ar"/>
                    </w:rPr>
                    <w:t>日</w:t>
                  </w:r>
                </w:p>
              </w:tc>
              <w:tc>
                <w:tcPr>
                  <w:tcW w:w="1080" w:type="dxa"/>
                  <w:vMerge w:val="restart"/>
                  <w:tcBorders>
                    <w:tl2br w:val="nil"/>
                    <w:tr2bl w:val="nil"/>
                  </w:tcBorders>
                  <w:vAlign w:val="center"/>
                </w:tcPr>
                <w:p w14:paraId="6966A6B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评价结果</w:t>
                  </w:r>
                </w:p>
              </w:tc>
              <w:tc>
                <w:tcPr>
                  <w:tcW w:w="2163" w:type="dxa"/>
                  <w:vMerge w:val="restart"/>
                  <w:tcBorders>
                    <w:tl2br w:val="nil"/>
                    <w:tr2bl w:val="nil"/>
                  </w:tcBorders>
                  <w:vAlign w:val="center"/>
                </w:tcPr>
                <w:p w14:paraId="5E33C27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执行标准</w:t>
                  </w:r>
                </w:p>
              </w:tc>
            </w:tr>
            <w:tr w14:paraId="06E1D8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3" w:type="dxa"/>
                  <w:vMerge w:val="continue"/>
                  <w:tcBorders>
                    <w:tl2br w:val="nil"/>
                    <w:tr2bl w:val="nil"/>
                  </w:tcBorders>
                  <w:vAlign w:val="center"/>
                </w:tcPr>
                <w:p w14:paraId="608E87B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975" w:type="dxa"/>
                  <w:tcBorders>
                    <w:tl2br w:val="nil"/>
                    <w:tr2bl w:val="nil"/>
                  </w:tcBorders>
                  <w:vAlign w:val="center"/>
                </w:tcPr>
                <w:p w14:paraId="092BFC6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昼间</w:t>
                  </w:r>
                </w:p>
              </w:tc>
              <w:tc>
                <w:tcPr>
                  <w:tcW w:w="870" w:type="dxa"/>
                  <w:tcBorders>
                    <w:tl2br w:val="nil"/>
                    <w:tr2bl w:val="nil"/>
                  </w:tcBorders>
                  <w:vAlign w:val="center"/>
                </w:tcPr>
                <w:p w14:paraId="5DDC574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夜间</w:t>
                  </w:r>
                </w:p>
              </w:tc>
              <w:tc>
                <w:tcPr>
                  <w:tcW w:w="945" w:type="dxa"/>
                  <w:tcBorders>
                    <w:tl2br w:val="nil"/>
                    <w:tr2bl w:val="nil"/>
                  </w:tcBorders>
                  <w:vAlign w:val="center"/>
                </w:tcPr>
                <w:p w14:paraId="5481FA0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昼间</w:t>
                  </w:r>
                </w:p>
              </w:tc>
              <w:tc>
                <w:tcPr>
                  <w:tcW w:w="960" w:type="dxa"/>
                  <w:tcBorders>
                    <w:tl2br w:val="nil"/>
                    <w:tr2bl w:val="nil"/>
                  </w:tcBorders>
                  <w:vAlign w:val="center"/>
                </w:tcPr>
                <w:p w14:paraId="7AD36EC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夜间</w:t>
                  </w:r>
                </w:p>
              </w:tc>
              <w:tc>
                <w:tcPr>
                  <w:tcW w:w="1080" w:type="dxa"/>
                  <w:vMerge w:val="continue"/>
                  <w:tcBorders>
                    <w:tl2br w:val="nil"/>
                    <w:tr2bl w:val="nil"/>
                  </w:tcBorders>
                  <w:vAlign w:val="center"/>
                </w:tcPr>
                <w:p w14:paraId="2BBAFCB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c>
                <w:tcPr>
                  <w:tcW w:w="2163" w:type="dxa"/>
                  <w:vMerge w:val="continue"/>
                  <w:tcBorders>
                    <w:tl2br w:val="nil"/>
                    <w:tr2bl w:val="nil"/>
                  </w:tcBorders>
                  <w:vAlign w:val="center"/>
                </w:tcPr>
                <w:p w14:paraId="0B6293F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14:paraId="73AF4E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3" w:type="dxa"/>
                  <w:tcBorders>
                    <w:tl2br w:val="nil"/>
                    <w:tr2bl w:val="nil"/>
                  </w:tcBorders>
                  <w:vAlign w:val="center"/>
                </w:tcPr>
                <w:p w14:paraId="645A543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N1</w:t>
                  </w:r>
                </w:p>
              </w:tc>
              <w:tc>
                <w:tcPr>
                  <w:tcW w:w="975" w:type="dxa"/>
                  <w:tcBorders>
                    <w:tl2br w:val="nil"/>
                    <w:tr2bl w:val="nil"/>
                  </w:tcBorders>
                  <w:vAlign w:val="center"/>
                </w:tcPr>
                <w:p w14:paraId="034B7BA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53</w:t>
                  </w:r>
                </w:p>
              </w:tc>
              <w:tc>
                <w:tcPr>
                  <w:tcW w:w="870" w:type="dxa"/>
                  <w:tcBorders>
                    <w:tl2br w:val="nil"/>
                    <w:tr2bl w:val="nil"/>
                  </w:tcBorders>
                  <w:vAlign w:val="center"/>
                </w:tcPr>
                <w:p w14:paraId="04A6BD3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40</w:t>
                  </w:r>
                </w:p>
              </w:tc>
              <w:tc>
                <w:tcPr>
                  <w:tcW w:w="945" w:type="dxa"/>
                  <w:tcBorders>
                    <w:tl2br w:val="nil"/>
                    <w:tr2bl w:val="nil"/>
                  </w:tcBorders>
                  <w:vAlign w:val="center"/>
                </w:tcPr>
                <w:p w14:paraId="438C8F1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54</w:t>
                  </w:r>
                </w:p>
              </w:tc>
              <w:tc>
                <w:tcPr>
                  <w:tcW w:w="960" w:type="dxa"/>
                  <w:tcBorders>
                    <w:tl2br w:val="nil"/>
                    <w:tr2bl w:val="nil"/>
                  </w:tcBorders>
                  <w:vAlign w:val="center"/>
                </w:tcPr>
                <w:p w14:paraId="667591C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42</w:t>
                  </w:r>
                </w:p>
              </w:tc>
              <w:tc>
                <w:tcPr>
                  <w:tcW w:w="1080" w:type="dxa"/>
                  <w:tcBorders>
                    <w:tl2br w:val="nil"/>
                    <w:tr2bl w:val="nil"/>
                  </w:tcBorders>
                  <w:vAlign w:val="center"/>
                </w:tcPr>
                <w:p w14:paraId="6EA1F44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达标</w:t>
                  </w:r>
                </w:p>
              </w:tc>
              <w:tc>
                <w:tcPr>
                  <w:tcW w:w="2163" w:type="dxa"/>
                  <w:vMerge w:val="restart"/>
                  <w:tcBorders>
                    <w:tl2br w:val="nil"/>
                    <w:tr2bl w:val="nil"/>
                  </w:tcBorders>
                  <w:vAlign w:val="center"/>
                </w:tcPr>
                <w:p w14:paraId="108E19E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《声环境质量标准》（GB3096-2008）中的2类标准，昼间≤60dB（A），夜间≤50dB（A）</w:t>
                  </w:r>
                </w:p>
              </w:tc>
            </w:tr>
            <w:tr w14:paraId="5DAC88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3" w:type="dxa"/>
                  <w:tcBorders>
                    <w:tl2br w:val="nil"/>
                    <w:tr2bl w:val="nil"/>
                  </w:tcBorders>
                  <w:vAlign w:val="center"/>
                </w:tcPr>
                <w:p w14:paraId="38DFDE4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N2</w:t>
                  </w:r>
                </w:p>
              </w:tc>
              <w:tc>
                <w:tcPr>
                  <w:tcW w:w="975" w:type="dxa"/>
                  <w:tcBorders>
                    <w:tl2br w:val="nil"/>
                    <w:tr2bl w:val="nil"/>
                  </w:tcBorders>
                  <w:vAlign w:val="center"/>
                </w:tcPr>
                <w:p w14:paraId="705B88F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52</w:t>
                  </w:r>
                </w:p>
              </w:tc>
              <w:tc>
                <w:tcPr>
                  <w:tcW w:w="870" w:type="dxa"/>
                  <w:tcBorders>
                    <w:tl2br w:val="nil"/>
                    <w:tr2bl w:val="nil"/>
                  </w:tcBorders>
                  <w:vAlign w:val="center"/>
                </w:tcPr>
                <w:p w14:paraId="281F333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41</w:t>
                  </w:r>
                </w:p>
              </w:tc>
              <w:tc>
                <w:tcPr>
                  <w:tcW w:w="945" w:type="dxa"/>
                  <w:tcBorders>
                    <w:tl2br w:val="nil"/>
                    <w:tr2bl w:val="nil"/>
                  </w:tcBorders>
                  <w:vAlign w:val="center"/>
                </w:tcPr>
                <w:p w14:paraId="114331A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53</w:t>
                  </w:r>
                </w:p>
              </w:tc>
              <w:tc>
                <w:tcPr>
                  <w:tcW w:w="960" w:type="dxa"/>
                  <w:tcBorders>
                    <w:tl2br w:val="nil"/>
                    <w:tr2bl w:val="nil"/>
                  </w:tcBorders>
                  <w:vAlign w:val="center"/>
                </w:tcPr>
                <w:p w14:paraId="14F0A3B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40</w:t>
                  </w:r>
                </w:p>
              </w:tc>
              <w:tc>
                <w:tcPr>
                  <w:tcW w:w="1080" w:type="dxa"/>
                  <w:tcBorders>
                    <w:tl2br w:val="nil"/>
                    <w:tr2bl w:val="nil"/>
                  </w:tcBorders>
                  <w:vAlign w:val="center"/>
                </w:tcPr>
                <w:p w14:paraId="38B327A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达标</w:t>
                  </w:r>
                </w:p>
              </w:tc>
              <w:tc>
                <w:tcPr>
                  <w:tcW w:w="2163" w:type="dxa"/>
                  <w:vMerge w:val="continue"/>
                  <w:tcBorders>
                    <w:tl2br w:val="nil"/>
                    <w:tr2bl w:val="nil"/>
                  </w:tcBorders>
                  <w:vAlign w:val="center"/>
                </w:tcPr>
                <w:p w14:paraId="5CADFD8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14:paraId="4BC468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3" w:type="dxa"/>
                  <w:tcBorders>
                    <w:tl2br w:val="nil"/>
                    <w:tr2bl w:val="nil"/>
                  </w:tcBorders>
                  <w:vAlign w:val="center"/>
                </w:tcPr>
                <w:p w14:paraId="7A797FD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N3</w:t>
                  </w:r>
                </w:p>
              </w:tc>
              <w:tc>
                <w:tcPr>
                  <w:tcW w:w="975" w:type="dxa"/>
                  <w:tcBorders>
                    <w:tl2br w:val="nil"/>
                    <w:tr2bl w:val="nil"/>
                  </w:tcBorders>
                  <w:vAlign w:val="center"/>
                </w:tcPr>
                <w:p w14:paraId="4F269EB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52</w:t>
                  </w:r>
                </w:p>
              </w:tc>
              <w:tc>
                <w:tcPr>
                  <w:tcW w:w="870" w:type="dxa"/>
                  <w:tcBorders>
                    <w:tl2br w:val="nil"/>
                    <w:tr2bl w:val="nil"/>
                  </w:tcBorders>
                  <w:vAlign w:val="center"/>
                </w:tcPr>
                <w:p w14:paraId="678776C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40</w:t>
                  </w:r>
                </w:p>
              </w:tc>
              <w:tc>
                <w:tcPr>
                  <w:tcW w:w="945" w:type="dxa"/>
                  <w:tcBorders>
                    <w:tl2br w:val="nil"/>
                    <w:tr2bl w:val="nil"/>
                  </w:tcBorders>
                  <w:vAlign w:val="center"/>
                </w:tcPr>
                <w:p w14:paraId="75F8E87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52</w:t>
                  </w:r>
                </w:p>
              </w:tc>
              <w:tc>
                <w:tcPr>
                  <w:tcW w:w="960" w:type="dxa"/>
                  <w:tcBorders>
                    <w:tl2br w:val="nil"/>
                    <w:tr2bl w:val="nil"/>
                  </w:tcBorders>
                  <w:vAlign w:val="center"/>
                </w:tcPr>
                <w:p w14:paraId="369431D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40</w:t>
                  </w:r>
                </w:p>
              </w:tc>
              <w:tc>
                <w:tcPr>
                  <w:tcW w:w="1080" w:type="dxa"/>
                  <w:tcBorders>
                    <w:tl2br w:val="nil"/>
                    <w:tr2bl w:val="nil"/>
                  </w:tcBorders>
                  <w:vAlign w:val="center"/>
                </w:tcPr>
                <w:p w14:paraId="25A8DBF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达标</w:t>
                  </w:r>
                </w:p>
              </w:tc>
              <w:tc>
                <w:tcPr>
                  <w:tcW w:w="2163" w:type="dxa"/>
                  <w:vMerge w:val="continue"/>
                  <w:tcBorders>
                    <w:tl2br w:val="nil"/>
                    <w:tr2bl w:val="nil"/>
                  </w:tcBorders>
                  <w:vAlign w:val="center"/>
                </w:tcPr>
                <w:p w14:paraId="66A9565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14:paraId="79054A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13" w:type="dxa"/>
                  <w:tcBorders>
                    <w:tl2br w:val="nil"/>
                    <w:tr2bl w:val="nil"/>
                  </w:tcBorders>
                  <w:vAlign w:val="center"/>
                </w:tcPr>
                <w:p w14:paraId="3AFAC77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N4</w:t>
                  </w:r>
                </w:p>
              </w:tc>
              <w:tc>
                <w:tcPr>
                  <w:tcW w:w="975" w:type="dxa"/>
                  <w:tcBorders>
                    <w:tl2br w:val="nil"/>
                    <w:tr2bl w:val="nil"/>
                  </w:tcBorders>
                  <w:vAlign w:val="center"/>
                </w:tcPr>
                <w:p w14:paraId="542C8AF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54</w:t>
                  </w:r>
                </w:p>
              </w:tc>
              <w:tc>
                <w:tcPr>
                  <w:tcW w:w="870" w:type="dxa"/>
                  <w:tcBorders>
                    <w:tl2br w:val="nil"/>
                    <w:tr2bl w:val="nil"/>
                  </w:tcBorders>
                  <w:vAlign w:val="center"/>
                </w:tcPr>
                <w:p w14:paraId="6CA6C5C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39</w:t>
                  </w:r>
                </w:p>
              </w:tc>
              <w:tc>
                <w:tcPr>
                  <w:tcW w:w="945" w:type="dxa"/>
                  <w:tcBorders>
                    <w:tl2br w:val="nil"/>
                    <w:tr2bl w:val="nil"/>
                  </w:tcBorders>
                  <w:vAlign w:val="center"/>
                </w:tcPr>
                <w:p w14:paraId="0A87A62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53</w:t>
                  </w:r>
                </w:p>
              </w:tc>
              <w:tc>
                <w:tcPr>
                  <w:tcW w:w="960" w:type="dxa"/>
                  <w:tcBorders>
                    <w:tl2br w:val="nil"/>
                    <w:tr2bl w:val="nil"/>
                  </w:tcBorders>
                  <w:vAlign w:val="center"/>
                </w:tcPr>
                <w:p w14:paraId="6B9A755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41</w:t>
                  </w:r>
                </w:p>
              </w:tc>
              <w:tc>
                <w:tcPr>
                  <w:tcW w:w="1080" w:type="dxa"/>
                  <w:tcBorders>
                    <w:tl2br w:val="nil"/>
                    <w:tr2bl w:val="nil"/>
                  </w:tcBorders>
                  <w:vAlign w:val="center"/>
                </w:tcPr>
                <w:p w14:paraId="547558E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达标</w:t>
                  </w:r>
                </w:p>
              </w:tc>
              <w:tc>
                <w:tcPr>
                  <w:tcW w:w="2163" w:type="dxa"/>
                  <w:vMerge w:val="continue"/>
                  <w:tcBorders>
                    <w:tl2br w:val="nil"/>
                    <w:tr2bl w:val="nil"/>
                  </w:tcBorders>
                  <w:vAlign w:val="center"/>
                </w:tcPr>
                <w:p w14:paraId="60A528F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bl>
          <w:p w14:paraId="7F93C890">
            <w:pPr>
              <w:pStyle w:val="87"/>
              <w:spacing w:line="360" w:lineRule="auto"/>
              <w:jc w:val="left"/>
              <w:rPr>
                <w:rFonts w:hint="eastAsia" w:hAnsi="Times New Roman" w:cs="Times New Roman"/>
                <w:bCs/>
                <w:color w:val="auto"/>
                <w:sz w:val="24"/>
                <w:u w:val="none"/>
                <w:lang w:eastAsia="zh-CN"/>
              </w:rPr>
            </w:pPr>
            <w:r>
              <w:rPr>
                <w:rFonts w:hint="eastAsia" w:hAnsi="Times New Roman" w:cs="Times New Roman"/>
                <w:bCs/>
                <w:color w:val="auto"/>
                <w:sz w:val="24"/>
                <w:u w:val="none"/>
                <w:lang w:eastAsia="zh-CN"/>
              </w:rPr>
              <w:t>由上表可知，各监测点在昼夜间声环境均达到《声环境质量标准》（GB3096-2008）中的2类标准。</w:t>
            </w:r>
          </w:p>
          <w:p w14:paraId="5F5F5A3F">
            <w:pPr>
              <w:spacing w:line="360" w:lineRule="auto"/>
              <w:ind w:firstLine="482" w:firstLineChars="200"/>
              <w:rPr>
                <w:rFonts w:hint="eastAsia"/>
                <w:b/>
                <w:bCs/>
                <w:color w:val="auto"/>
                <w:sz w:val="24"/>
                <w:u w:val="none"/>
              </w:rPr>
            </w:pPr>
            <w:r>
              <w:rPr>
                <w:rFonts w:hint="eastAsia"/>
                <w:b/>
                <w:bCs/>
                <w:color w:val="auto"/>
                <w:sz w:val="24"/>
                <w:u w:val="none"/>
              </w:rPr>
              <w:t>4地下水、土壤环境质量现状</w:t>
            </w:r>
          </w:p>
          <w:p w14:paraId="05E9FBA4">
            <w:pPr>
              <w:pStyle w:val="87"/>
              <w:spacing w:line="360" w:lineRule="auto"/>
              <w:jc w:val="left"/>
              <w:rPr>
                <w:rFonts w:hAnsi="Times New Roman"/>
                <w:color w:val="auto"/>
                <w:u w:val="single"/>
                <w:shd w:val="clear" w:color="auto" w:fill="FFFFFF"/>
              </w:rPr>
            </w:pPr>
            <w:r>
              <w:rPr>
                <w:rFonts w:hint="eastAsia"/>
                <w:color w:val="auto"/>
                <w:sz w:val="24"/>
                <w:u w:val="none"/>
                <w:lang w:val="en-US" w:eastAsia="zh-CN"/>
              </w:rPr>
              <w:t>各污水处理设施均按照规范要求进行了响应的防渗处理，正常情况下不存在污染途径</w:t>
            </w:r>
            <w:r>
              <w:rPr>
                <w:rFonts w:hint="eastAsia"/>
                <w:color w:val="auto"/>
                <w:sz w:val="24"/>
                <w:u w:val="none"/>
              </w:rPr>
              <w:t>，</w:t>
            </w:r>
            <w:r>
              <w:rPr>
                <w:rFonts w:hint="eastAsia"/>
                <w:color w:val="auto"/>
                <w:sz w:val="24"/>
                <w:u w:val="none"/>
                <w:lang w:eastAsia="zh-CN"/>
              </w:rPr>
              <w:t>且根据现场调查，项目地周边</w:t>
            </w:r>
            <w:r>
              <w:rPr>
                <w:rFonts w:hint="eastAsia"/>
                <w:color w:val="auto"/>
                <w:sz w:val="24"/>
                <w:u w:val="none"/>
                <w:lang w:val="en-US" w:eastAsia="zh-CN"/>
              </w:rPr>
              <w:t>500米范围内未发现有地下水井，</w:t>
            </w:r>
            <w:r>
              <w:rPr>
                <w:rFonts w:hAnsi="Times New Roman" w:cs="Times New Roman"/>
                <w:bCs/>
                <w:color w:val="auto"/>
                <w:sz w:val="24"/>
                <w:u w:val="none"/>
              </w:rPr>
              <w:t>无地下水集中式饮用水水源和热水、矿泉水、温泉等特殊地下水资源。</w:t>
            </w:r>
            <w:r>
              <w:rPr>
                <w:rFonts w:hint="eastAsia"/>
                <w:color w:val="auto"/>
                <w:sz w:val="24"/>
                <w:u w:val="none"/>
              </w:rPr>
              <w:t>因此不作</w:t>
            </w:r>
            <w:r>
              <w:rPr>
                <w:rFonts w:hint="eastAsia"/>
                <w:color w:val="auto"/>
                <w:sz w:val="24"/>
                <w:u w:val="none"/>
                <w:lang w:eastAsia="zh-CN"/>
              </w:rPr>
              <w:t>地下水、土壤</w:t>
            </w:r>
            <w:r>
              <w:rPr>
                <w:rFonts w:hint="eastAsia"/>
                <w:color w:val="auto"/>
                <w:sz w:val="24"/>
                <w:u w:val="none"/>
              </w:rPr>
              <w:t>现状评价。</w:t>
            </w:r>
          </w:p>
          <w:p w14:paraId="670EDF9D">
            <w:pPr>
              <w:spacing w:line="360" w:lineRule="auto"/>
              <w:ind w:firstLine="482" w:firstLineChars="200"/>
              <w:rPr>
                <w:rFonts w:hint="eastAsia"/>
                <w:b/>
                <w:bCs/>
                <w:i w:val="0"/>
                <w:iCs w:val="0"/>
                <w:color w:val="auto"/>
                <w:sz w:val="24"/>
                <w:u w:val="none"/>
              </w:rPr>
            </w:pPr>
            <w:r>
              <w:rPr>
                <w:rFonts w:hint="eastAsia"/>
                <w:b/>
                <w:bCs/>
                <w:i w:val="0"/>
                <w:iCs w:val="0"/>
                <w:color w:val="auto"/>
                <w:sz w:val="24"/>
                <w:u w:val="none"/>
              </w:rPr>
              <w:t>5生态环境</w:t>
            </w:r>
          </w:p>
          <w:p w14:paraId="00CC0046">
            <w:pPr>
              <w:pStyle w:val="87"/>
              <w:spacing w:line="360" w:lineRule="auto"/>
              <w:jc w:val="left"/>
              <w:rPr>
                <w:rFonts w:hint="default" w:hAnsi="Times New Roman" w:cs="Times New Roman"/>
                <w:b/>
                <w:bCs w:val="0"/>
                <w:i w:val="0"/>
                <w:iCs w:val="0"/>
                <w:color w:val="auto"/>
                <w:sz w:val="24"/>
                <w:u w:val="none"/>
                <w:lang w:val="en-US" w:eastAsia="zh-CN"/>
              </w:rPr>
            </w:pPr>
            <w:r>
              <w:rPr>
                <w:rFonts w:hint="eastAsia" w:hAnsi="Times New Roman" w:cs="Times New Roman"/>
                <w:b/>
                <w:bCs w:val="0"/>
                <w:i w:val="0"/>
                <w:iCs w:val="0"/>
                <w:color w:val="auto"/>
                <w:sz w:val="24"/>
                <w:u w:val="none"/>
                <w:lang w:val="en-US" w:eastAsia="zh-CN"/>
              </w:rPr>
              <w:t>5.1 陆生生态</w:t>
            </w:r>
          </w:p>
          <w:p w14:paraId="2F3D4768">
            <w:pPr>
              <w:pStyle w:val="87"/>
              <w:spacing w:line="360" w:lineRule="auto"/>
              <w:jc w:val="left"/>
              <w:rPr>
                <w:rFonts w:hint="eastAsia" w:hAnsi="Times New Roman" w:cs="Times New Roman"/>
                <w:bCs/>
                <w:i w:val="0"/>
                <w:iCs w:val="0"/>
                <w:color w:val="auto"/>
                <w:sz w:val="24"/>
                <w:u w:val="none"/>
              </w:rPr>
            </w:pPr>
            <w:r>
              <w:rPr>
                <w:rFonts w:hint="eastAsia" w:hAnsi="Times New Roman" w:cs="Times New Roman"/>
                <w:bCs/>
                <w:i w:val="0"/>
                <w:iCs w:val="0"/>
                <w:color w:val="auto"/>
                <w:sz w:val="24"/>
                <w:u w:val="none"/>
                <w:lang w:val="en-US" w:eastAsia="zh-CN"/>
              </w:rPr>
              <w:t>根据本项目在湖南省国土空间基础信息平台查询对比图可知，本项目不涉及生态红线等环境敏感区，</w:t>
            </w:r>
            <w:r>
              <w:rPr>
                <w:rFonts w:hint="eastAsia" w:hAnsi="Times New Roman" w:cs="Times New Roman"/>
                <w:bCs/>
                <w:i w:val="0"/>
                <w:iCs w:val="0"/>
                <w:color w:val="auto"/>
                <w:sz w:val="24"/>
                <w:u w:val="none"/>
              </w:rPr>
              <w:t>本项目用地区域内生态以农村生态环境为主要特征。由于人为活动频繁，区内无大型野生动物及古大珍稀植物。</w:t>
            </w:r>
          </w:p>
          <w:p w14:paraId="296392FB">
            <w:pPr>
              <w:pStyle w:val="87"/>
              <w:spacing w:line="360" w:lineRule="auto"/>
              <w:jc w:val="left"/>
              <w:rPr>
                <w:rFonts w:hint="default" w:hAnsi="Times New Roman" w:cs="Times New Roman"/>
                <w:b/>
                <w:bCs w:val="0"/>
                <w:color w:val="auto"/>
                <w:sz w:val="24"/>
                <w:u w:val="none"/>
                <w:lang w:val="en-US" w:eastAsia="zh-CN"/>
              </w:rPr>
            </w:pPr>
            <w:r>
              <w:rPr>
                <w:rFonts w:hint="eastAsia" w:hAnsi="Times New Roman" w:cs="Times New Roman"/>
                <w:b/>
                <w:bCs w:val="0"/>
                <w:color w:val="auto"/>
                <w:sz w:val="24"/>
                <w:u w:val="none"/>
                <w:lang w:val="en-US" w:eastAsia="zh-CN"/>
              </w:rPr>
              <w:t>5.2 水生生态</w:t>
            </w:r>
          </w:p>
          <w:p w14:paraId="4DE33290">
            <w:pPr>
              <w:pStyle w:val="87"/>
              <w:spacing w:line="360" w:lineRule="auto"/>
              <w:jc w:val="left"/>
              <w:rPr>
                <w:rFonts w:hint="eastAsia" w:hAnsi="Times New Roman" w:cs="Times New Roman"/>
                <w:bCs/>
                <w:color w:val="auto"/>
                <w:sz w:val="24"/>
                <w:u w:val="none"/>
                <w:lang w:eastAsia="zh-CN"/>
              </w:rPr>
            </w:pPr>
            <w:r>
              <w:rPr>
                <w:rFonts w:hint="eastAsia" w:hAnsi="Times New Roman" w:cs="Times New Roman"/>
                <w:bCs/>
                <w:color w:val="auto"/>
                <w:sz w:val="24"/>
                <w:u w:val="none"/>
                <w:lang w:eastAsia="zh-CN"/>
              </w:rPr>
              <w:t>区域植被主要为湿生植被带。河段主要水生植物为芦苇、马来眼子菜、颗粒直链藻、尖针杆藻等，无特殊保护物种。河内有鱼类主要为常见物种，以黄鳝、泥鳅为主，未发现特殊保护鱼类出没。底栖动物以水蜈蚣、龙虱松藻虫等水生昆虫为主，分布有少量小虾、螃蟹等甲壳动物及田螺、螺蛳等软体动物。</w:t>
            </w:r>
          </w:p>
          <w:p w14:paraId="683966AF">
            <w:pPr>
              <w:pStyle w:val="87"/>
              <w:spacing w:line="360" w:lineRule="auto"/>
              <w:jc w:val="left"/>
              <w:rPr>
                <w:rFonts w:hint="eastAsia" w:hAnsi="Times New Roman" w:cs="Times New Roman"/>
                <w:bCs/>
                <w:color w:val="auto"/>
                <w:sz w:val="24"/>
                <w:u w:val="single"/>
                <w:lang w:eastAsia="zh-CN"/>
              </w:rPr>
            </w:pPr>
            <w:r>
              <w:rPr>
                <w:rFonts w:hint="eastAsia" w:hAnsi="Times New Roman" w:cs="Times New Roman"/>
                <w:bCs/>
                <w:color w:val="auto"/>
                <w:sz w:val="24"/>
                <w:u w:val="none"/>
                <w:lang w:eastAsia="zh-CN"/>
              </w:rPr>
              <w:t>本项目纳污水体不涉及水产种质资源保护区、湿地公园保护区、鱼类三场。</w:t>
            </w:r>
          </w:p>
        </w:tc>
      </w:tr>
      <w:tr w14:paraId="7A9056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6" w:hRule="atLeast"/>
          <w:jc w:val="center"/>
        </w:trPr>
        <w:tc>
          <w:tcPr>
            <w:tcW w:w="807" w:type="dxa"/>
            <w:vAlign w:val="center"/>
          </w:tcPr>
          <w:p w14:paraId="20FFC8E9">
            <w:pPr>
              <w:adjustRightInd w:val="0"/>
              <w:snapToGrid w:val="0"/>
              <w:jc w:val="center"/>
              <w:rPr>
                <w:color w:val="auto"/>
                <w:kern w:val="0"/>
                <w:sz w:val="24"/>
              </w:rPr>
            </w:pPr>
            <w:r>
              <w:rPr>
                <w:color w:val="auto"/>
                <w:kern w:val="0"/>
                <w:sz w:val="24"/>
              </w:rPr>
              <w:t>环境</w:t>
            </w:r>
          </w:p>
          <w:p w14:paraId="7795C396">
            <w:pPr>
              <w:adjustRightInd w:val="0"/>
              <w:snapToGrid w:val="0"/>
              <w:jc w:val="center"/>
              <w:rPr>
                <w:color w:val="auto"/>
                <w:kern w:val="0"/>
                <w:sz w:val="24"/>
              </w:rPr>
            </w:pPr>
            <w:r>
              <w:rPr>
                <w:color w:val="auto"/>
                <w:kern w:val="0"/>
                <w:sz w:val="24"/>
              </w:rPr>
              <w:t>保护</w:t>
            </w:r>
          </w:p>
          <w:p w14:paraId="66723834">
            <w:pPr>
              <w:adjustRightInd w:val="0"/>
              <w:snapToGrid w:val="0"/>
              <w:jc w:val="center"/>
              <w:rPr>
                <w:color w:val="auto"/>
                <w:kern w:val="0"/>
                <w:szCs w:val="21"/>
              </w:rPr>
            </w:pPr>
            <w:r>
              <w:rPr>
                <w:color w:val="auto"/>
                <w:kern w:val="0"/>
                <w:sz w:val="24"/>
              </w:rPr>
              <w:t>目标</w:t>
            </w:r>
          </w:p>
        </w:tc>
        <w:tc>
          <w:tcPr>
            <w:tcW w:w="8264" w:type="dxa"/>
            <w:vAlign w:val="center"/>
          </w:tcPr>
          <w:p w14:paraId="497978C8">
            <w:pPr>
              <w:pStyle w:val="87"/>
              <w:spacing w:line="360" w:lineRule="auto"/>
              <w:ind w:firstLine="482"/>
              <w:jc w:val="left"/>
              <w:rPr>
                <w:rFonts w:hAnsi="Times New Roman" w:cs="Times New Roman"/>
                <w:b/>
                <w:color w:val="auto"/>
                <w:sz w:val="24"/>
              </w:rPr>
            </w:pPr>
            <w:r>
              <w:rPr>
                <w:rFonts w:hAnsi="Times New Roman" w:cs="Times New Roman"/>
                <w:b/>
                <w:color w:val="auto"/>
                <w:sz w:val="24"/>
              </w:rPr>
              <w:t>1、大气环境</w:t>
            </w:r>
          </w:p>
          <w:p w14:paraId="28BDAF0E">
            <w:pPr>
              <w:pStyle w:val="87"/>
              <w:spacing w:line="360" w:lineRule="auto"/>
              <w:jc w:val="left"/>
              <w:rPr>
                <w:rFonts w:hAnsi="Times New Roman" w:cs="Times New Roman"/>
                <w:bCs/>
                <w:color w:val="auto"/>
                <w:sz w:val="24"/>
              </w:rPr>
            </w:pPr>
            <w:r>
              <w:rPr>
                <w:rFonts w:hAnsi="Times New Roman" w:cs="Times New Roman"/>
                <w:bCs/>
                <w:color w:val="auto"/>
                <w:sz w:val="24"/>
              </w:rPr>
              <w:t>本项目位于</w:t>
            </w:r>
            <w:r>
              <w:rPr>
                <w:rFonts w:hint="eastAsia" w:hAnsi="Times New Roman" w:cs="Times New Roman"/>
                <w:bCs/>
                <w:color w:val="auto"/>
                <w:sz w:val="24"/>
                <w:lang w:eastAsia="zh-CN"/>
              </w:rPr>
              <w:t xml:space="preserve">龙山县高铁新区 </w:t>
            </w:r>
            <w:r>
              <w:rPr>
                <w:rFonts w:hAnsi="Times New Roman" w:cs="Times New Roman"/>
                <w:bCs/>
                <w:color w:val="auto"/>
                <w:sz w:val="24"/>
              </w:rPr>
              <w:t>，本项目厂界外500m范围内大气环境保护目标详见表3-</w:t>
            </w:r>
            <w:r>
              <w:rPr>
                <w:rFonts w:hint="eastAsia" w:hAnsi="Times New Roman" w:cs="Times New Roman"/>
                <w:bCs/>
                <w:color w:val="auto"/>
                <w:sz w:val="24"/>
                <w:lang w:val="en-US" w:eastAsia="zh-CN"/>
              </w:rPr>
              <w:t>5</w:t>
            </w:r>
            <w:r>
              <w:rPr>
                <w:rFonts w:hAnsi="Times New Roman" w:cs="Times New Roman"/>
                <w:bCs/>
                <w:color w:val="auto"/>
                <w:sz w:val="24"/>
              </w:rPr>
              <w:t>。</w:t>
            </w:r>
          </w:p>
          <w:p w14:paraId="1910DE14">
            <w:pPr>
              <w:snapToGrid w:val="0"/>
              <w:jc w:val="center"/>
              <w:rPr>
                <w:rFonts w:hint="eastAsia"/>
                <w:b/>
                <w:color w:val="auto"/>
                <w:szCs w:val="21"/>
                <w:highlight w:val="none"/>
                <w:u w:val="none"/>
              </w:rPr>
            </w:pPr>
            <w:r>
              <w:rPr>
                <w:b/>
                <w:color w:val="auto"/>
                <w:szCs w:val="21"/>
                <w:highlight w:val="none"/>
                <w:u w:val="none"/>
              </w:rPr>
              <w:t>表3-</w:t>
            </w:r>
            <w:r>
              <w:rPr>
                <w:rFonts w:hint="eastAsia"/>
                <w:b/>
                <w:color w:val="auto"/>
                <w:szCs w:val="21"/>
                <w:highlight w:val="none"/>
                <w:u w:val="none"/>
                <w:lang w:val="en-US" w:eastAsia="zh-CN"/>
              </w:rPr>
              <w:t>5</w:t>
            </w:r>
            <w:r>
              <w:rPr>
                <w:b/>
                <w:color w:val="auto"/>
                <w:szCs w:val="21"/>
                <w:highlight w:val="none"/>
                <w:u w:val="none"/>
              </w:rPr>
              <w:t>环境空气保护目标一览表</w:t>
            </w:r>
          </w:p>
          <w:tbl>
            <w:tblPr>
              <w:tblStyle w:val="32"/>
              <w:tblW w:w="791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451"/>
              <w:gridCol w:w="968"/>
              <w:gridCol w:w="1187"/>
              <w:gridCol w:w="1200"/>
              <w:gridCol w:w="1091"/>
              <w:gridCol w:w="695"/>
              <w:gridCol w:w="723"/>
              <w:gridCol w:w="641"/>
              <w:gridCol w:w="957"/>
            </w:tblGrid>
            <w:tr w14:paraId="367481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15" w:hRule="atLeast"/>
                <w:jc w:val="center"/>
              </w:trPr>
              <w:tc>
                <w:tcPr>
                  <w:tcW w:w="1419" w:type="dxa"/>
                  <w:gridSpan w:val="2"/>
                  <w:vMerge w:val="restart"/>
                  <w:tcBorders>
                    <w:tl2br w:val="nil"/>
                    <w:tr2bl w:val="nil"/>
                  </w:tcBorders>
                  <w:vAlign w:val="center"/>
                </w:tcPr>
                <w:p w14:paraId="4CF69A1B">
                  <w:pPr>
                    <w:pStyle w:val="6"/>
                    <w:ind w:firstLine="0" w:firstLineChars="0"/>
                    <w:jc w:val="center"/>
                    <w:rPr>
                      <w:color w:val="auto"/>
                      <w:sz w:val="21"/>
                      <w:szCs w:val="21"/>
                      <w:highlight w:val="none"/>
                      <w:u w:val="none"/>
                    </w:rPr>
                  </w:pPr>
                  <w:r>
                    <w:rPr>
                      <w:color w:val="auto"/>
                      <w:sz w:val="21"/>
                      <w:szCs w:val="21"/>
                      <w:highlight w:val="none"/>
                      <w:u w:val="none"/>
                    </w:rPr>
                    <w:t>名称</w:t>
                  </w:r>
                </w:p>
              </w:tc>
              <w:tc>
                <w:tcPr>
                  <w:tcW w:w="2387" w:type="dxa"/>
                  <w:gridSpan w:val="2"/>
                  <w:tcBorders>
                    <w:tl2br w:val="nil"/>
                    <w:tr2bl w:val="nil"/>
                  </w:tcBorders>
                  <w:vAlign w:val="center"/>
                </w:tcPr>
                <w:p w14:paraId="24AC5D16">
                  <w:pPr>
                    <w:pStyle w:val="6"/>
                    <w:ind w:firstLine="0" w:firstLineChars="0"/>
                    <w:jc w:val="center"/>
                    <w:rPr>
                      <w:color w:val="auto"/>
                      <w:sz w:val="21"/>
                      <w:szCs w:val="21"/>
                      <w:highlight w:val="none"/>
                      <w:u w:val="none"/>
                    </w:rPr>
                  </w:pPr>
                  <w:r>
                    <w:rPr>
                      <w:color w:val="auto"/>
                      <w:sz w:val="21"/>
                      <w:szCs w:val="21"/>
                      <w:highlight w:val="none"/>
                      <w:u w:val="none"/>
                    </w:rPr>
                    <w:t>坐标</w:t>
                  </w:r>
                </w:p>
              </w:tc>
              <w:tc>
                <w:tcPr>
                  <w:tcW w:w="1091" w:type="dxa"/>
                  <w:vMerge w:val="restart"/>
                  <w:tcBorders>
                    <w:tl2br w:val="nil"/>
                    <w:tr2bl w:val="nil"/>
                  </w:tcBorders>
                  <w:vAlign w:val="center"/>
                </w:tcPr>
                <w:p w14:paraId="3DE83137">
                  <w:pPr>
                    <w:pStyle w:val="6"/>
                    <w:ind w:firstLine="0" w:firstLineChars="0"/>
                    <w:jc w:val="center"/>
                    <w:rPr>
                      <w:color w:val="auto"/>
                      <w:sz w:val="21"/>
                      <w:szCs w:val="21"/>
                      <w:highlight w:val="none"/>
                      <w:u w:val="none"/>
                    </w:rPr>
                  </w:pPr>
                  <w:r>
                    <w:rPr>
                      <w:rFonts w:hint="eastAsia"/>
                      <w:color w:val="auto"/>
                      <w:sz w:val="21"/>
                      <w:szCs w:val="21"/>
                      <w:highlight w:val="none"/>
                      <w:u w:val="none"/>
                    </w:rPr>
                    <w:t>保护对象</w:t>
                  </w:r>
                </w:p>
              </w:tc>
              <w:tc>
                <w:tcPr>
                  <w:tcW w:w="695" w:type="dxa"/>
                  <w:vMerge w:val="restart"/>
                  <w:tcBorders>
                    <w:tl2br w:val="nil"/>
                    <w:tr2bl w:val="nil"/>
                  </w:tcBorders>
                  <w:vAlign w:val="center"/>
                </w:tcPr>
                <w:p w14:paraId="6567EB48">
                  <w:pPr>
                    <w:pStyle w:val="6"/>
                    <w:ind w:firstLine="0" w:firstLineChars="0"/>
                    <w:jc w:val="center"/>
                    <w:rPr>
                      <w:rFonts w:hint="eastAsia" w:eastAsia="宋体"/>
                      <w:color w:val="auto"/>
                      <w:sz w:val="21"/>
                      <w:szCs w:val="21"/>
                      <w:highlight w:val="none"/>
                      <w:u w:val="none"/>
                      <w:lang w:eastAsia="zh-CN"/>
                    </w:rPr>
                  </w:pPr>
                  <w:r>
                    <w:rPr>
                      <w:rFonts w:hint="eastAsia"/>
                      <w:color w:val="auto"/>
                      <w:sz w:val="21"/>
                      <w:szCs w:val="21"/>
                      <w:highlight w:val="none"/>
                      <w:u w:val="none"/>
                      <w:lang w:eastAsia="zh-CN"/>
                    </w:rPr>
                    <w:t>是否有山体阻隔</w:t>
                  </w:r>
                </w:p>
              </w:tc>
              <w:tc>
                <w:tcPr>
                  <w:tcW w:w="723" w:type="dxa"/>
                  <w:vMerge w:val="restart"/>
                  <w:tcBorders>
                    <w:tl2br w:val="nil"/>
                    <w:tr2bl w:val="nil"/>
                  </w:tcBorders>
                  <w:vAlign w:val="center"/>
                </w:tcPr>
                <w:p w14:paraId="165F4F8B">
                  <w:pPr>
                    <w:pStyle w:val="6"/>
                    <w:ind w:firstLine="0" w:firstLineChars="0"/>
                    <w:jc w:val="center"/>
                    <w:rPr>
                      <w:rFonts w:hint="eastAsia" w:eastAsia="宋体"/>
                      <w:color w:val="auto"/>
                      <w:sz w:val="21"/>
                      <w:szCs w:val="21"/>
                      <w:highlight w:val="none"/>
                      <w:u w:val="none"/>
                      <w:lang w:eastAsia="zh-CN"/>
                    </w:rPr>
                  </w:pPr>
                  <w:r>
                    <w:rPr>
                      <w:color w:val="auto"/>
                      <w:sz w:val="21"/>
                      <w:szCs w:val="21"/>
                      <w:highlight w:val="none"/>
                      <w:u w:val="none"/>
                    </w:rPr>
                    <w:t>相对项目方位</w:t>
                  </w:r>
                  <w:r>
                    <w:rPr>
                      <w:rFonts w:hint="eastAsia"/>
                      <w:color w:val="auto"/>
                      <w:sz w:val="21"/>
                      <w:szCs w:val="21"/>
                      <w:highlight w:val="none"/>
                      <w:u w:val="none"/>
                      <w:lang w:eastAsia="zh-CN"/>
                    </w:rPr>
                    <w:t>、高差</w:t>
                  </w:r>
                </w:p>
              </w:tc>
              <w:tc>
                <w:tcPr>
                  <w:tcW w:w="641" w:type="dxa"/>
                  <w:vMerge w:val="restart"/>
                  <w:tcBorders>
                    <w:tl2br w:val="nil"/>
                    <w:tr2bl w:val="nil"/>
                  </w:tcBorders>
                  <w:vAlign w:val="center"/>
                </w:tcPr>
                <w:p w14:paraId="7307ED21">
                  <w:pPr>
                    <w:pStyle w:val="6"/>
                    <w:ind w:firstLine="0" w:firstLineChars="0"/>
                    <w:jc w:val="center"/>
                    <w:rPr>
                      <w:color w:val="auto"/>
                      <w:sz w:val="21"/>
                      <w:szCs w:val="21"/>
                      <w:highlight w:val="none"/>
                      <w:u w:val="none"/>
                    </w:rPr>
                  </w:pPr>
                  <w:r>
                    <w:rPr>
                      <w:color w:val="auto"/>
                      <w:sz w:val="21"/>
                      <w:szCs w:val="21"/>
                      <w:highlight w:val="none"/>
                      <w:u w:val="none"/>
                    </w:rPr>
                    <w:t>与项目厂界最近距离（m）</w:t>
                  </w:r>
                </w:p>
              </w:tc>
              <w:tc>
                <w:tcPr>
                  <w:tcW w:w="957" w:type="dxa"/>
                  <w:vMerge w:val="restart"/>
                  <w:tcBorders>
                    <w:tl2br w:val="nil"/>
                    <w:tr2bl w:val="nil"/>
                  </w:tcBorders>
                  <w:vAlign w:val="center"/>
                </w:tcPr>
                <w:p w14:paraId="6E231569">
                  <w:pPr>
                    <w:pStyle w:val="6"/>
                    <w:ind w:firstLine="0" w:firstLineChars="0"/>
                    <w:jc w:val="center"/>
                    <w:rPr>
                      <w:color w:val="auto"/>
                      <w:sz w:val="21"/>
                      <w:szCs w:val="21"/>
                      <w:highlight w:val="none"/>
                      <w:u w:val="none"/>
                    </w:rPr>
                  </w:pPr>
                  <w:r>
                    <w:rPr>
                      <w:color w:val="auto"/>
                      <w:sz w:val="21"/>
                      <w:szCs w:val="21"/>
                      <w:highlight w:val="none"/>
                      <w:u w:val="none"/>
                    </w:rPr>
                    <w:t>环境功能区</w:t>
                  </w:r>
                </w:p>
              </w:tc>
            </w:tr>
            <w:tr w14:paraId="72B46B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40" w:hRule="atLeast"/>
                <w:jc w:val="center"/>
              </w:trPr>
              <w:tc>
                <w:tcPr>
                  <w:tcW w:w="1419" w:type="dxa"/>
                  <w:gridSpan w:val="2"/>
                  <w:vMerge w:val="continue"/>
                  <w:tcBorders>
                    <w:tl2br w:val="nil"/>
                    <w:tr2bl w:val="nil"/>
                  </w:tcBorders>
                  <w:vAlign w:val="center"/>
                </w:tcPr>
                <w:p w14:paraId="68CA615D">
                  <w:pPr>
                    <w:pStyle w:val="6"/>
                    <w:ind w:firstLine="0" w:firstLineChars="0"/>
                    <w:jc w:val="center"/>
                    <w:rPr>
                      <w:color w:val="auto"/>
                      <w:sz w:val="21"/>
                      <w:szCs w:val="21"/>
                      <w:u w:val="none"/>
                    </w:rPr>
                  </w:pPr>
                </w:p>
              </w:tc>
              <w:tc>
                <w:tcPr>
                  <w:tcW w:w="1187" w:type="dxa"/>
                  <w:tcBorders>
                    <w:tl2br w:val="nil"/>
                    <w:tr2bl w:val="nil"/>
                  </w:tcBorders>
                  <w:vAlign w:val="center"/>
                </w:tcPr>
                <w:p w14:paraId="1FC5815F">
                  <w:pPr>
                    <w:pStyle w:val="6"/>
                    <w:ind w:firstLine="0" w:firstLineChars="0"/>
                    <w:jc w:val="center"/>
                    <w:rPr>
                      <w:color w:val="auto"/>
                      <w:sz w:val="21"/>
                      <w:szCs w:val="21"/>
                      <w:u w:val="none"/>
                    </w:rPr>
                  </w:pPr>
                  <w:r>
                    <w:rPr>
                      <w:color w:val="auto"/>
                      <w:sz w:val="21"/>
                      <w:szCs w:val="21"/>
                      <w:u w:val="none"/>
                    </w:rPr>
                    <w:t>东经</w:t>
                  </w:r>
                </w:p>
              </w:tc>
              <w:tc>
                <w:tcPr>
                  <w:tcW w:w="1200" w:type="dxa"/>
                  <w:tcBorders>
                    <w:tl2br w:val="nil"/>
                    <w:tr2bl w:val="nil"/>
                  </w:tcBorders>
                  <w:vAlign w:val="center"/>
                </w:tcPr>
                <w:p w14:paraId="39FD13DF">
                  <w:pPr>
                    <w:pStyle w:val="6"/>
                    <w:ind w:firstLine="0" w:firstLineChars="0"/>
                    <w:jc w:val="center"/>
                    <w:rPr>
                      <w:color w:val="auto"/>
                      <w:sz w:val="21"/>
                      <w:szCs w:val="21"/>
                      <w:u w:val="none"/>
                    </w:rPr>
                  </w:pPr>
                  <w:r>
                    <w:rPr>
                      <w:color w:val="auto"/>
                      <w:sz w:val="21"/>
                      <w:szCs w:val="21"/>
                      <w:u w:val="none"/>
                    </w:rPr>
                    <w:t>北纬</w:t>
                  </w:r>
                </w:p>
              </w:tc>
              <w:tc>
                <w:tcPr>
                  <w:tcW w:w="1091" w:type="dxa"/>
                  <w:vMerge w:val="continue"/>
                  <w:tcBorders>
                    <w:tl2br w:val="nil"/>
                    <w:tr2bl w:val="nil"/>
                  </w:tcBorders>
                  <w:vAlign w:val="center"/>
                </w:tcPr>
                <w:p w14:paraId="14FA2EE3">
                  <w:pPr>
                    <w:pStyle w:val="6"/>
                    <w:ind w:firstLine="0" w:firstLineChars="0"/>
                    <w:jc w:val="center"/>
                    <w:rPr>
                      <w:color w:val="auto"/>
                      <w:sz w:val="21"/>
                      <w:szCs w:val="21"/>
                      <w:u w:val="none"/>
                    </w:rPr>
                  </w:pPr>
                </w:p>
              </w:tc>
              <w:tc>
                <w:tcPr>
                  <w:tcW w:w="695" w:type="dxa"/>
                  <w:vMerge w:val="continue"/>
                  <w:tcBorders>
                    <w:tl2br w:val="nil"/>
                    <w:tr2bl w:val="nil"/>
                  </w:tcBorders>
                  <w:vAlign w:val="center"/>
                </w:tcPr>
                <w:p w14:paraId="26098D53">
                  <w:pPr>
                    <w:pStyle w:val="6"/>
                    <w:ind w:firstLine="0" w:firstLineChars="0"/>
                    <w:jc w:val="center"/>
                    <w:rPr>
                      <w:color w:val="auto"/>
                      <w:sz w:val="21"/>
                      <w:szCs w:val="21"/>
                      <w:u w:val="none"/>
                    </w:rPr>
                  </w:pPr>
                </w:p>
              </w:tc>
              <w:tc>
                <w:tcPr>
                  <w:tcW w:w="723" w:type="dxa"/>
                  <w:vMerge w:val="continue"/>
                  <w:tcBorders>
                    <w:tl2br w:val="nil"/>
                    <w:tr2bl w:val="nil"/>
                  </w:tcBorders>
                  <w:vAlign w:val="center"/>
                </w:tcPr>
                <w:p w14:paraId="6AEE4009">
                  <w:pPr>
                    <w:pStyle w:val="6"/>
                    <w:ind w:firstLine="0" w:firstLineChars="0"/>
                    <w:jc w:val="center"/>
                    <w:rPr>
                      <w:color w:val="auto"/>
                      <w:sz w:val="21"/>
                      <w:szCs w:val="21"/>
                      <w:u w:val="none"/>
                    </w:rPr>
                  </w:pPr>
                </w:p>
              </w:tc>
              <w:tc>
                <w:tcPr>
                  <w:tcW w:w="641" w:type="dxa"/>
                  <w:vMerge w:val="continue"/>
                  <w:tcBorders>
                    <w:tl2br w:val="nil"/>
                    <w:tr2bl w:val="nil"/>
                  </w:tcBorders>
                  <w:vAlign w:val="center"/>
                </w:tcPr>
                <w:p w14:paraId="07358608">
                  <w:pPr>
                    <w:pStyle w:val="6"/>
                    <w:ind w:firstLine="0" w:firstLineChars="0"/>
                    <w:jc w:val="center"/>
                    <w:rPr>
                      <w:color w:val="auto"/>
                      <w:sz w:val="21"/>
                      <w:szCs w:val="21"/>
                      <w:u w:val="none"/>
                    </w:rPr>
                  </w:pPr>
                </w:p>
              </w:tc>
              <w:tc>
                <w:tcPr>
                  <w:tcW w:w="957" w:type="dxa"/>
                  <w:vMerge w:val="continue"/>
                  <w:tcBorders>
                    <w:tl2br w:val="nil"/>
                    <w:tr2bl w:val="nil"/>
                  </w:tcBorders>
                  <w:vAlign w:val="center"/>
                </w:tcPr>
                <w:p w14:paraId="3DC0F96D">
                  <w:pPr>
                    <w:pStyle w:val="6"/>
                    <w:ind w:firstLine="0" w:firstLineChars="0"/>
                    <w:jc w:val="center"/>
                    <w:rPr>
                      <w:color w:val="auto"/>
                      <w:sz w:val="21"/>
                      <w:szCs w:val="21"/>
                      <w:u w:val="none"/>
                    </w:rPr>
                  </w:pPr>
                </w:p>
              </w:tc>
            </w:tr>
            <w:tr w14:paraId="41ED84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73" w:hRule="atLeast"/>
                <w:jc w:val="center"/>
              </w:trPr>
              <w:tc>
                <w:tcPr>
                  <w:tcW w:w="451" w:type="dxa"/>
                  <w:vMerge w:val="restart"/>
                  <w:tcBorders>
                    <w:tl2br w:val="nil"/>
                    <w:tr2bl w:val="nil"/>
                  </w:tcBorders>
                  <w:vAlign w:val="center"/>
                </w:tcPr>
                <w:p w14:paraId="597A40A7">
                  <w:pPr>
                    <w:pStyle w:val="6"/>
                    <w:ind w:firstLine="0" w:firstLineChars="0"/>
                    <w:jc w:val="center"/>
                    <w:rPr>
                      <w:rFonts w:hint="eastAsia"/>
                      <w:color w:val="auto"/>
                      <w:sz w:val="21"/>
                      <w:szCs w:val="21"/>
                      <w:u w:val="none"/>
                      <w:lang w:val="en-US" w:eastAsia="zh-CN"/>
                    </w:rPr>
                  </w:pPr>
                  <w:r>
                    <w:rPr>
                      <w:rFonts w:hint="eastAsia"/>
                      <w:color w:val="auto"/>
                      <w:sz w:val="21"/>
                      <w:szCs w:val="21"/>
                      <w:u w:val="none"/>
                      <w:lang w:val="en-US" w:eastAsia="zh-CN"/>
                    </w:rPr>
                    <w:t>污水处理厂工程</w:t>
                  </w:r>
                </w:p>
              </w:tc>
              <w:tc>
                <w:tcPr>
                  <w:tcW w:w="968" w:type="dxa"/>
                  <w:tcBorders>
                    <w:tl2br w:val="nil"/>
                    <w:tr2bl w:val="nil"/>
                  </w:tcBorders>
                  <w:vAlign w:val="center"/>
                </w:tcPr>
                <w:p w14:paraId="6B1EBA77">
                  <w:pPr>
                    <w:pStyle w:val="6"/>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 xml:space="preserve"> 岩子坡居民点</w:t>
                  </w:r>
                </w:p>
              </w:tc>
              <w:tc>
                <w:tcPr>
                  <w:tcW w:w="1187" w:type="dxa"/>
                  <w:tcBorders>
                    <w:tl2br w:val="nil"/>
                    <w:tr2bl w:val="nil"/>
                  </w:tcBorders>
                  <w:vAlign w:val="center"/>
                </w:tcPr>
                <w:p w14:paraId="43DAD91A">
                  <w:pPr>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109°28′47.86″</w:t>
                  </w:r>
                </w:p>
              </w:tc>
              <w:tc>
                <w:tcPr>
                  <w:tcW w:w="1200" w:type="dxa"/>
                  <w:tcBorders>
                    <w:tl2br w:val="nil"/>
                    <w:tr2bl w:val="nil"/>
                  </w:tcBorders>
                  <w:vAlign w:val="center"/>
                </w:tcPr>
                <w:p w14:paraId="299696DC">
                  <w:pPr>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28°11′11.77″</w:t>
                  </w:r>
                </w:p>
              </w:tc>
              <w:tc>
                <w:tcPr>
                  <w:tcW w:w="1091" w:type="dxa"/>
                  <w:tcBorders>
                    <w:tl2br w:val="nil"/>
                    <w:tr2bl w:val="nil"/>
                  </w:tcBorders>
                  <w:vAlign w:val="center"/>
                </w:tcPr>
                <w:p w14:paraId="160BCE4C">
                  <w:pPr>
                    <w:pStyle w:val="6"/>
                    <w:ind w:firstLine="0" w:firstLineChars="0"/>
                    <w:jc w:val="center"/>
                    <w:rPr>
                      <w:rFonts w:hint="eastAsia" w:eastAsia="宋体"/>
                      <w:color w:val="auto"/>
                      <w:sz w:val="21"/>
                      <w:szCs w:val="21"/>
                      <w:u w:val="none"/>
                      <w:lang w:val="en-US" w:eastAsia="zh-CN"/>
                    </w:rPr>
                  </w:pPr>
                  <w:r>
                    <w:rPr>
                      <w:rFonts w:hint="eastAsia"/>
                      <w:color w:val="auto"/>
                      <w:sz w:val="21"/>
                      <w:szCs w:val="21"/>
                      <w:u w:val="none"/>
                    </w:rPr>
                    <w:t>居住</w:t>
                  </w:r>
                  <w:r>
                    <w:rPr>
                      <w:rFonts w:hint="eastAsia"/>
                      <w:color w:val="auto"/>
                      <w:sz w:val="21"/>
                      <w:szCs w:val="21"/>
                      <w:u w:val="none"/>
                      <w:lang w:val="en-US" w:eastAsia="zh-CN"/>
                    </w:rPr>
                    <w:t>点（约12户）</w:t>
                  </w:r>
                </w:p>
              </w:tc>
              <w:tc>
                <w:tcPr>
                  <w:tcW w:w="695" w:type="dxa"/>
                  <w:tcBorders>
                    <w:tl2br w:val="nil"/>
                    <w:tr2bl w:val="nil"/>
                  </w:tcBorders>
                  <w:vAlign w:val="center"/>
                </w:tcPr>
                <w:p w14:paraId="5506CE7B">
                  <w:pPr>
                    <w:pStyle w:val="6"/>
                    <w:ind w:firstLine="0" w:firstLineChars="0"/>
                    <w:jc w:val="center"/>
                    <w:rPr>
                      <w:rFonts w:hint="eastAsia" w:eastAsia="宋体"/>
                      <w:color w:val="auto"/>
                      <w:sz w:val="21"/>
                      <w:szCs w:val="21"/>
                      <w:u w:val="none"/>
                      <w:lang w:eastAsia="zh-CN"/>
                    </w:rPr>
                  </w:pPr>
                  <w:r>
                    <w:rPr>
                      <w:rFonts w:hint="eastAsia"/>
                      <w:color w:val="auto"/>
                      <w:sz w:val="21"/>
                      <w:szCs w:val="21"/>
                      <w:u w:val="none"/>
                      <w:lang w:eastAsia="zh-CN"/>
                    </w:rPr>
                    <w:t>是</w:t>
                  </w:r>
                </w:p>
              </w:tc>
              <w:tc>
                <w:tcPr>
                  <w:tcW w:w="723" w:type="dxa"/>
                  <w:tcBorders>
                    <w:tl2br w:val="nil"/>
                    <w:tr2bl w:val="nil"/>
                  </w:tcBorders>
                  <w:vAlign w:val="center"/>
                </w:tcPr>
                <w:p w14:paraId="396B44E5">
                  <w:pPr>
                    <w:pStyle w:val="6"/>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西，-2</w:t>
                  </w:r>
                </w:p>
              </w:tc>
              <w:tc>
                <w:tcPr>
                  <w:tcW w:w="641" w:type="dxa"/>
                  <w:tcBorders>
                    <w:tl2br w:val="nil"/>
                    <w:tr2bl w:val="nil"/>
                  </w:tcBorders>
                  <w:vAlign w:val="center"/>
                </w:tcPr>
                <w:p w14:paraId="7B1595B9">
                  <w:pPr>
                    <w:pStyle w:val="6"/>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200</w:t>
                  </w:r>
                </w:p>
              </w:tc>
              <w:tc>
                <w:tcPr>
                  <w:tcW w:w="957" w:type="dxa"/>
                  <w:vMerge w:val="restart"/>
                  <w:tcBorders>
                    <w:tl2br w:val="nil"/>
                    <w:tr2bl w:val="nil"/>
                  </w:tcBorders>
                  <w:vAlign w:val="center"/>
                </w:tcPr>
                <w:p w14:paraId="6B105B5A">
                  <w:pPr>
                    <w:pStyle w:val="6"/>
                    <w:ind w:firstLine="0" w:firstLineChars="0"/>
                    <w:jc w:val="center"/>
                    <w:rPr>
                      <w:color w:val="auto"/>
                      <w:sz w:val="21"/>
                      <w:szCs w:val="21"/>
                      <w:u w:val="none"/>
                    </w:rPr>
                  </w:pPr>
                  <w:r>
                    <w:rPr>
                      <w:color w:val="auto"/>
                      <w:sz w:val="21"/>
                      <w:szCs w:val="21"/>
                      <w:u w:val="none"/>
                    </w:rPr>
                    <w:t>《环境空气质量标准》（GB3095-2012）中二级标准</w:t>
                  </w:r>
                </w:p>
              </w:tc>
            </w:tr>
            <w:tr w14:paraId="62B24F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1436" w:hRule="atLeast"/>
                <w:jc w:val="center"/>
              </w:trPr>
              <w:tc>
                <w:tcPr>
                  <w:tcW w:w="451" w:type="dxa"/>
                  <w:vMerge w:val="continue"/>
                  <w:tcBorders>
                    <w:tl2br w:val="nil"/>
                    <w:tr2bl w:val="nil"/>
                  </w:tcBorders>
                  <w:vAlign w:val="center"/>
                </w:tcPr>
                <w:p w14:paraId="257E6ED3">
                  <w:pPr>
                    <w:pStyle w:val="6"/>
                    <w:ind w:firstLine="0" w:firstLineChars="0"/>
                    <w:jc w:val="center"/>
                    <w:rPr>
                      <w:rFonts w:hint="eastAsia"/>
                      <w:color w:val="auto"/>
                      <w:sz w:val="21"/>
                      <w:szCs w:val="21"/>
                      <w:u w:val="none"/>
                      <w:lang w:val="en-US" w:eastAsia="zh-CN"/>
                    </w:rPr>
                  </w:pPr>
                </w:p>
              </w:tc>
              <w:tc>
                <w:tcPr>
                  <w:tcW w:w="968" w:type="dxa"/>
                  <w:tcBorders>
                    <w:tl2br w:val="nil"/>
                    <w:tr2bl w:val="nil"/>
                  </w:tcBorders>
                  <w:vAlign w:val="center"/>
                </w:tcPr>
                <w:p w14:paraId="263F789A">
                  <w:pPr>
                    <w:pStyle w:val="6"/>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 xml:space="preserve"> 胡家院子居民点</w:t>
                  </w:r>
                </w:p>
              </w:tc>
              <w:tc>
                <w:tcPr>
                  <w:tcW w:w="1187" w:type="dxa"/>
                  <w:tcBorders>
                    <w:tl2br w:val="nil"/>
                    <w:tr2bl w:val="nil"/>
                  </w:tcBorders>
                  <w:vAlign w:val="center"/>
                </w:tcPr>
                <w:p w14:paraId="3F8EAA43">
                  <w:pPr>
                    <w:jc w:val="center"/>
                    <w:rPr>
                      <w:rFonts w:hint="default" w:ascii="Times New Roman" w:hAnsi="Times New Roman" w:cs="Times New Roman"/>
                      <w:color w:val="auto"/>
                      <w:sz w:val="21"/>
                      <w:szCs w:val="21"/>
                      <w:u w:val="none"/>
                    </w:rPr>
                  </w:pPr>
                  <w:r>
                    <w:rPr>
                      <w:rFonts w:hint="eastAsia" w:ascii="Times New Roman" w:hAnsi="Times New Roman" w:cs="Times New Roman"/>
                      <w:color w:val="auto"/>
                      <w:sz w:val="21"/>
                      <w:szCs w:val="21"/>
                      <w:u w:val="none"/>
                    </w:rPr>
                    <w:t>109°28′38.51″</w:t>
                  </w:r>
                </w:p>
              </w:tc>
              <w:tc>
                <w:tcPr>
                  <w:tcW w:w="1200" w:type="dxa"/>
                  <w:tcBorders>
                    <w:tl2br w:val="nil"/>
                    <w:tr2bl w:val="nil"/>
                  </w:tcBorders>
                  <w:vAlign w:val="center"/>
                </w:tcPr>
                <w:p w14:paraId="7FC8A66A">
                  <w:pPr>
                    <w:jc w:val="center"/>
                    <w:rPr>
                      <w:rFonts w:hint="default" w:ascii="Times New Roman" w:hAnsi="Times New Roman" w:cs="Times New Roman"/>
                      <w:color w:val="auto"/>
                      <w:sz w:val="21"/>
                      <w:szCs w:val="21"/>
                      <w:u w:val="none"/>
                    </w:rPr>
                  </w:pPr>
                  <w:r>
                    <w:rPr>
                      <w:rFonts w:hint="eastAsia" w:ascii="Times New Roman" w:hAnsi="Times New Roman" w:cs="Times New Roman"/>
                      <w:color w:val="auto"/>
                      <w:sz w:val="21"/>
                      <w:szCs w:val="21"/>
                      <w:u w:val="none"/>
                    </w:rPr>
                    <w:t>28°11′13.08″</w:t>
                  </w:r>
                </w:p>
              </w:tc>
              <w:tc>
                <w:tcPr>
                  <w:tcW w:w="1091" w:type="dxa"/>
                  <w:tcBorders>
                    <w:tl2br w:val="nil"/>
                    <w:tr2bl w:val="nil"/>
                  </w:tcBorders>
                  <w:vAlign w:val="center"/>
                </w:tcPr>
                <w:p w14:paraId="4854AE85">
                  <w:pPr>
                    <w:pStyle w:val="6"/>
                    <w:ind w:firstLine="0" w:firstLineChars="0"/>
                    <w:jc w:val="center"/>
                    <w:rPr>
                      <w:rFonts w:hint="default"/>
                      <w:color w:val="auto"/>
                      <w:sz w:val="21"/>
                      <w:szCs w:val="21"/>
                      <w:u w:val="none"/>
                      <w:lang w:val="en-US"/>
                    </w:rPr>
                  </w:pPr>
                  <w:r>
                    <w:rPr>
                      <w:rFonts w:hint="eastAsia"/>
                      <w:color w:val="auto"/>
                      <w:sz w:val="21"/>
                      <w:szCs w:val="21"/>
                      <w:u w:val="none"/>
                    </w:rPr>
                    <w:t>居住</w:t>
                  </w:r>
                  <w:r>
                    <w:rPr>
                      <w:rFonts w:hint="eastAsia"/>
                      <w:color w:val="auto"/>
                      <w:sz w:val="21"/>
                      <w:szCs w:val="21"/>
                      <w:u w:val="none"/>
                      <w:lang w:val="en-US" w:eastAsia="zh-CN"/>
                    </w:rPr>
                    <w:t>点（约18户）</w:t>
                  </w:r>
                </w:p>
              </w:tc>
              <w:tc>
                <w:tcPr>
                  <w:tcW w:w="695" w:type="dxa"/>
                  <w:tcBorders>
                    <w:tl2br w:val="nil"/>
                    <w:tr2bl w:val="nil"/>
                  </w:tcBorders>
                  <w:vAlign w:val="center"/>
                </w:tcPr>
                <w:p w14:paraId="24888CFA">
                  <w:pPr>
                    <w:pStyle w:val="6"/>
                    <w:ind w:firstLine="0" w:firstLineChars="0"/>
                    <w:jc w:val="center"/>
                    <w:rPr>
                      <w:rFonts w:hint="eastAsia" w:eastAsia="宋体"/>
                      <w:color w:val="auto"/>
                      <w:sz w:val="21"/>
                      <w:szCs w:val="21"/>
                      <w:u w:val="none"/>
                      <w:lang w:eastAsia="zh-CN"/>
                    </w:rPr>
                  </w:pPr>
                  <w:r>
                    <w:rPr>
                      <w:rFonts w:hint="eastAsia"/>
                      <w:color w:val="auto"/>
                      <w:sz w:val="21"/>
                      <w:szCs w:val="21"/>
                      <w:u w:val="none"/>
                      <w:lang w:eastAsia="zh-CN"/>
                    </w:rPr>
                    <w:t>是</w:t>
                  </w:r>
                </w:p>
              </w:tc>
              <w:tc>
                <w:tcPr>
                  <w:tcW w:w="723" w:type="dxa"/>
                  <w:tcBorders>
                    <w:tl2br w:val="nil"/>
                    <w:tr2bl w:val="nil"/>
                  </w:tcBorders>
                  <w:vAlign w:val="center"/>
                </w:tcPr>
                <w:p w14:paraId="4137D57C">
                  <w:pPr>
                    <w:pStyle w:val="6"/>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东，-1.5</w:t>
                  </w:r>
                </w:p>
              </w:tc>
              <w:tc>
                <w:tcPr>
                  <w:tcW w:w="641" w:type="dxa"/>
                  <w:tcBorders>
                    <w:tl2br w:val="nil"/>
                    <w:tr2bl w:val="nil"/>
                  </w:tcBorders>
                  <w:vAlign w:val="center"/>
                </w:tcPr>
                <w:p w14:paraId="25A61B5F">
                  <w:pPr>
                    <w:pStyle w:val="6"/>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200</w:t>
                  </w:r>
                </w:p>
              </w:tc>
              <w:tc>
                <w:tcPr>
                  <w:tcW w:w="957" w:type="dxa"/>
                  <w:vMerge w:val="continue"/>
                  <w:tcBorders>
                    <w:tl2br w:val="nil"/>
                    <w:tr2bl w:val="nil"/>
                  </w:tcBorders>
                  <w:vAlign w:val="center"/>
                </w:tcPr>
                <w:p w14:paraId="656A1631">
                  <w:pPr>
                    <w:pStyle w:val="6"/>
                    <w:ind w:firstLine="0" w:firstLineChars="0"/>
                    <w:jc w:val="center"/>
                    <w:rPr>
                      <w:color w:val="auto"/>
                      <w:sz w:val="21"/>
                      <w:szCs w:val="21"/>
                      <w:u w:val="none"/>
                    </w:rPr>
                  </w:pPr>
                </w:p>
              </w:tc>
            </w:tr>
            <w:tr w14:paraId="27A796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766" w:hRule="atLeast"/>
                <w:jc w:val="center"/>
              </w:trPr>
              <w:tc>
                <w:tcPr>
                  <w:tcW w:w="451" w:type="dxa"/>
                  <w:vMerge w:val="restart"/>
                  <w:tcBorders>
                    <w:tl2br w:val="nil"/>
                    <w:tr2bl w:val="nil"/>
                  </w:tcBorders>
                  <w:vAlign w:val="center"/>
                </w:tcPr>
                <w:p w14:paraId="55C4E59D">
                  <w:pPr>
                    <w:pStyle w:val="6"/>
                    <w:ind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管道工程</w:t>
                  </w:r>
                </w:p>
              </w:tc>
              <w:tc>
                <w:tcPr>
                  <w:tcW w:w="968" w:type="dxa"/>
                  <w:tcBorders>
                    <w:tl2br w:val="nil"/>
                    <w:tr2bl w:val="nil"/>
                  </w:tcBorders>
                  <w:vAlign w:val="center"/>
                </w:tcPr>
                <w:p w14:paraId="6A69991A">
                  <w:pPr>
                    <w:pStyle w:val="6"/>
                    <w:ind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白坪村居民点</w:t>
                  </w:r>
                </w:p>
              </w:tc>
              <w:tc>
                <w:tcPr>
                  <w:tcW w:w="1187" w:type="dxa"/>
                  <w:tcBorders>
                    <w:tl2br w:val="nil"/>
                    <w:tr2bl w:val="nil"/>
                  </w:tcBorders>
                  <w:vAlign w:val="center"/>
                </w:tcPr>
                <w:p w14:paraId="09F16BF6">
                  <w:pPr>
                    <w:jc w:val="center"/>
                    <w:rPr>
                      <w:rFonts w:hint="eastAsia" w:ascii="Times New Roman" w:hAnsi="Times New Roman" w:cs="Times New Roman"/>
                      <w:color w:val="auto"/>
                      <w:sz w:val="21"/>
                      <w:szCs w:val="21"/>
                      <w:u w:val="single"/>
                    </w:rPr>
                  </w:pPr>
                  <w:r>
                    <w:rPr>
                      <w:rFonts w:hint="eastAsia" w:ascii="Times New Roman" w:hAnsi="Times New Roman" w:cs="Times New Roman"/>
                      <w:color w:val="auto"/>
                      <w:sz w:val="21"/>
                      <w:szCs w:val="21"/>
                      <w:u w:val="single"/>
                    </w:rPr>
                    <w:t>109°27′42.11″</w:t>
                  </w:r>
                </w:p>
              </w:tc>
              <w:tc>
                <w:tcPr>
                  <w:tcW w:w="1200" w:type="dxa"/>
                  <w:tcBorders>
                    <w:tl2br w:val="nil"/>
                    <w:tr2bl w:val="nil"/>
                  </w:tcBorders>
                  <w:vAlign w:val="center"/>
                </w:tcPr>
                <w:p w14:paraId="04570170">
                  <w:pPr>
                    <w:jc w:val="center"/>
                    <w:rPr>
                      <w:rFonts w:hint="eastAsia" w:ascii="Times New Roman" w:hAnsi="Times New Roman" w:cs="Times New Roman"/>
                      <w:color w:val="auto"/>
                      <w:sz w:val="21"/>
                      <w:szCs w:val="21"/>
                      <w:u w:val="single"/>
                    </w:rPr>
                  </w:pPr>
                  <w:r>
                    <w:rPr>
                      <w:rFonts w:hint="eastAsia" w:ascii="Times New Roman" w:hAnsi="Times New Roman" w:cs="Times New Roman"/>
                      <w:color w:val="auto"/>
                      <w:sz w:val="21"/>
                      <w:szCs w:val="21"/>
                      <w:u w:val="single"/>
                    </w:rPr>
                    <w:t>29°29′1.72″</w:t>
                  </w:r>
                </w:p>
              </w:tc>
              <w:tc>
                <w:tcPr>
                  <w:tcW w:w="1091" w:type="dxa"/>
                  <w:tcBorders>
                    <w:tl2br w:val="nil"/>
                    <w:tr2bl w:val="nil"/>
                  </w:tcBorders>
                  <w:vAlign w:val="center"/>
                </w:tcPr>
                <w:p w14:paraId="77CEB97B">
                  <w:pPr>
                    <w:pStyle w:val="6"/>
                    <w:ind w:firstLine="0" w:firstLineChars="0"/>
                    <w:jc w:val="center"/>
                    <w:rPr>
                      <w:rFonts w:hint="eastAsia"/>
                      <w:color w:val="auto"/>
                      <w:sz w:val="21"/>
                      <w:szCs w:val="21"/>
                      <w:u w:val="single"/>
                    </w:rPr>
                  </w:pPr>
                  <w:r>
                    <w:rPr>
                      <w:rFonts w:hint="eastAsia"/>
                      <w:color w:val="auto"/>
                      <w:sz w:val="21"/>
                      <w:szCs w:val="21"/>
                      <w:u w:val="single"/>
                    </w:rPr>
                    <w:t>居住</w:t>
                  </w:r>
                  <w:r>
                    <w:rPr>
                      <w:rFonts w:hint="eastAsia"/>
                      <w:color w:val="auto"/>
                      <w:sz w:val="21"/>
                      <w:szCs w:val="21"/>
                      <w:u w:val="single"/>
                      <w:lang w:val="en-US" w:eastAsia="zh-CN"/>
                    </w:rPr>
                    <w:t>点（约20户）</w:t>
                  </w:r>
                </w:p>
              </w:tc>
              <w:tc>
                <w:tcPr>
                  <w:tcW w:w="695" w:type="dxa"/>
                  <w:tcBorders>
                    <w:tl2br w:val="nil"/>
                    <w:tr2bl w:val="nil"/>
                  </w:tcBorders>
                  <w:vAlign w:val="center"/>
                </w:tcPr>
                <w:p w14:paraId="4757AF6A">
                  <w:pPr>
                    <w:pStyle w:val="6"/>
                    <w:ind w:firstLine="0" w:firstLineChars="0"/>
                    <w:jc w:val="center"/>
                    <w:rPr>
                      <w:rFonts w:hint="eastAsia"/>
                      <w:color w:val="auto"/>
                      <w:sz w:val="21"/>
                      <w:szCs w:val="21"/>
                      <w:u w:val="single"/>
                      <w:lang w:eastAsia="zh-CN"/>
                    </w:rPr>
                  </w:pPr>
                  <w:r>
                    <w:rPr>
                      <w:rFonts w:hint="eastAsia"/>
                      <w:color w:val="auto"/>
                      <w:sz w:val="21"/>
                      <w:szCs w:val="21"/>
                      <w:u w:val="single"/>
                      <w:lang w:eastAsia="zh-CN"/>
                    </w:rPr>
                    <w:t>否</w:t>
                  </w:r>
                </w:p>
              </w:tc>
              <w:tc>
                <w:tcPr>
                  <w:tcW w:w="723" w:type="dxa"/>
                  <w:tcBorders>
                    <w:tl2br w:val="nil"/>
                    <w:tr2bl w:val="nil"/>
                  </w:tcBorders>
                  <w:vAlign w:val="center"/>
                </w:tcPr>
                <w:p w14:paraId="49FCD217">
                  <w:pPr>
                    <w:pStyle w:val="6"/>
                    <w:ind w:firstLine="0" w:firstLineChars="0"/>
                    <w:jc w:val="center"/>
                    <w:rPr>
                      <w:rFonts w:hint="default"/>
                      <w:color w:val="auto"/>
                      <w:sz w:val="21"/>
                      <w:szCs w:val="21"/>
                      <w:u w:val="single"/>
                      <w:lang w:val="en-US" w:eastAsia="zh-CN"/>
                    </w:rPr>
                  </w:pPr>
                  <w:r>
                    <w:rPr>
                      <w:rFonts w:hint="eastAsia"/>
                      <w:color w:val="auto"/>
                      <w:sz w:val="21"/>
                      <w:szCs w:val="21"/>
                      <w:u w:val="single"/>
                      <w:lang w:val="en-US" w:eastAsia="zh-CN"/>
                    </w:rPr>
                    <w:t>0</w:t>
                  </w:r>
                </w:p>
              </w:tc>
              <w:tc>
                <w:tcPr>
                  <w:tcW w:w="641" w:type="dxa"/>
                  <w:tcBorders>
                    <w:tl2br w:val="nil"/>
                    <w:tr2bl w:val="nil"/>
                  </w:tcBorders>
                  <w:vAlign w:val="center"/>
                </w:tcPr>
                <w:p w14:paraId="1BBEB2F7">
                  <w:pPr>
                    <w:pStyle w:val="6"/>
                    <w:ind w:firstLine="0" w:firstLineChars="0"/>
                    <w:jc w:val="center"/>
                    <w:rPr>
                      <w:rFonts w:hint="default"/>
                      <w:color w:val="auto"/>
                      <w:sz w:val="21"/>
                      <w:szCs w:val="21"/>
                      <w:u w:val="single"/>
                      <w:lang w:val="en-US" w:eastAsia="zh-CN"/>
                    </w:rPr>
                  </w:pPr>
                  <w:r>
                    <w:rPr>
                      <w:rFonts w:hint="eastAsia"/>
                      <w:color w:val="auto"/>
                      <w:sz w:val="21"/>
                      <w:szCs w:val="21"/>
                      <w:u w:val="single"/>
                      <w:lang w:val="en-US" w:eastAsia="zh-CN"/>
                    </w:rPr>
                    <w:t>10</w:t>
                  </w:r>
                </w:p>
              </w:tc>
              <w:tc>
                <w:tcPr>
                  <w:tcW w:w="957" w:type="dxa"/>
                  <w:vMerge w:val="continue"/>
                  <w:tcBorders>
                    <w:tl2br w:val="nil"/>
                    <w:tr2bl w:val="nil"/>
                  </w:tcBorders>
                  <w:vAlign w:val="center"/>
                </w:tcPr>
                <w:p w14:paraId="3ECDE2B0">
                  <w:pPr>
                    <w:pStyle w:val="6"/>
                    <w:ind w:firstLine="0" w:firstLineChars="0"/>
                    <w:jc w:val="center"/>
                    <w:rPr>
                      <w:color w:val="auto"/>
                      <w:sz w:val="21"/>
                      <w:szCs w:val="21"/>
                      <w:u w:val="none"/>
                    </w:rPr>
                  </w:pPr>
                </w:p>
              </w:tc>
            </w:tr>
            <w:tr w14:paraId="6BAFDC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6" w:hRule="atLeast"/>
                <w:jc w:val="center"/>
              </w:trPr>
              <w:tc>
                <w:tcPr>
                  <w:tcW w:w="451" w:type="dxa"/>
                  <w:vMerge w:val="continue"/>
                  <w:tcBorders>
                    <w:tl2br w:val="nil"/>
                    <w:tr2bl w:val="nil"/>
                  </w:tcBorders>
                  <w:vAlign w:val="center"/>
                </w:tcPr>
                <w:p w14:paraId="7AC7F150">
                  <w:pPr>
                    <w:pStyle w:val="6"/>
                    <w:ind w:firstLine="0" w:firstLineChars="0"/>
                    <w:jc w:val="center"/>
                    <w:rPr>
                      <w:rFonts w:hint="eastAsia"/>
                      <w:color w:val="auto"/>
                      <w:sz w:val="21"/>
                      <w:szCs w:val="21"/>
                      <w:u w:val="single"/>
                      <w:lang w:val="en-US" w:eastAsia="zh-CN"/>
                    </w:rPr>
                  </w:pPr>
                </w:p>
              </w:tc>
              <w:tc>
                <w:tcPr>
                  <w:tcW w:w="968" w:type="dxa"/>
                  <w:tcBorders>
                    <w:tl2br w:val="nil"/>
                    <w:tr2bl w:val="nil"/>
                  </w:tcBorders>
                  <w:vAlign w:val="center"/>
                </w:tcPr>
                <w:p w14:paraId="5614AB32">
                  <w:pPr>
                    <w:pStyle w:val="6"/>
                    <w:ind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刘家院子居民点</w:t>
                  </w:r>
                </w:p>
              </w:tc>
              <w:tc>
                <w:tcPr>
                  <w:tcW w:w="1187" w:type="dxa"/>
                  <w:tcBorders>
                    <w:tl2br w:val="nil"/>
                    <w:tr2bl w:val="nil"/>
                  </w:tcBorders>
                  <w:vAlign w:val="center"/>
                </w:tcPr>
                <w:p w14:paraId="518F7149">
                  <w:pPr>
                    <w:jc w:val="center"/>
                    <w:rPr>
                      <w:rFonts w:hint="eastAsia" w:ascii="Times New Roman" w:hAnsi="Times New Roman" w:cs="Times New Roman"/>
                      <w:color w:val="auto"/>
                      <w:sz w:val="21"/>
                      <w:szCs w:val="21"/>
                      <w:u w:val="single"/>
                    </w:rPr>
                  </w:pPr>
                  <w:r>
                    <w:rPr>
                      <w:rFonts w:hint="eastAsia" w:ascii="Times New Roman" w:hAnsi="Times New Roman" w:cs="Times New Roman"/>
                      <w:color w:val="auto"/>
                      <w:sz w:val="21"/>
                      <w:szCs w:val="21"/>
                      <w:u w:val="single"/>
                    </w:rPr>
                    <w:t>109°27′9.59″</w:t>
                  </w:r>
                </w:p>
              </w:tc>
              <w:tc>
                <w:tcPr>
                  <w:tcW w:w="1200" w:type="dxa"/>
                  <w:tcBorders>
                    <w:tl2br w:val="nil"/>
                    <w:tr2bl w:val="nil"/>
                  </w:tcBorders>
                  <w:vAlign w:val="center"/>
                </w:tcPr>
                <w:p w14:paraId="1E12139E">
                  <w:pPr>
                    <w:jc w:val="center"/>
                    <w:rPr>
                      <w:rFonts w:hint="eastAsia" w:ascii="Times New Roman" w:hAnsi="Times New Roman" w:cs="Times New Roman"/>
                      <w:color w:val="auto"/>
                      <w:sz w:val="21"/>
                      <w:szCs w:val="21"/>
                      <w:u w:val="single"/>
                    </w:rPr>
                  </w:pPr>
                  <w:r>
                    <w:rPr>
                      <w:rFonts w:hint="eastAsia" w:ascii="Times New Roman" w:hAnsi="Times New Roman" w:cs="Times New Roman"/>
                      <w:color w:val="auto"/>
                      <w:sz w:val="21"/>
                      <w:szCs w:val="21"/>
                      <w:u w:val="single"/>
                    </w:rPr>
                    <w:t>29°29′30.80″</w:t>
                  </w:r>
                </w:p>
              </w:tc>
              <w:tc>
                <w:tcPr>
                  <w:tcW w:w="1091" w:type="dxa"/>
                  <w:tcBorders>
                    <w:tl2br w:val="nil"/>
                    <w:tr2bl w:val="nil"/>
                  </w:tcBorders>
                  <w:vAlign w:val="center"/>
                </w:tcPr>
                <w:p w14:paraId="70AA9994">
                  <w:pPr>
                    <w:pStyle w:val="6"/>
                    <w:ind w:firstLine="0" w:firstLineChars="0"/>
                    <w:jc w:val="center"/>
                    <w:rPr>
                      <w:rFonts w:hint="eastAsia"/>
                      <w:color w:val="auto"/>
                      <w:sz w:val="21"/>
                      <w:szCs w:val="21"/>
                      <w:u w:val="single"/>
                    </w:rPr>
                  </w:pPr>
                  <w:r>
                    <w:rPr>
                      <w:rFonts w:hint="eastAsia"/>
                      <w:color w:val="auto"/>
                      <w:sz w:val="21"/>
                      <w:szCs w:val="21"/>
                      <w:u w:val="single"/>
                    </w:rPr>
                    <w:t>居住</w:t>
                  </w:r>
                  <w:r>
                    <w:rPr>
                      <w:rFonts w:hint="eastAsia"/>
                      <w:color w:val="auto"/>
                      <w:sz w:val="21"/>
                      <w:szCs w:val="21"/>
                      <w:u w:val="single"/>
                      <w:lang w:val="en-US" w:eastAsia="zh-CN"/>
                    </w:rPr>
                    <w:t>点（约25户）</w:t>
                  </w:r>
                </w:p>
              </w:tc>
              <w:tc>
                <w:tcPr>
                  <w:tcW w:w="695" w:type="dxa"/>
                  <w:tcBorders>
                    <w:tl2br w:val="nil"/>
                    <w:tr2bl w:val="nil"/>
                  </w:tcBorders>
                  <w:vAlign w:val="center"/>
                </w:tcPr>
                <w:p w14:paraId="64449835">
                  <w:pPr>
                    <w:pStyle w:val="6"/>
                    <w:ind w:firstLine="0" w:firstLineChars="0"/>
                    <w:jc w:val="center"/>
                    <w:rPr>
                      <w:rFonts w:hint="eastAsia"/>
                      <w:color w:val="auto"/>
                      <w:sz w:val="21"/>
                      <w:szCs w:val="21"/>
                      <w:u w:val="single"/>
                      <w:lang w:eastAsia="zh-CN"/>
                    </w:rPr>
                  </w:pPr>
                  <w:r>
                    <w:rPr>
                      <w:rFonts w:hint="eastAsia"/>
                      <w:color w:val="auto"/>
                      <w:sz w:val="21"/>
                      <w:szCs w:val="21"/>
                      <w:u w:val="single"/>
                      <w:lang w:eastAsia="zh-CN"/>
                    </w:rPr>
                    <w:t>否</w:t>
                  </w:r>
                </w:p>
              </w:tc>
              <w:tc>
                <w:tcPr>
                  <w:tcW w:w="723" w:type="dxa"/>
                  <w:tcBorders>
                    <w:tl2br w:val="nil"/>
                    <w:tr2bl w:val="nil"/>
                  </w:tcBorders>
                  <w:vAlign w:val="center"/>
                </w:tcPr>
                <w:p w14:paraId="568C5A2B">
                  <w:pPr>
                    <w:pStyle w:val="6"/>
                    <w:ind w:firstLine="0" w:firstLineChars="0"/>
                    <w:jc w:val="center"/>
                    <w:rPr>
                      <w:rFonts w:hint="default"/>
                      <w:color w:val="auto"/>
                      <w:sz w:val="21"/>
                      <w:szCs w:val="21"/>
                      <w:u w:val="single"/>
                      <w:lang w:val="en-US" w:eastAsia="zh-CN"/>
                    </w:rPr>
                  </w:pPr>
                  <w:r>
                    <w:rPr>
                      <w:rFonts w:hint="eastAsia"/>
                      <w:color w:val="auto"/>
                      <w:sz w:val="21"/>
                      <w:szCs w:val="21"/>
                      <w:u w:val="single"/>
                      <w:lang w:val="en-US" w:eastAsia="zh-CN"/>
                    </w:rPr>
                    <w:t>0</w:t>
                  </w:r>
                </w:p>
              </w:tc>
              <w:tc>
                <w:tcPr>
                  <w:tcW w:w="641" w:type="dxa"/>
                  <w:tcBorders>
                    <w:tl2br w:val="nil"/>
                    <w:tr2bl w:val="nil"/>
                  </w:tcBorders>
                  <w:vAlign w:val="center"/>
                </w:tcPr>
                <w:p w14:paraId="1CDEF322">
                  <w:pPr>
                    <w:pStyle w:val="6"/>
                    <w:ind w:firstLine="0" w:firstLineChars="0"/>
                    <w:jc w:val="center"/>
                    <w:rPr>
                      <w:rFonts w:hint="default"/>
                      <w:color w:val="auto"/>
                      <w:sz w:val="21"/>
                      <w:szCs w:val="21"/>
                      <w:u w:val="single"/>
                      <w:lang w:val="en-US" w:eastAsia="zh-CN"/>
                    </w:rPr>
                  </w:pPr>
                  <w:r>
                    <w:rPr>
                      <w:rFonts w:hint="eastAsia"/>
                      <w:color w:val="auto"/>
                      <w:sz w:val="21"/>
                      <w:szCs w:val="21"/>
                      <w:u w:val="single"/>
                      <w:lang w:val="en-US" w:eastAsia="zh-CN"/>
                    </w:rPr>
                    <w:t>10</w:t>
                  </w:r>
                </w:p>
              </w:tc>
              <w:tc>
                <w:tcPr>
                  <w:tcW w:w="957" w:type="dxa"/>
                  <w:vMerge w:val="continue"/>
                  <w:tcBorders>
                    <w:tl2br w:val="nil"/>
                    <w:tr2bl w:val="nil"/>
                  </w:tcBorders>
                  <w:vAlign w:val="center"/>
                </w:tcPr>
                <w:p w14:paraId="49D62A6B">
                  <w:pPr>
                    <w:pStyle w:val="6"/>
                    <w:ind w:firstLine="0" w:firstLineChars="0"/>
                    <w:jc w:val="center"/>
                    <w:rPr>
                      <w:color w:val="auto"/>
                      <w:sz w:val="21"/>
                      <w:szCs w:val="21"/>
                      <w:u w:val="none"/>
                    </w:rPr>
                  </w:pPr>
                </w:p>
              </w:tc>
            </w:tr>
            <w:tr w14:paraId="3D164C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46" w:hRule="atLeast"/>
                <w:jc w:val="center"/>
              </w:trPr>
              <w:tc>
                <w:tcPr>
                  <w:tcW w:w="451" w:type="dxa"/>
                  <w:vMerge w:val="continue"/>
                  <w:tcBorders>
                    <w:tl2br w:val="nil"/>
                    <w:tr2bl w:val="nil"/>
                  </w:tcBorders>
                  <w:vAlign w:val="center"/>
                </w:tcPr>
                <w:p w14:paraId="21786194">
                  <w:pPr>
                    <w:pStyle w:val="6"/>
                    <w:ind w:firstLine="0" w:firstLineChars="0"/>
                    <w:jc w:val="center"/>
                    <w:rPr>
                      <w:rFonts w:hint="eastAsia"/>
                      <w:color w:val="auto"/>
                      <w:sz w:val="21"/>
                      <w:szCs w:val="21"/>
                      <w:u w:val="single"/>
                      <w:lang w:val="en-US" w:eastAsia="zh-CN"/>
                    </w:rPr>
                  </w:pPr>
                </w:p>
              </w:tc>
              <w:tc>
                <w:tcPr>
                  <w:tcW w:w="968" w:type="dxa"/>
                  <w:tcBorders>
                    <w:tl2br w:val="nil"/>
                    <w:tr2bl w:val="nil"/>
                  </w:tcBorders>
                  <w:vAlign w:val="center"/>
                </w:tcPr>
                <w:p w14:paraId="67D038C3">
                  <w:pPr>
                    <w:pStyle w:val="6"/>
                    <w:ind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 xml:space="preserve"> 胡家院子居民点</w:t>
                  </w:r>
                </w:p>
              </w:tc>
              <w:tc>
                <w:tcPr>
                  <w:tcW w:w="1187" w:type="dxa"/>
                  <w:tcBorders>
                    <w:tl2br w:val="nil"/>
                    <w:tr2bl w:val="nil"/>
                  </w:tcBorders>
                  <w:vAlign w:val="center"/>
                </w:tcPr>
                <w:p w14:paraId="26A50C90">
                  <w:pPr>
                    <w:jc w:val="center"/>
                    <w:rPr>
                      <w:rFonts w:hint="eastAsia" w:ascii="Times New Roman" w:hAnsi="Times New Roman" w:cs="Times New Roman"/>
                      <w:color w:val="auto"/>
                      <w:sz w:val="21"/>
                      <w:szCs w:val="21"/>
                      <w:u w:val="single"/>
                    </w:rPr>
                  </w:pPr>
                  <w:r>
                    <w:rPr>
                      <w:rFonts w:hint="eastAsia" w:ascii="Times New Roman" w:hAnsi="Times New Roman" w:cs="Times New Roman"/>
                      <w:color w:val="auto"/>
                      <w:sz w:val="21"/>
                      <w:szCs w:val="21"/>
                      <w:u w:val="single"/>
                    </w:rPr>
                    <w:t>109°28′38.51″</w:t>
                  </w:r>
                </w:p>
              </w:tc>
              <w:tc>
                <w:tcPr>
                  <w:tcW w:w="1200" w:type="dxa"/>
                  <w:tcBorders>
                    <w:tl2br w:val="nil"/>
                    <w:tr2bl w:val="nil"/>
                  </w:tcBorders>
                  <w:vAlign w:val="center"/>
                </w:tcPr>
                <w:p w14:paraId="42F58D9C">
                  <w:pPr>
                    <w:jc w:val="center"/>
                    <w:rPr>
                      <w:rFonts w:hint="eastAsia" w:ascii="Times New Roman" w:hAnsi="Times New Roman" w:cs="Times New Roman"/>
                      <w:color w:val="auto"/>
                      <w:sz w:val="21"/>
                      <w:szCs w:val="21"/>
                      <w:u w:val="single"/>
                    </w:rPr>
                  </w:pPr>
                  <w:r>
                    <w:rPr>
                      <w:rFonts w:hint="eastAsia" w:ascii="Times New Roman" w:hAnsi="Times New Roman" w:cs="Times New Roman"/>
                      <w:color w:val="auto"/>
                      <w:sz w:val="21"/>
                      <w:szCs w:val="21"/>
                      <w:u w:val="single"/>
                    </w:rPr>
                    <w:t>28°11′13.08″</w:t>
                  </w:r>
                </w:p>
              </w:tc>
              <w:tc>
                <w:tcPr>
                  <w:tcW w:w="1091" w:type="dxa"/>
                  <w:tcBorders>
                    <w:tl2br w:val="nil"/>
                    <w:tr2bl w:val="nil"/>
                  </w:tcBorders>
                  <w:vAlign w:val="center"/>
                </w:tcPr>
                <w:p w14:paraId="64C88B2A">
                  <w:pPr>
                    <w:pStyle w:val="6"/>
                    <w:ind w:firstLine="0" w:firstLineChars="0"/>
                    <w:jc w:val="center"/>
                    <w:rPr>
                      <w:rFonts w:hint="eastAsia"/>
                      <w:color w:val="auto"/>
                      <w:sz w:val="21"/>
                      <w:szCs w:val="21"/>
                      <w:u w:val="single"/>
                    </w:rPr>
                  </w:pPr>
                  <w:r>
                    <w:rPr>
                      <w:rFonts w:hint="eastAsia"/>
                      <w:color w:val="auto"/>
                      <w:sz w:val="21"/>
                      <w:szCs w:val="21"/>
                      <w:u w:val="single"/>
                    </w:rPr>
                    <w:t>居住</w:t>
                  </w:r>
                  <w:r>
                    <w:rPr>
                      <w:rFonts w:hint="eastAsia"/>
                      <w:color w:val="auto"/>
                      <w:sz w:val="21"/>
                      <w:szCs w:val="21"/>
                      <w:u w:val="single"/>
                      <w:lang w:val="en-US" w:eastAsia="zh-CN"/>
                    </w:rPr>
                    <w:t>点（约18户）</w:t>
                  </w:r>
                </w:p>
              </w:tc>
              <w:tc>
                <w:tcPr>
                  <w:tcW w:w="695" w:type="dxa"/>
                  <w:tcBorders>
                    <w:tl2br w:val="nil"/>
                    <w:tr2bl w:val="nil"/>
                  </w:tcBorders>
                  <w:vAlign w:val="center"/>
                </w:tcPr>
                <w:p w14:paraId="71DFD184">
                  <w:pPr>
                    <w:pStyle w:val="6"/>
                    <w:ind w:firstLine="0" w:firstLineChars="0"/>
                    <w:jc w:val="center"/>
                    <w:rPr>
                      <w:rFonts w:hint="eastAsia"/>
                      <w:color w:val="auto"/>
                      <w:sz w:val="21"/>
                      <w:szCs w:val="21"/>
                      <w:u w:val="single"/>
                      <w:lang w:eastAsia="zh-CN"/>
                    </w:rPr>
                  </w:pPr>
                  <w:r>
                    <w:rPr>
                      <w:rFonts w:hint="eastAsia"/>
                      <w:color w:val="auto"/>
                      <w:sz w:val="21"/>
                      <w:szCs w:val="21"/>
                      <w:u w:val="single"/>
                      <w:lang w:eastAsia="zh-CN"/>
                    </w:rPr>
                    <w:t>否</w:t>
                  </w:r>
                </w:p>
              </w:tc>
              <w:tc>
                <w:tcPr>
                  <w:tcW w:w="723" w:type="dxa"/>
                  <w:tcBorders>
                    <w:tl2br w:val="nil"/>
                    <w:tr2bl w:val="nil"/>
                  </w:tcBorders>
                  <w:vAlign w:val="center"/>
                </w:tcPr>
                <w:p w14:paraId="2FAE2870">
                  <w:pPr>
                    <w:pStyle w:val="6"/>
                    <w:ind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0</w:t>
                  </w:r>
                </w:p>
              </w:tc>
              <w:tc>
                <w:tcPr>
                  <w:tcW w:w="641" w:type="dxa"/>
                  <w:tcBorders>
                    <w:tl2br w:val="nil"/>
                    <w:tr2bl w:val="nil"/>
                  </w:tcBorders>
                  <w:vAlign w:val="center"/>
                </w:tcPr>
                <w:p w14:paraId="11675971">
                  <w:pPr>
                    <w:pStyle w:val="6"/>
                    <w:ind w:firstLine="0" w:firstLineChars="0"/>
                    <w:jc w:val="center"/>
                    <w:rPr>
                      <w:rFonts w:hint="default"/>
                      <w:color w:val="auto"/>
                      <w:sz w:val="21"/>
                      <w:szCs w:val="21"/>
                      <w:u w:val="single"/>
                      <w:lang w:val="en-US" w:eastAsia="zh-CN"/>
                    </w:rPr>
                  </w:pPr>
                  <w:r>
                    <w:rPr>
                      <w:rFonts w:hint="eastAsia"/>
                      <w:color w:val="auto"/>
                      <w:sz w:val="21"/>
                      <w:szCs w:val="21"/>
                      <w:u w:val="single"/>
                      <w:lang w:val="en-US" w:eastAsia="zh-CN"/>
                    </w:rPr>
                    <w:t>10</w:t>
                  </w:r>
                </w:p>
              </w:tc>
              <w:tc>
                <w:tcPr>
                  <w:tcW w:w="957" w:type="dxa"/>
                  <w:vMerge w:val="continue"/>
                  <w:tcBorders>
                    <w:tl2br w:val="nil"/>
                    <w:tr2bl w:val="nil"/>
                  </w:tcBorders>
                  <w:vAlign w:val="center"/>
                </w:tcPr>
                <w:p w14:paraId="75338DCE">
                  <w:pPr>
                    <w:pStyle w:val="6"/>
                    <w:ind w:firstLine="0" w:firstLineChars="0"/>
                    <w:jc w:val="center"/>
                    <w:rPr>
                      <w:color w:val="auto"/>
                      <w:sz w:val="21"/>
                      <w:szCs w:val="21"/>
                      <w:u w:val="none"/>
                    </w:rPr>
                  </w:pPr>
                </w:p>
              </w:tc>
            </w:tr>
          </w:tbl>
          <w:p w14:paraId="7EE1BCB8">
            <w:pPr>
              <w:pStyle w:val="87"/>
              <w:spacing w:line="360" w:lineRule="auto"/>
              <w:ind w:firstLine="482"/>
              <w:jc w:val="left"/>
              <w:rPr>
                <w:rFonts w:hAnsi="Times New Roman" w:cs="Times New Roman"/>
                <w:b/>
                <w:color w:val="auto"/>
                <w:sz w:val="24"/>
              </w:rPr>
            </w:pPr>
            <w:r>
              <w:rPr>
                <w:rFonts w:hAnsi="Times New Roman" w:cs="Times New Roman"/>
                <w:b/>
                <w:color w:val="auto"/>
                <w:sz w:val="24"/>
              </w:rPr>
              <w:t>2、声环境</w:t>
            </w:r>
          </w:p>
          <w:p w14:paraId="293F3E49">
            <w:pPr>
              <w:pStyle w:val="87"/>
              <w:spacing w:line="360" w:lineRule="auto"/>
              <w:jc w:val="left"/>
              <w:rPr>
                <w:rFonts w:hint="eastAsia" w:hAnsi="Times New Roman" w:cs="Times New Roman"/>
                <w:bCs/>
                <w:color w:val="auto"/>
                <w:sz w:val="24"/>
                <w:lang w:eastAsia="zh-CN"/>
              </w:rPr>
            </w:pPr>
            <w:r>
              <w:rPr>
                <w:rFonts w:hAnsi="Times New Roman" w:cs="Times New Roman"/>
                <w:bCs/>
                <w:color w:val="auto"/>
                <w:sz w:val="24"/>
              </w:rPr>
              <w:t>本项目</w:t>
            </w:r>
            <w:r>
              <w:rPr>
                <w:rFonts w:hint="eastAsia" w:hAnsi="Times New Roman" w:cs="Times New Roman"/>
                <w:bCs/>
                <w:color w:val="auto"/>
                <w:sz w:val="24"/>
                <w:lang w:eastAsia="zh-CN"/>
              </w:rPr>
              <w:t>污水处理厂拟建地</w:t>
            </w:r>
            <w:r>
              <w:rPr>
                <w:rFonts w:hAnsi="Times New Roman" w:cs="Times New Roman"/>
                <w:bCs/>
                <w:color w:val="auto"/>
                <w:sz w:val="24"/>
              </w:rPr>
              <w:t>50m范围内</w:t>
            </w:r>
            <w:r>
              <w:rPr>
                <w:rFonts w:hint="eastAsia" w:hAnsi="Times New Roman" w:cs="Times New Roman"/>
                <w:bCs/>
                <w:color w:val="auto"/>
                <w:sz w:val="24"/>
                <w:lang w:eastAsia="zh-CN"/>
              </w:rPr>
              <w:t>无</w:t>
            </w:r>
            <w:r>
              <w:rPr>
                <w:rFonts w:hAnsi="Times New Roman" w:cs="Times New Roman"/>
                <w:bCs/>
                <w:color w:val="auto"/>
                <w:sz w:val="24"/>
              </w:rPr>
              <w:t>声环境保护目标</w:t>
            </w:r>
            <w:r>
              <w:rPr>
                <w:rFonts w:hint="eastAsia" w:hAnsi="Times New Roman" w:cs="Times New Roman"/>
                <w:bCs/>
                <w:color w:val="auto"/>
                <w:sz w:val="24"/>
                <w:lang w:eastAsia="zh-CN"/>
              </w:rPr>
              <w:t>，管道工程声环境保护目标见下表</w:t>
            </w:r>
          </w:p>
          <w:p w14:paraId="29883350">
            <w:pPr>
              <w:snapToGrid w:val="0"/>
              <w:jc w:val="center"/>
              <w:rPr>
                <w:rFonts w:hint="eastAsia" w:hAnsi="Times New Roman" w:cs="Times New Roman"/>
                <w:bCs/>
                <w:color w:val="auto"/>
                <w:sz w:val="24"/>
                <w:lang w:eastAsia="zh-CN"/>
              </w:rPr>
            </w:pPr>
            <w:r>
              <w:rPr>
                <w:b/>
                <w:color w:val="auto"/>
                <w:szCs w:val="21"/>
                <w:highlight w:val="none"/>
                <w:u w:val="none"/>
              </w:rPr>
              <w:t>表3-</w:t>
            </w:r>
            <w:r>
              <w:rPr>
                <w:rFonts w:hint="eastAsia"/>
                <w:b/>
                <w:color w:val="auto"/>
                <w:szCs w:val="21"/>
                <w:highlight w:val="none"/>
                <w:u w:val="none"/>
                <w:lang w:val="en-US" w:eastAsia="zh-CN"/>
              </w:rPr>
              <w:t>6</w:t>
            </w:r>
            <w:r>
              <w:rPr>
                <w:b/>
                <w:color w:val="auto"/>
                <w:szCs w:val="21"/>
                <w:highlight w:val="none"/>
                <w:u w:val="none"/>
              </w:rPr>
              <w:t xml:space="preserve"> </w:t>
            </w:r>
            <w:r>
              <w:rPr>
                <w:rFonts w:hint="eastAsia"/>
                <w:b/>
                <w:color w:val="auto"/>
                <w:szCs w:val="21"/>
                <w:highlight w:val="none"/>
                <w:u w:val="none"/>
                <w:lang w:eastAsia="zh-CN"/>
              </w:rPr>
              <w:t>声环境</w:t>
            </w:r>
            <w:r>
              <w:rPr>
                <w:b/>
                <w:color w:val="auto"/>
                <w:szCs w:val="21"/>
                <w:highlight w:val="none"/>
                <w:u w:val="none"/>
              </w:rPr>
              <w:t>保护目标一览表</w:t>
            </w:r>
          </w:p>
          <w:tbl>
            <w:tblPr>
              <w:tblStyle w:val="32"/>
              <w:tblW w:w="791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451"/>
              <w:gridCol w:w="968"/>
              <w:gridCol w:w="1187"/>
              <w:gridCol w:w="1200"/>
              <w:gridCol w:w="1091"/>
              <w:gridCol w:w="695"/>
              <w:gridCol w:w="723"/>
              <w:gridCol w:w="641"/>
              <w:gridCol w:w="957"/>
            </w:tblGrid>
            <w:tr w14:paraId="5D4C0C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15" w:hRule="atLeast"/>
                <w:jc w:val="center"/>
              </w:trPr>
              <w:tc>
                <w:tcPr>
                  <w:tcW w:w="1419" w:type="dxa"/>
                  <w:gridSpan w:val="2"/>
                  <w:vMerge w:val="restart"/>
                  <w:tcBorders>
                    <w:tl2br w:val="nil"/>
                    <w:tr2bl w:val="nil"/>
                  </w:tcBorders>
                  <w:vAlign w:val="center"/>
                </w:tcPr>
                <w:p w14:paraId="6F7A946F">
                  <w:pPr>
                    <w:pStyle w:val="6"/>
                    <w:ind w:firstLine="0" w:firstLineChars="0"/>
                    <w:jc w:val="center"/>
                    <w:rPr>
                      <w:color w:val="auto"/>
                      <w:sz w:val="21"/>
                      <w:szCs w:val="21"/>
                      <w:highlight w:val="none"/>
                      <w:u w:val="none"/>
                    </w:rPr>
                  </w:pPr>
                  <w:r>
                    <w:rPr>
                      <w:color w:val="auto"/>
                      <w:sz w:val="21"/>
                      <w:szCs w:val="21"/>
                      <w:highlight w:val="none"/>
                      <w:u w:val="none"/>
                    </w:rPr>
                    <w:t>名称</w:t>
                  </w:r>
                </w:p>
              </w:tc>
              <w:tc>
                <w:tcPr>
                  <w:tcW w:w="2387" w:type="dxa"/>
                  <w:gridSpan w:val="2"/>
                  <w:tcBorders>
                    <w:tl2br w:val="nil"/>
                    <w:tr2bl w:val="nil"/>
                  </w:tcBorders>
                  <w:vAlign w:val="center"/>
                </w:tcPr>
                <w:p w14:paraId="3AB2435E">
                  <w:pPr>
                    <w:pStyle w:val="6"/>
                    <w:ind w:firstLine="0" w:firstLineChars="0"/>
                    <w:jc w:val="center"/>
                    <w:rPr>
                      <w:color w:val="auto"/>
                      <w:sz w:val="21"/>
                      <w:szCs w:val="21"/>
                      <w:highlight w:val="none"/>
                      <w:u w:val="none"/>
                    </w:rPr>
                  </w:pPr>
                  <w:r>
                    <w:rPr>
                      <w:color w:val="auto"/>
                      <w:sz w:val="21"/>
                      <w:szCs w:val="21"/>
                      <w:highlight w:val="none"/>
                      <w:u w:val="none"/>
                    </w:rPr>
                    <w:t>坐标</w:t>
                  </w:r>
                </w:p>
              </w:tc>
              <w:tc>
                <w:tcPr>
                  <w:tcW w:w="1091" w:type="dxa"/>
                  <w:vMerge w:val="restart"/>
                  <w:tcBorders>
                    <w:tl2br w:val="nil"/>
                    <w:tr2bl w:val="nil"/>
                  </w:tcBorders>
                  <w:vAlign w:val="center"/>
                </w:tcPr>
                <w:p w14:paraId="1D15445E">
                  <w:pPr>
                    <w:pStyle w:val="6"/>
                    <w:ind w:firstLine="0" w:firstLineChars="0"/>
                    <w:jc w:val="center"/>
                    <w:rPr>
                      <w:color w:val="auto"/>
                      <w:sz w:val="21"/>
                      <w:szCs w:val="21"/>
                      <w:highlight w:val="none"/>
                      <w:u w:val="none"/>
                    </w:rPr>
                  </w:pPr>
                  <w:r>
                    <w:rPr>
                      <w:rFonts w:hint="eastAsia"/>
                      <w:color w:val="auto"/>
                      <w:sz w:val="21"/>
                      <w:szCs w:val="21"/>
                      <w:highlight w:val="none"/>
                      <w:u w:val="none"/>
                    </w:rPr>
                    <w:t>保护对象</w:t>
                  </w:r>
                </w:p>
              </w:tc>
              <w:tc>
                <w:tcPr>
                  <w:tcW w:w="695" w:type="dxa"/>
                  <w:vMerge w:val="restart"/>
                  <w:tcBorders>
                    <w:tl2br w:val="nil"/>
                    <w:tr2bl w:val="nil"/>
                  </w:tcBorders>
                  <w:vAlign w:val="center"/>
                </w:tcPr>
                <w:p w14:paraId="6FEC65B7">
                  <w:pPr>
                    <w:pStyle w:val="6"/>
                    <w:ind w:firstLine="0" w:firstLineChars="0"/>
                    <w:jc w:val="center"/>
                    <w:rPr>
                      <w:rFonts w:hint="eastAsia" w:eastAsia="宋体"/>
                      <w:color w:val="auto"/>
                      <w:sz w:val="21"/>
                      <w:szCs w:val="21"/>
                      <w:highlight w:val="none"/>
                      <w:u w:val="none"/>
                      <w:lang w:eastAsia="zh-CN"/>
                    </w:rPr>
                  </w:pPr>
                  <w:r>
                    <w:rPr>
                      <w:rFonts w:hint="eastAsia"/>
                      <w:color w:val="auto"/>
                      <w:sz w:val="21"/>
                      <w:szCs w:val="21"/>
                      <w:highlight w:val="none"/>
                      <w:u w:val="none"/>
                      <w:lang w:eastAsia="zh-CN"/>
                    </w:rPr>
                    <w:t>是否有山体阻隔</w:t>
                  </w:r>
                </w:p>
              </w:tc>
              <w:tc>
                <w:tcPr>
                  <w:tcW w:w="723" w:type="dxa"/>
                  <w:vMerge w:val="restart"/>
                  <w:tcBorders>
                    <w:tl2br w:val="nil"/>
                    <w:tr2bl w:val="nil"/>
                  </w:tcBorders>
                  <w:vAlign w:val="center"/>
                </w:tcPr>
                <w:p w14:paraId="14914E64">
                  <w:pPr>
                    <w:pStyle w:val="6"/>
                    <w:ind w:firstLine="0" w:firstLineChars="0"/>
                    <w:jc w:val="center"/>
                    <w:rPr>
                      <w:rFonts w:hint="eastAsia" w:eastAsia="宋体"/>
                      <w:color w:val="auto"/>
                      <w:sz w:val="21"/>
                      <w:szCs w:val="21"/>
                      <w:highlight w:val="none"/>
                      <w:u w:val="none"/>
                      <w:lang w:eastAsia="zh-CN"/>
                    </w:rPr>
                  </w:pPr>
                  <w:r>
                    <w:rPr>
                      <w:color w:val="auto"/>
                      <w:sz w:val="21"/>
                      <w:szCs w:val="21"/>
                      <w:highlight w:val="none"/>
                      <w:u w:val="none"/>
                    </w:rPr>
                    <w:t>相对项目方位</w:t>
                  </w:r>
                  <w:r>
                    <w:rPr>
                      <w:rFonts w:hint="eastAsia"/>
                      <w:color w:val="auto"/>
                      <w:sz w:val="21"/>
                      <w:szCs w:val="21"/>
                      <w:highlight w:val="none"/>
                      <w:u w:val="none"/>
                      <w:lang w:eastAsia="zh-CN"/>
                    </w:rPr>
                    <w:t>、高差</w:t>
                  </w:r>
                </w:p>
              </w:tc>
              <w:tc>
                <w:tcPr>
                  <w:tcW w:w="641" w:type="dxa"/>
                  <w:vMerge w:val="restart"/>
                  <w:tcBorders>
                    <w:tl2br w:val="nil"/>
                    <w:tr2bl w:val="nil"/>
                  </w:tcBorders>
                  <w:vAlign w:val="center"/>
                </w:tcPr>
                <w:p w14:paraId="6AEDF707">
                  <w:pPr>
                    <w:pStyle w:val="6"/>
                    <w:ind w:firstLine="0" w:firstLineChars="0"/>
                    <w:jc w:val="center"/>
                    <w:rPr>
                      <w:color w:val="auto"/>
                      <w:sz w:val="21"/>
                      <w:szCs w:val="21"/>
                      <w:highlight w:val="none"/>
                      <w:u w:val="none"/>
                    </w:rPr>
                  </w:pPr>
                  <w:r>
                    <w:rPr>
                      <w:color w:val="auto"/>
                      <w:sz w:val="21"/>
                      <w:szCs w:val="21"/>
                      <w:highlight w:val="none"/>
                      <w:u w:val="none"/>
                    </w:rPr>
                    <w:t>与项目厂界最近距离（m）</w:t>
                  </w:r>
                </w:p>
              </w:tc>
              <w:tc>
                <w:tcPr>
                  <w:tcW w:w="957" w:type="dxa"/>
                  <w:vMerge w:val="restart"/>
                  <w:tcBorders>
                    <w:tl2br w:val="nil"/>
                    <w:tr2bl w:val="nil"/>
                  </w:tcBorders>
                  <w:vAlign w:val="center"/>
                </w:tcPr>
                <w:p w14:paraId="2C4334FA">
                  <w:pPr>
                    <w:pStyle w:val="6"/>
                    <w:ind w:firstLine="0" w:firstLineChars="0"/>
                    <w:jc w:val="center"/>
                    <w:rPr>
                      <w:color w:val="auto"/>
                      <w:sz w:val="21"/>
                      <w:szCs w:val="21"/>
                      <w:highlight w:val="none"/>
                      <w:u w:val="none"/>
                    </w:rPr>
                  </w:pPr>
                  <w:r>
                    <w:rPr>
                      <w:color w:val="auto"/>
                      <w:sz w:val="21"/>
                      <w:szCs w:val="21"/>
                      <w:highlight w:val="none"/>
                      <w:u w:val="none"/>
                    </w:rPr>
                    <w:t>环境功能区</w:t>
                  </w:r>
                </w:p>
              </w:tc>
            </w:tr>
            <w:tr w14:paraId="3948FC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840" w:hRule="atLeast"/>
                <w:jc w:val="center"/>
              </w:trPr>
              <w:tc>
                <w:tcPr>
                  <w:tcW w:w="1419" w:type="dxa"/>
                  <w:gridSpan w:val="2"/>
                  <w:vMerge w:val="continue"/>
                  <w:tcBorders>
                    <w:tl2br w:val="nil"/>
                    <w:tr2bl w:val="nil"/>
                  </w:tcBorders>
                  <w:vAlign w:val="center"/>
                </w:tcPr>
                <w:p w14:paraId="70B4EB15">
                  <w:pPr>
                    <w:pStyle w:val="6"/>
                    <w:ind w:firstLine="0" w:firstLineChars="0"/>
                    <w:jc w:val="center"/>
                    <w:rPr>
                      <w:color w:val="auto"/>
                      <w:sz w:val="21"/>
                      <w:szCs w:val="21"/>
                      <w:u w:val="none"/>
                    </w:rPr>
                  </w:pPr>
                </w:p>
              </w:tc>
              <w:tc>
                <w:tcPr>
                  <w:tcW w:w="1187" w:type="dxa"/>
                  <w:tcBorders>
                    <w:tl2br w:val="nil"/>
                    <w:tr2bl w:val="nil"/>
                  </w:tcBorders>
                  <w:vAlign w:val="center"/>
                </w:tcPr>
                <w:p w14:paraId="5E9F580B">
                  <w:pPr>
                    <w:pStyle w:val="6"/>
                    <w:ind w:firstLine="0" w:firstLineChars="0"/>
                    <w:jc w:val="center"/>
                    <w:rPr>
                      <w:color w:val="auto"/>
                      <w:sz w:val="21"/>
                      <w:szCs w:val="21"/>
                      <w:u w:val="none"/>
                    </w:rPr>
                  </w:pPr>
                  <w:r>
                    <w:rPr>
                      <w:color w:val="auto"/>
                      <w:sz w:val="21"/>
                      <w:szCs w:val="21"/>
                      <w:u w:val="none"/>
                    </w:rPr>
                    <w:t>东经</w:t>
                  </w:r>
                </w:p>
              </w:tc>
              <w:tc>
                <w:tcPr>
                  <w:tcW w:w="1200" w:type="dxa"/>
                  <w:tcBorders>
                    <w:tl2br w:val="nil"/>
                    <w:tr2bl w:val="nil"/>
                  </w:tcBorders>
                  <w:vAlign w:val="center"/>
                </w:tcPr>
                <w:p w14:paraId="23B222A7">
                  <w:pPr>
                    <w:pStyle w:val="6"/>
                    <w:ind w:firstLine="0" w:firstLineChars="0"/>
                    <w:jc w:val="center"/>
                    <w:rPr>
                      <w:color w:val="auto"/>
                      <w:sz w:val="21"/>
                      <w:szCs w:val="21"/>
                      <w:u w:val="none"/>
                    </w:rPr>
                  </w:pPr>
                  <w:r>
                    <w:rPr>
                      <w:color w:val="auto"/>
                      <w:sz w:val="21"/>
                      <w:szCs w:val="21"/>
                      <w:u w:val="none"/>
                    </w:rPr>
                    <w:t>北纬</w:t>
                  </w:r>
                </w:p>
              </w:tc>
              <w:tc>
                <w:tcPr>
                  <w:tcW w:w="1091" w:type="dxa"/>
                  <w:vMerge w:val="continue"/>
                  <w:tcBorders>
                    <w:tl2br w:val="nil"/>
                    <w:tr2bl w:val="nil"/>
                  </w:tcBorders>
                  <w:vAlign w:val="center"/>
                </w:tcPr>
                <w:p w14:paraId="5CA77DBC">
                  <w:pPr>
                    <w:pStyle w:val="6"/>
                    <w:ind w:firstLine="0" w:firstLineChars="0"/>
                    <w:jc w:val="center"/>
                    <w:rPr>
                      <w:color w:val="auto"/>
                      <w:sz w:val="21"/>
                      <w:szCs w:val="21"/>
                      <w:u w:val="none"/>
                    </w:rPr>
                  </w:pPr>
                </w:p>
              </w:tc>
              <w:tc>
                <w:tcPr>
                  <w:tcW w:w="695" w:type="dxa"/>
                  <w:vMerge w:val="continue"/>
                  <w:tcBorders>
                    <w:tl2br w:val="nil"/>
                    <w:tr2bl w:val="nil"/>
                  </w:tcBorders>
                  <w:vAlign w:val="center"/>
                </w:tcPr>
                <w:p w14:paraId="287DF33F">
                  <w:pPr>
                    <w:pStyle w:val="6"/>
                    <w:ind w:firstLine="0" w:firstLineChars="0"/>
                    <w:jc w:val="center"/>
                    <w:rPr>
                      <w:color w:val="auto"/>
                      <w:sz w:val="21"/>
                      <w:szCs w:val="21"/>
                      <w:u w:val="none"/>
                    </w:rPr>
                  </w:pPr>
                </w:p>
              </w:tc>
              <w:tc>
                <w:tcPr>
                  <w:tcW w:w="723" w:type="dxa"/>
                  <w:vMerge w:val="continue"/>
                  <w:tcBorders>
                    <w:tl2br w:val="nil"/>
                    <w:tr2bl w:val="nil"/>
                  </w:tcBorders>
                  <w:vAlign w:val="center"/>
                </w:tcPr>
                <w:p w14:paraId="3F39BDE9">
                  <w:pPr>
                    <w:pStyle w:val="6"/>
                    <w:ind w:firstLine="0" w:firstLineChars="0"/>
                    <w:jc w:val="center"/>
                    <w:rPr>
                      <w:color w:val="auto"/>
                      <w:sz w:val="21"/>
                      <w:szCs w:val="21"/>
                      <w:u w:val="none"/>
                    </w:rPr>
                  </w:pPr>
                </w:p>
              </w:tc>
              <w:tc>
                <w:tcPr>
                  <w:tcW w:w="641" w:type="dxa"/>
                  <w:vMerge w:val="continue"/>
                  <w:tcBorders>
                    <w:tl2br w:val="nil"/>
                    <w:tr2bl w:val="nil"/>
                  </w:tcBorders>
                  <w:vAlign w:val="center"/>
                </w:tcPr>
                <w:p w14:paraId="7CAEE4E5">
                  <w:pPr>
                    <w:pStyle w:val="6"/>
                    <w:ind w:firstLine="0" w:firstLineChars="0"/>
                    <w:jc w:val="center"/>
                    <w:rPr>
                      <w:color w:val="auto"/>
                      <w:sz w:val="21"/>
                      <w:szCs w:val="21"/>
                      <w:u w:val="none"/>
                    </w:rPr>
                  </w:pPr>
                </w:p>
              </w:tc>
              <w:tc>
                <w:tcPr>
                  <w:tcW w:w="957" w:type="dxa"/>
                  <w:vMerge w:val="continue"/>
                  <w:tcBorders>
                    <w:tl2br w:val="nil"/>
                    <w:tr2bl w:val="nil"/>
                  </w:tcBorders>
                  <w:vAlign w:val="center"/>
                </w:tcPr>
                <w:p w14:paraId="4D37FEAA">
                  <w:pPr>
                    <w:pStyle w:val="6"/>
                    <w:ind w:firstLine="0" w:firstLineChars="0"/>
                    <w:jc w:val="center"/>
                    <w:rPr>
                      <w:color w:val="auto"/>
                      <w:sz w:val="21"/>
                      <w:szCs w:val="21"/>
                      <w:u w:val="none"/>
                    </w:rPr>
                  </w:pPr>
                </w:p>
              </w:tc>
            </w:tr>
            <w:tr w14:paraId="1F1249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86" w:hRule="atLeast"/>
                <w:jc w:val="center"/>
              </w:trPr>
              <w:tc>
                <w:tcPr>
                  <w:tcW w:w="451" w:type="dxa"/>
                  <w:vMerge w:val="restart"/>
                  <w:tcBorders>
                    <w:tl2br w:val="nil"/>
                    <w:tr2bl w:val="nil"/>
                  </w:tcBorders>
                  <w:vAlign w:val="center"/>
                </w:tcPr>
                <w:p w14:paraId="37FC26AA">
                  <w:pPr>
                    <w:pStyle w:val="6"/>
                    <w:ind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管道工程</w:t>
                  </w:r>
                </w:p>
              </w:tc>
              <w:tc>
                <w:tcPr>
                  <w:tcW w:w="968" w:type="dxa"/>
                  <w:tcBorders>
                    <w:tl2br w:val="nil"/>
                    <w:tr2bl w:val="nil"/>
                  </w:tcBorders>
                  <w:vAlign w:val="center"/>
                </w:tcPr>
                <w:p w14:paraId="5903879E">
                  <w:pPr>
                    <w:pStyle w:val="6"/>
                    <w:ind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白坪村居民点</w:t>
                  </w:r>
                </w:p>
              </w:tc>
              <w:tc>
                <w:tcPr>
                  <w:tcW w:w="1187" w:type="dxa"/>
                  <w:tcBorders>
                    <w:tl2br w:val="nil"/>
                    <w:tr2bl w:val="nil"/>
                  </w:tcBorders>
                  <w:vAlign w:val="center"/>
                </w:tcPr>
                <w:p w14:paraId="7AAFABBE">
                  <w:pPr>
                    <w:jc w:val="center"/>
                    <w:rPr>
                      <w:rFonts w:hint="eastAsia" w:ascii="Times New Roman" w:hAnsi="Times New Roman" w:cs="Times New Roman"/>
                      <w:color w:val="auto"/>
                      <w:sz w:val="21"/>
                      <w:szCs w:val="21"/>
                      <w:u w:val="single"/>
                    </w:rPr>
                  </w:pPr>
                  <w:r>
                    <w:rPr>
                      <w:rFonts w:hint="eastAsia" w:ascii="Times New Roman" w:hAnsi="Times New Roman" w:cs="Times New Roman"/>
                      <w:color w:val="auto"/>
                      <w:sz w:val="21"/>
                      <w:szCs w:val="21"/>
                      <w:u w:val="single"/>
                    </w:rPr>
                    <w:t>109°27′42.11″</w:t>
                  </w:r>
                </w:p>
              </w:tc>
              <w:tc>
                <w:tcPr>
                  <w:tcW w:w="1200" w:type="dxa"/>
                  <w:tcBorders>
                    <w:tl2br w:val="nil"/>
                    <w:tr2bl w:val="nil"/>
                  </w:tcBorders>
                  <w:vAlign w:val="center"/>
                </w:tcPr>
                <w:p w14:paraId="159F0461">
                  <w:pPr>
                    <w:jc w:val="center"/>
                    <w:rPr>
                      <w:rFonts w:hint="eastAsia" w:ascii="Times New Roman" w:hAnsi="Times New Roman" w:cs="Times New Roman"/>
                      <w:color w:val="auto"/>
                      <w:sz w:val="21"/>
                      <w:szCs w:val="21"/>
                      <w:u w:val="single"/>
                    </w:rPr>
                  </w:pPr>
                  <w:r>
                    <w:rPr>
                      <w:rFonts w:hint="eastAsia" w:ascii="Times New Roman" w:hAnsi="Times New Roman" w:cs="Times New Roman"/>
                      <w:color w:val="auto"/>
                      <w:sz w:val="21"/>
                      <w:szCs w:val="21"/>
                      <w:u w:val="single"/>
                    </w:rPr>
                    <w:t>29°29′1.72″</w:t>
                  </w:r>
                </w:p>
              </w:tc>
              <w:tc>
                <w:tcPr>
                  <w:tcW w:w="1091" w:type="dxa"/>
                  <w:tcBorders>
                    <w:tl2br w:val="nil"/>
                    <w:tr2bl w:val="nil"/>
                  </w:tcBorders>
                  <w:vAlign w:val="center"/>
                </w:tcPr>
                <w:p w14:paraId="0D4B4317">
                  <w:pPr>
                    <w:pStyle w:val="6"/>
                    <w:ind w:firstLine="0" w:firstLineChars="0"/>
                    <w:jc w:val="center"/>
                    <w:rPr>
                      <w:rFonts w:hint="eastAsia"/>
                      <w:color w:val="auto"/>
                      <w:sz w:val="21"/>
                      <w:szCs w:val="21"/>
                      <w:u w:val="single"/>
                    </w:rPr>
                  </w:pPr>
                  <w:r>
                    <w:rPr>
                      <w:rFonts w:hint="eastAsia"/>
                      <w:color w:val="auto"/>
                      <w:sz w:val="21"/>
                      <w:szCs w:val="21"/>
                      <w:u w:val="single"/>
                    </w:rPr>
                    <w:t>居住</w:t>
                  </w:r>
                  <w:r>
                    <w:rPr>
                      <w:rFonts w:hint="eastAsia"/>
                      <w:color w:val="auto"/>
                      <w:sz w:val="21"/>
                      <w:szCs w:val="21"/>
                      <w:u w:val="single"/>
                      <w:lang w:val="en-US" w:eastAsia="zh-CN"/>
                    </w:rPr>
                    <w:t>点（约20户）</w:t>
                  </w:r>
                </w:p>
              </w:tc>
              <w:tc>
                <w:tcPr>
                  <w:tcW w:w="695" w:type="dxa"/>
                  <w:tcBorders>
                    <w:tl2br w:val="nil"/>
                    <w:tr2bl w:val="nil"/>
                  </w:tcBorders>
                  <w:vAlign w:val="center"/>
                </w:tcPr>
                <w:p w14:paraId="19DD2C8C">
                  <w:pPr>
                    <w:pStyle w:val="6"/>
                    <w:ind w:firstLine="0" w:firstLineChars="0"/>
                    <w:jc w:val="center"/>
                    <w:rPr>
                      <w:rFonts w:hint="eastAsia"/>
                      <w:color w:val="auto"/>
                      <w:sz w:val="21"/>
                      <w:szCs w:val="21"/>
                      <w:u w:val="single"/>
                      <w:lang w:eastAsia="zh-CN"/>
                    </w:rPr>
                  </w:pPr>
                  <w:r>
                    <w:rPr>
                      <w:rFonts w:hint="eastAsia"/>
                      <w:color w:val="auto"/>
                      <w:sz w:val="21"/>
                      <w:szCs w:val="21"/>
                      <w:u w:val="single"/>
                      <w:lang w:eastAsia="zh-CN"/>
                    </w:rPr>
                    <w:t>否</w:t>
                  </w:r>
                </w:p>
              </w:tc>
              <w:tc>
                <w:tcPr>
                  <w:tcW w:w="723" w:type="dxa"/>
                  <w:tcBorders>
                    <w:tl2br w:val="nil"/>
                    <w:tr2bl w:val="nil"/>
                  </w:tcBorders>
                  <w:vAlign w:val="center"/>
                </w:tcPr>
                <w:p w14:paraId="196C8DFE">
                  <w:pPr>
                    <w:pStyle w:val="6"/>
                    <w:ind w:firstLine="0" w:firstLineChars="0"/>
                    <w:jc w:val="center"/>
                    <w:rPr>
                      <w:rFonts w:hint="default"/>
                      <w:color w:val="auto"/>
                      <w:sz w:val="21"/>
                      <w:szCs w:val="21"/>
                      <w:u w:val="single"/>
                      <w:lang w:val="en-US" w:eastAsia="zh-CN"/>
                    </w:rPr>
                  </w:pPr>
                  <w:r>
                    <w:rPr>
                      <w:rFonts w:hint="eastAsia"/>
                      <w:color w:val="auto"/>
                      <w:sz w:val="21"/>
                      <w:szCs w:val="21"/>
                      <w:u w:val="single"/>
                      <w:lang w:val="en-US" w:eastAsia="zh-CN"/>
                    </w:rPr>
                    <w:t>0</w:t>
                  </w:r>
                </w:p>
              </w:tc>
              <w:tc>
                <w:tcPr>
                  <w:tcW w:w="641" w:type="dxa"/>
                  <w:tcBorders>
                    <w:tl2br w:val="nil"/>
                    <w:tr2bl w:val="nil"/>
                  </w:tcBorders>
                  <w:vAlign w:val="center"/>
                </w:tcPr>
                <w:p w14:paraId="3F91BA39">
                  <w:pPr>
                    <w:pStyle w:val="6"/>
                    <w:ind w:firstLine="0" w:firstLineChars="0"/>
                    <w:jc w:val="center"/>
                    <w:rPr>
                      <w:rFonts w:hint="default"/>
                      <w:color w:val="auto"/>
                      <w:sz w:val="21"/>
                      <w:szCs w:val="21"/>
                      <w:u w:val="single"/>
                      <w:lang w:val="en-US" w:eastAsia="zh-CN"/>
                    </w:rPr>
                  </w:pPr>
                  <w:r>
                    <w:rPr>
                      <w:rFonts w:hint="eastAsia"/>
                      <w:color w:val="auto"/>
                      <w:sz w:val="21"/>
                      <w:szCs w:val="21"/>
                      <w:u w:val="single"/>
                      <w:lang w:val="en-US" w:eastAsia="zh-CN"/>
                    </w:rPr>
                    <w:t>10</w:t>
                  </w:r>
                </w:p>
              </w:tc>
              <w:tc>
                <w:tcPr>
                  <w:tcW w:w="957" w:type="dxa"/>
                  <w:vMerge w:val="restart"/>
                  <w:tcBorders>
                    <w:tl2br w:val="nil"/>
                    <w:tr2bl w:val="nil"/>
                  </w:tcBorders>
                  <w:vAlign w:val="center"/>
                </w:tcPr>
                <w:p w14:paraId="3E36CE03">
                  <w:pPr>
                    <w:pStyle w:val="6"/>
                    <w:ind w:firstLine="0" w:firstLineChars="0"/>
                    <w:jc w:val="center"/>
                    <w:rPr>
                      <w:color w:val="auto"/>
                      <w:sz w:val="21"/>
                      <w:szCs w:val="21"/>
                      <w:u w:val="none"/>
                    </w:rPr>
                  </w:pPr>
                  <w:r>
                    <w:rPr>
                      <w:rFonts w:hint="eastAsia"/>
                      <w:color w:val="auto"/>
                      <w:sz w:val="21"/>
                      <w:szCs w:val="21"/>
                      <w:u w:val="none"/>
                    </w:rPr>
                    <w:t>《声环境质量标准》（GB3096-2008）中的2类标准</w:t>
                  </w:r>
                </w:p>
              </w:tc>
            </w:tr>
            <w:tr w14:paraId="4D210E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86" w:hRule="atLeast"/>
                <w:jc w:val="center"/>
              </w:trPr>
              <w:tc>
                <w:tcPr>
                  <w:tcW w:w="451" w:type="dxa"/>
                  <w:vMerge w:val="continue"/>
                  <w:tcBorders>
                    <w:tl2br w:val="nil"/>
                    <w:tr2bl w:val="nil"/>
                  </w:tcBorders>
                  <w:vAlign w:val="center"/>
                </w:tcPr>
                <w:p w14:paraId="19694722">
                  <w:pPr>
                    <w:pStyle w:val="6"/>
                    <w:ind w:firstLine="0" w:firstLineChars="0"/>
                    <w:jc w:val="center"/>
                    <w:rPr>
                      <w:rFonts w:hint="eastAsia"/>
                      <w:color w:val="auto"/>
                      <w:sz w:val="21"/>
                      <w:szCs w:val="21"/>
                      <w:u w:val="single"/>
                      <w:lang w:val="en-US" w:eastAsia="zh-CN"/>
                    </w:rPr>
                  </w:pPr>
                </w:p>
              </w:tc>
              <w:tc>
                <w:tcPr>
                  <w:tcW w:w="968" w:type="dxa"/>
                  <w:tcBorders>
                    <w:tl2br w:val="nil"/>
                    <w:tr2bl w:val="nil"/>
                  </w:tcBorders>
                  <w:vAlign w:val="center"/>
                </w:tcPr>
                <w:p w14:paraId="6ABB5D37">
                  <w:pPr>
                    <w:pStyle w:val="6"/>
                    <w:ind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刘家院子居民点</w:t>
                  </w:r>
                </w:p>
              </w:tc>
              <w:tc>
                <w:tcPr>
                  <w:tcW w:w="1187" w:type="dxa"/>
                  <w:tcBorders>
                    <w:tl2br w:val="nil"/>
                    <w:tr2bl w:val="nil"/>
                  </w:tcBorders>
                  <w:vAlign w:val="center"/>
                </w:tcPr>
                <w:p w14:paraId="0AD4E203">
                  <w:pPr>
                    <w:jc w:val="center"/>
                    <w:rPr>
                      <w:rFonts w:hint="eastAsia" w:ascii="Times New Roman" w:hAnsi="Times New Roman" w:cs="Times New Roman"/>
                      <w:color w:val="auto"/>
                      <w:sz w:val="21"/>
                      <w:szCs w:val="21"/>
                      <w:u w:val="single"/>
                    </w:rPr>
                  </w:pPr>
                  <w:r>
                    <w:rPr>
                      <w:rFonts w:hint="eastAsia" w:ascii="Times New Roman" w:hAnsi="Times New Roman" w:cs="Times New Roman"/>
                      <w:color w:val="auto"/>
                      <w:sz w:val="21"/>
                      <w:szCs w:val="21"/>
                      <w:u w:val="single"/>
                    </w:rPr>
                    <w:t>109°27′9.59″</w:t>
                  </w:r>
                </w:p>
              </w:tc>
              <w:tc>
                <w:tcPr>
                  <w:tcW w:w="1200" w:type="dxa"/>
                  <w:tcBorders>
                    <w:tl2br w:val="nil"/>
                    <w:tr2bl w:val="nil"/>
                  </w:tcBorders>
                  <w:vAlign w:val="center"/>
                </w:tcPr>
                <w:p w14:paraId="36F8EE58">
                  <w:pPr>
                    <w:jc w:val="center"/>
                    <w:rPr>
                      <w:rFonts w:hint="eastAsia" w:ascii="Times New Roman" w:hAnsi="Times New Roman" w:cs="Times New Roman"/>
                      <w:color w:val="auto"/>
                      <w:sz w:val="21"/>
                      <w:szCs w:val="21"/>
                      <w:u w:val="single"/>
                    </w:rPr>
                  </w:pPr>
                  <w:r>
                    <w:rPr>
                      <w:rFonts w:hint="eastAsia" w:ascii="Times New Roman" w:hAnsi="Times New Roman" w:cs="Times New Roman"/>
                      <w:color w:val="auto"/>
                      <w:sz w:val="21"/>
                      <w:szCs w:val="21"/>
                      <w:u w:val="single"/>
                    </w:rPr>
                    <w:t>29°29′30.80″</w:t>
                  </w:r>
                </w:p>
              </w:tc>
              <w:tc>
                <w:tcPr>
                  <w:tcW w:w="1091" w:type="dxa"/>
                  <w:tcBorders>
                    <w:tl2br w:val="nil"/>
                    <w:tr2bl w:val="nil"/>
                  </w:tcBorders>
                  <w:vAlign w:val="center"/>
                </w:tcPr>
                <w:p w14:paraId="12AE91FA">
                  <w:pPr>
                    <w:pStyle w:val="6"/>
                    <w:ind w:firstLine="0" w:firstLineChars="0"/>
                    <w:jc w:val="center"/>
                    <w:rPr>
                      <w:rFonts w:hint="eastAsia"/>
                      <w:color w:val="auto"/>
                      <w:sz w:val="21"/>
                      <w:szCs w:val="21"/>
                      <w:u w:val="single"/>
                    </w:rPr>
                  </w:pPr>
                  <w:r>
                    <w:rPr>
                      <w:rFonts w:hint="eastAsia"/>
                      <w:color w:val="auto"/>
                      <w:sz w:val="21"/>
                      <w:szCs w:val="21"/>
                      <w:u w:val="single"/>
                    </w:rPr>
                    <w:t>居住</w:t>
                  </w:r>
                  <w:r>
                    <w:rPr>
                      <w:rFonts w:hint="eastAsia"/>
                      <w:color w:val="auto"/>
                      <w:sz w:val="21"/>
                      <w:szCs w:val="21"/>
                      <w:u w:val="single"/>
                      <w:lang w:val="en-US" w:eastAsia="zh-CN"/>
                    </w:rPr>
                    <w:t>点（约25户）</w:t>
                  </w:r>
                </w:p>
              </w:tc>
              <w:tc>
                <w:tcPr>
                  <w:tcW w:w="695" w:type="dxa"/>
                  <w:tcBorders>
                    <w:tl2br w:val="nil"/>
                    <w:tr2bl w:val="nil"/>
                  </w:tcBorders>
                  <w:vAlign w:val="center"/>
                </w:tcPr>
                <w:p w14:paraId="4184E270">
                  <w:pPr>
                    <w:pStyle w:val="6"/>
                    <w:ind w:firstLine="0" w:firstLineChars="0"/>
                    <w:jc w:val="center"/>
                    <w:rPr>
                      <w:rFonts w:hint="eastAsia"/>
                      <w:color w:val="auto"/>
                      <w:sz w:val="21"/>
                      <w:szCs w:val="21"/>
                      <w:u w:val="single"/>
                      <w:lang w:eastAsia="zh-CN"/>
                    </w:rPr>
                  </w:pPr>
                  <w:r>
                    <w:rPr>
                      <w:rFonts w:hint="eastAsia"/>
                      <w:color w:val="auto"/>
                      <w:sz w:val="21"/>
                      <w:szCs w:val="21"/>
                      <w:u w:val="single"/>
                      <w:lang w:eastAsia="zh-CN"/>
                    </w:rPr>
                    <w:t>否</w:t>
                  </w:r>
                </w:p>
              </w:tc>
              <w:tc>
                <w:tcPr>
                  <w:tcW w:w="723" w:type="dxa"/>
                  <w:tcBorders>
                    <w:tl2br w:val="nil"/>
                    <w:tr2bl w:val="nil"/>
                  </w:tcBorders>
                  <w:vAlign w:val="center"/>
                </w:tcPr>
                <w:p w14:paraId="4D381EC7">
                  <w:pPr>
                    <w:pStyle w:val="6"/>
                    <w:ind w:firstLine="0" w:firstLineChars="0"/>
                    <w:jc w:val="center"/>
                    <w:rPr>
                      <w:rFonts w:hint="default"/>
                      <w:color w:val="auto"/>
                      <w:sz w:val="21"/>
                      <w:szCs w:val="21"/>
                      <w:u w:val="single"/>
                      <w:lang w:val="en-US" w:eastAsia="zh-CN"/>
                    </w:rPr>
                  </w:pPr>
                  <w:r>
                    <w:rPr>
                      <w:rFonts w:hint="eastAsia"/>
                      <w:color w:val="auto"/>
                      <w:sz w:val="21"/>
                      <w:szCs w:val="21"/>
                      <w:u w:val="single"/>
                      <w:lang w:val="en-US" w:eastAsia="zh-CN"/>
                    </w:rPr>
                    <w:t>0</w:t>
                  </w:r>
                </w:p>
              </w:tc>
              <w:tc>
                <w:tcPr>
                  <w:tcW w:w="641" w:type="dxa"/>
                  <w:tcBorders>
                    <w:tl2br w:val="nil"/>
                    <w:tr2bl w:val="nil"/>
                  </w:tcBorders>
                  <w:vAlign w:val="center"/>
                </w:tcPr>
                <w:p w14:paraId="41746F07">
                  <w:pPr>
                    <w:pStyle w:val="6"/>
                    <w:ind w:firstLine="0" w:firstLineChars="0"/>
                    <w:jc w:val="center"/>
                    <w:rPr>
                      <w:rFonts w:hint="default"/>
                      <w:color w:val="auto"/>
                      <w:sz w:val="21"/>
                      <w:szCs w:val="21"/>
                      <w:u w:val="single"/>
                      <w:lang w:val="en-US" w:eastAsia="zh-CN"/>
                    </w:rPr>
                  </w:pPr>
                  <w:r>
                    <w:rPr>
                      <w:rFonts w:hint="eastAsia"/>
                      <w:color w:val="auto"/>
                      <w:sz w:val="21"/>
                      <w:szCs w:val="21"/>
                      <w:u w:val="single"/>
                      <w:lang w:val="en-US" w:eastAsia="zh-CN"/>
                    </w:rPr>
                    <w:t>10</w:t>
                  </w:r>
                </w:p>
              </w:tc>
              <w:tc>
                <w:tcPr>
                  <w:tcW w:w="957" w:type="dxa"/>
                  <w:vMerge w:val="continue"/>
                  <w:tcBorders>
                    <w:tl2br w:val="nil"/>
                    <w:tr2bl w:val="nil"/>
                  </w:tcBorders>
                  <w:vAlign w:val="center"/>
                </w:tcPr>
                <w:p w14:paraId="4DBC64C2">
                  <w:pPr>
                    <w:pStyle w:val="6"/>
                    <w:ind w:firstLine="0" w:firstLineChars="0"/>
                    <w:jc w:val="center"/>
                    <w:rPr>
                      <w:color w:val="auto"/>
                      <w:sz w:val="21"/>
                      <w:szCs w:val="21"/>
                      <w:u w:val="none"/>
                    </w:rPr>
                  </w:pPr>
                </w:p>
              </w:tc>
            </w:tr>
            <w:tr w14:paraId="05FA05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31" w:hRule="atLeast"/>
                <w:jc w:val="center"/>
              </w:trPr>
              <w:tc>
                <w:tcPr>
                  <w:tcW w:w="451" w:type="dxa"/>
                  <w:vMerge w:val="continue"/>
                  <w:tcBorders>
                    <w:tl2br w:val="nil"/>
                    <w:tr2bl w:val="nil"/>
                  </w:tcBorders>
                  <w:vAlign w:val="center"/>
                </w:tcPr>
                <w:p w14:paraId="3E7E3A30">
                  <w:pPr>
                    <w:pStyle w:val="6"/>
                    <w:ind w:firstLine="0" w:firstLineChars="0"/>
                    <w:jc w:val="center"/>
                    <w:rPr>
                      <w:rFonts w:hint="eastAsia"/>
                      <w:color w:val="auto"/>
                      <w:sz w:val="21"/>
                      <w:szCs w:val="21"/>
                      <w:u w:val="single"/>
                      <w:lang w:val="en-US" w:eastAsia="zh-CN"/>
                    </w:rPr>
                  </w:pPr>
                </w:p>
              </w:tc>
              <w:tc>
                <w:tcPr>
                  <w:tcW w:w="968" w:type="dxa"/>
                  <w:tcBorders>
                    <w:tl2br w:val="nil"/>
                    <w:tr2bl w:val="nil"/>
                  </w:tcBorders>
                  <w:vAlign w:val="center"/>
                </w:tcPr>
                <w:p w14:paraId="5D8CB814">
                  <w:pPr>
                    <w:pStyle w:val="6"/>
                    <w:ind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 xml:space="preserve"> 胡家院子居民点</w:t>
                  </w:r>
                </w:p>
              </w:tc>
              <w:tc>
                <w:tcPr>
                  <w:tcW w:w="1187" w:type="dxa"/>
                  <w:tcBorders>
                    <w:tl2br w:val="nil"/>
                    <w:tr2bl w:val="nil"/>
                  </w:tcBorders>
                  <w:vAlign w:val="center"/>
                </w:tcPr>
                <w:p w14:paraId="3AD9B1C1">
                  <w:pPr>
                    <w:jc w:val="center"/>
                    <w:rPr>
                      <w:rFonts w:hint="eastAsia" w:ascii="Times New Roman" w:hAnsi="Times New Roman" w:cs="Times New Roman"/>
                      <w:color w:val="auto"/>
                      <w:sz w:val="21"/>
                      <w:szCs w:val="21"/>
                      <w:u w:val="single"/>
                    </w:rPr>
                  </w:pPr>
                  <w:r>
                    <w:rPr>
                      <w:rFonts w:hint="eastAsia" w:ascii="Times New Roman" w:hAnsi="Times New Roman" w:cs="Times New Roman"/>
                      <w:color w:val="auto"/>
                      <w:sz w:val="21"/>
                      <w:szCs w:val="21"/>
                      <w:u w:val="single"/>
                    </w:rPr>
                    <w:t>109°28′38.51″</w:t>
                  </w:r>
                </w:p>
              </w:tc>
              <w:tc>
                <w:tcPr>
                  <w:tcW w:w="1200" w:type="dxa"/>
                  <w:tcBorders>
                    <w:tl2br w:val="nil"/>
                    <w:tr2bl w:val="nil"/>
                  </w:tcBorders>
                  <w:vAlign w:val="center"/>
                </w:tcPr>
                <w:p w14:paraId="21D535A6">
                  <w:pPr>
                    <w:jc w:val="center"/>
                    <w:rPr>
                      <w:rFonts w:hint="eastAsia" w:ascii="Times New Roman" w:hAnsi="Times New Roman" w:cs="Times New Roman"/>
                      <w:color w:val="auto"/>
                      <w:sz w:val="21"/>
                      <w:szCs w:val="21"/>
                      <w:u w:val="single"/>
                    </w:rPr>
                  </w:pPr>
                  <w:r>
                    <w:rPr>
                      <w:rFonts w:hint="eastAsia" w:ascii="Times New Roman" w:hAnsi="Times New Roman" w:cs="Times New Roman"/>
                      <w:color w:val="auto"/>
                      <w:sz w:val="21"/>
                      <w:szCs w:val="21"/>
                      <w:u w:val="single"/>
                    </w:rPr>
                    <w:t>28°11′13.08″</w:t>
                  </w:r>
                </w:p>
              </w:tc>
              <w:tc>
                <w:tcPr>
                  <w:tcW w:w="1091" w:type="dxa"/>
                  <w:tcBorders>
                    <w:tl2br w:val="nil"/>
                    <w:tr2bl w:val="nil"/>
                  </w:tcBorders>
                  <w:vAlign w:val="center"/>
                </w:tcPr>
                <w:p w14:paraId="202882A1">
                  <w:pPr>
                    <w:pStyle w:val="6"/>
                    <w:ind w:firstLine="0" w:firstLineChars="0"/>
                    <w:jc w:val="center"/>
                    <w:rPr>
                      <w:rFonts w:hint="eastAsia"/>
                      <w:color w:val="auto"/>
                      <w:sz w:val="21"/>
                      <w:szCs w:val="21"/>
                      <w:u w:val="single"/>
                    </w:rPr>
                  </w:pPr>
                  <w:r>
                    <w:rPr>
                      <w:rFonts w:hint="eastAsia"/>
                      <w:color w:val="auto"/>
                      <w:sz w:val="21"/>
                      <w:szCs w:val="21"/>
                      <w:u w:val="single"/>
                    </w:rPr>
                    <w:t>居住</w:t>
                  </w:r>
                  <w:r>
                    <w:rPr>
                      <w:rFonts w:hint="eastAsia"/>
                      <w:color w:val="auto"/>
                      <w:sz w:val="21"/>
                      <w:szCs w:val="21"/>
                      <w:u w:val="single"/>
                      <w:lang w:val="en-US" w:eastAsia="zh-CN"/>
                    </w:rPr>
                    <w:t>点（约18户）</w:t>
                  </w:r>
                </w:p>
              </w:tc>
              <w:tc>
                <w:tcPr>
                  <w:tcW w:w="695" w:type="dxa"/>
                  <w:tcBorders>
                    <w:tl2br w:val="nil"/>
                    <w:tr2bl w:val="nil"/>
                  </w:tcBorders>
                  <w:vAlign w:val="center"/>
                </w:tcPr>
                <w:p w14:paraId="60E9F5A8">
                  <w:pPr>
                    <w:pStyle w:val="6"/>
                    <w:ind w:firstLine="0" w:firstLineChars="0"/>
                    <w:jc w:val="center"/>
                    <w:rPr>
                      <w:rFonts w:hint="eastAsia"/>
                      <w:color w:val="auto"/>
                      <w:sz w:val="21"/>
                      <w:szCs w:val="21"/>
                      <w:u w:val="single"/>
                      <w:lang w:eastAsia="zh-CN"/>
                    </w:rPr>
                  </w:pPr>
                  <w:r>
                    <w:rPr>
                      <w:rFonts w:hint="eastAsia"/>
                      <w:color w:val="auto"/>
                      <w:sz w:val="21"/>
                      <w:szCs w:val="21"/>
                      <w:u w:val="single"/>
                      <w:lang w:eastAsia="zh-CN"/>
                    </w:rPr>
                    <w:t>否</w:t>
                  </w:r>
                </w:p>
              </w:tc>
              <w:tc>
                <w:tcPr>
                  <w:tcW w:w="723" w:type="dxa"/>
                  <w:tcBorders>
                    <w:tl2br w:val="nil"/>
                    <w:tr2bl w:val="nil"/>
                  </w:tcBorders>
                  <w:vAlign w:val="center"/>
                </w:tcPr>
                <w:p w14:paraId="7B4FC943">
                  <w:pPr>
                    <w:pStyle w:val="6"/>
                    <w:ind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0</w:t>
                  </w:r>
                </w:p>
              </w:tc>
              <w:tc>
                <w:tcPr>
                  <w:tcW w:w="641" w:type="dxa"/>
                  <w:tcBorders>
                    <w:tl2br w:val="nil"/>
                    <w:tr2bl w:val="nil"/>
                  </w:tcBorders>
                  <w:vAlign w:val="center"/>
                </w:tcPr>
                <w:p w14:paraId="511A0E81">
                  <w:pPr>
                    <w:pStyle w:val="6"/>
                    <w:ind w:firstLine="0" w:firstLineChars="0"/>
                    <w:jc w:val="center"/>
                    <w:rPr>
                      <w:rFonts w:hint="eastAsia"/>
                      <w:color w:val="auto"/>
                      <w:sz w:val="21"/>
                      <w:szCs w:val="21"/>
                      <w:u w:val="single"/>
                      <w:lang w:val="en-US" w:eastAsia="zh-CN"/>
                    </w:rPr>
                  </w:pPr>
                  <w:r>
                    <w:rPr>
                      <w:rFonts w:hint="eastAsia"/>
                      <w:color w:val="auto"/>
                      <w:sz w:val="21"/>
                      <w:szCs w:val="21"/>
                      <w:u w:val="single"/>
                      <w:lang w:val="en-US" w:eastAsia="zh-CN"/>
                    </w:rPr>
                    <w:t>10</w:t>
                  </w:r>
                </w:p>
              </w:tc>
              <w:tc>
                <w:tcPr>
                  <w:tcW w:w="957" w:type="dxa"/>
                  <w:vMerge w:val="continue"/>
                  <w:tcBorders>
                    <w:tl2br w:val="nil"/>
                    <w:tr2bl w:val="nil"/>
                  </w:tcBorders>
                  <w:vAlign w:val="center"/>
                </w:tcPr>
                <w:p w14:paraId="3122F8E5">
                  <w:pPr>
                    <w:pStyle w:val="6"/>
                    <w:ind w:firstLine="0" w:firstLineChars="0"/>
                    <w:jc w:val="center"/>
                    <w:rPr>
                      <w:color w:val="auto"/>
                      <w:sz w:val="21"/>
                      <w:szCs w:val="21"/>
                      <w:u w:val="none"/>
                    </w:rPr>
                  </w:pPr>
                </w:p>
              </w:tc>
            </w:tr>
          </w:tbl>
          <w:p w14:paraId="5684C23C">
            <w:pPr>
              <w:pStyle w:val="87"/>
              <w:spacing w:line="360" w:lineRule="auto"/>
              <w:ind w:firstLine="482"/>
              <w:jc w:val="left"/>
              <w:rPr>
                <w:rFonts w:hAnsi="Times New Roman" w:cs="Times New Roman"/>
                <w:b/>
                <w:color w:val="auto"/>
                <w:sz w:val="24"/>
                <w:u w:val="none"/>
              </w:rPr>
            </w:pPr>
            <w:r>
              <w:rPr>
                <w:rFonts w:hAnsi="Times New Roman" w:cs="Times New Roman"/>
                <w:b/>
                <w:color w:val="auto"/>
                <w:sz w:val="24"/>
                <w:u w:val="single"/>
              </w:rPr>
              <w:t>3</w:t>
            </w:r>
            <w:r>
              <w:rPr>
                <w:rFonts w:hAnsi="Times New Roman" w:cs="Times New Roman"/>
                <w:b/>
                <w:color w:val="auto"/>
                <w:sz w:val="24"/>
                <w:u w:val="none"/>
              </w:rPr>
              <w:t>、地下水环境</w:t>
            </w:r>
          </w:p>
          <w:p w14:paraId="6D7F4E3E">
            <w:pPr>
              <w:pStyle w:val="87"/>
              <w:spacing w:line="360" w:lineRule="auto"/>
              <w:jc w:val="left"/>
              <w:rPr>
                <w:rFonts w:hint="eastAsia" w:hAnsi="Times New Roman" w:cs="Times New Roman"/>
                <w:bCs/>
                <w:color w:val="auto"/>
                <w:sz w:val="24"/>
                <w:u w:val="none"/>
                <w:lang w:eastAsia="zh-CN"/>
              </w:rPr>
            </w:pPr>
            <w:r>
              <w:rPr>
                <w:rFonts w:hint="eastAsia" w:hAnsi="Times New Roman" w:cs="Times New Roman"/>
                <w:bCs/>
                <w:color w:val="auto"/>
                <w:sz w:val="24"/>
                <w:u w:val="none"/>
                <w:lang w:eastAsia="zh-CN"/>
              </w:rPr>
              <w:t>根据建设项目环境影响报告表编制技术指南（污染影响类）（试行），要求需明确厂界外500米范围内的地下水集中式饮用水水源和热水、矿泉水、温泉等特殊地下水资源。</w:t>
            </w:r>
          </w:p>
          <w:p w14:paraId="65F00F46">
            <w:pPr>
              <w:pStyle w:val="87"/>
              <w:spacing w:line="360" w:lineRule="auto"/>
              <w:jc w:val="left"/>
              <w:rPr>
                <w:rFonts w:hAnsi="Times New Roman" w:cs="Times New Roman"/>
                <w:bCs/>
                <w:color w:val="auto"/>
                <w:sz w:val="24"/>
                <w:u w:val="none"/>
              </w:rPr>
            </w:pPr>
            <w:r>
              <w:rPr>
                <w:rFonts w:hint="eastAsia" w:hAnsi="Times New Roman" w:cs="Times New Roman"/>
                <w:bCs/>
                <w:color w:val="auto"/>
                <w:sz w:val="24"/>
                <w:u w:val="none"/>
                <w:lang w:eastAsia="zh-CN"/>
              </w:rPr>
              <w:t>根据调查，</w:t>
            </w:r>
            <w:r>
              <w:rPr>
                <w:rFonts w:hAnsi="Times New Roman" w:cs="Times New Roman"/>
                <w:bCs/>
                <w:color w:val="auto"/>
                <w:sz w:val="24"/>
                <w:u w:val="none"/>
              </w:rPr>
              <w:t>本项目厂界外500m范围内无地下水集中式饮用水水源和热水、矿泉水、温泉等特殊地下水资源。</w:t>
            </w:r>
          </w:p>
          <w:p w14:paraId="3B932AFD">
            <w:pPr>
              <w:pStyle w:val="87"/>
              <w:spacing w:line="360" w:lineRule="auto"/>
              <w:ind w:firstLine="482"/>
              <w:jc w:val="left"/>
              <w:rPr>
                <w:rFonts w:hAnsi="Times New Roman" w:cs="Times New Roman"/>
                <w:b/>
                <w:color w:val="auto"/>
                <w:sz w:val="24"/>
              </w:rPr>
            </w:pPr>
            <w:r>
              <w:rPr>
                <w:rFonts w:hAnsi="Times New Roman" w:cs="Times New Roman"/>
                <w:b/>
                <w:color w:val="auto"/>
                <w:sz w:val="24"/>
              </w:rPr>
              <w:t>4、地表水环境</w:t>
            </w:r>
          </w:p>
          <w:p w14:paraId="5DBDF147">
            <w:pPr>
              <w:pStyle w:val="87"/>
              <w:spacing w:line="360" w:lineRule="auto"/>
              <w:jc w:val="left"/>
              <w:rPr>
                <w:rFonts w:hint="eastAsia" w:hAnsi="Times New Roman" w:cs="Times New Roman"/>
                <w:bCs/>
                <w:color w:val="auto"/>
                <w:sz w:val="24"/>
                <w:u w:val="single"/>
                <w:lang w:eastAsia="zh-CN"/>
              </w:rPr>
            </w:pPr>
            <w:r>
              <w:rPr>
                <w:rFonts w:hint="eastAsia" w:hAnsi="Times New Roman" w:cs="Times New Roman"/>
                <w:bCs/>
                <w:color w:val="auto"/>
                <w:sz w:val="24"/>
                <w:u w:val="single"/>
                <w:lang w:eastAsia="zh-CN"/>
              </w:rPr>
              <w:t>根据《湖南省主要地表水系水环境功能区划》（DB43/023-2005），果利河从桶车乡太平村村口至龙山县水厂取水口上游1000m为饮用水源保护区（12千米，本项目排污口所在河段），县水厂取水口上游1000m至下游200米m为饮用水源保护区（1.2千米），从县水厂取水口下游200m至南门一桥，3.5公里为渔业用水区，根据湖南省环保厅关于取消龙山县果利河饮用水水源保护区的函，该段饮用水源保护区在2015年已被取消，按照湘西自治州水环境质量要求，该河段水质管理目标为Ⅲ类，执行Ⅲ类水标准。项目排污口所在功能区为原饮用水源保护区（2015年已取消，现状水质管理目标为Ⅲ类），项目排污口下游4.6km则为渔业用水区，下游8.1km为工业用水区。项目水功能区区划详见附图。</w:t>
            </w:r>
          </w:p>
          <w:p w14:paraId="4D01386F">
            <w:pPr>
              <w:pStyle w:val="87"/>
              <w:spacing w:line="360" w:lineRule="auto"/>
              <w:jc w:val="left"/>
              <w:rPr>
                <w:rFonts w:hint="eastAsia" w:hAnsi="Times New Roman" w:cs="Times New Roman"/>
                <w:bCs/>
                <w:color w:val="auto"/>
                <w:sz w:val="24"/>
                <w:u w:val="single"/>
                <w:lang w:eastAsia="zh-CN"/>
              </w:rPr>
            </w:pPr>
            <w:r>
              <w:rPr>
                <w:rFonts w:hint="eastAsia" w:hAnsi="Times New Roman" w:cs="Times New Roman"/>
                <w:bCs/>
                <w:color w:val="auto"/>
                <w:sz w:val="24"/>
                <w:u w:val="single"/>
                <w:lang w:eastAsia="zh-CN"/>
              </w:rPr>
              <w:t>本项目的尾水通过排污管网（2.14km）进入果利河，本项目的排污口下游10km范围内未涉及饮用水源保护区、取水口以及鱼类的“三通一道”，根据现场调查，本项目排污口下游6.3千米有支流东门河汇入，下游12千米有跳鱼洞省控断面，下游14千米汇入酉水河，酉水河汇入口下游800米为三塘湾村国控断面（相对位置见附图）。故本项目排污口在下游10km范围内未设置省控、国控断面。</w:t>
            </w:r>
          </w:p>
          <w:p w14:paraId="528A61B8">
            <w:pPr>
              <w:pStyle w:val="87"/>
              <w:spacing w:line="360" w:lineRule="auto"/>
              <w:jc w:val="left"/>
              <w:rPr>
                <w:rFonts w:hAnsi="Times New Roman" w:cs="Times New Roman"/>
                <w:bCs/>
                <w:color w:val="auto"/>
                <w:sz w:val="24"/>
                <w:u w:val="single"/>
              </w:rPr>
            </w:pPr>
            <w:r>
              <w:rPr>
                <w:rFonts w:hint="eastAsia" w:hAnsi="Times New Roman" w:cs="Times New Roman"/>
                <w:bCs/>
                <w:color w:val="auto"/>
                <w:sz w:val="24"/>
                <w:u w:val="single"/>
                <w:lang w:eastAsia="zh-CN"/>
              </w:rPr>
              <w:t>本项目下游区域不涉及饮用水源保护区</w:t>
            </w:r>
            <w:r>
              <w:rPr>
                <w:rFonts w:hint="eastAsia" w:hAnsi="Times New Roman" w:cs="Times New Roman"/>
                <w:bCs/>
                <w:color w:val="auto"/>
                <w:sz w:val="24"/>
                <w:u w:val="single"/>
                <w:lang w:val="en-US" w:eastAsia="zh-CN"/>
              </w:rPr>
              <w:t>，</w:t>
            </w:r>
            <w:r>
              <w:rPr>
                <w:rFonts w:hAnsi="Times New Roman" w:cs="Times New Roman"/>
                <w:bCs/>
                <w:color w:val="auto"/>
                <w:sz w:val="24"/>
                <w:u w:val="single"/>
              </w:rPr>
              <w:t>本项目地表水</w:t>
            </w:r>
            <w:r>
              <w:rPr>
                <w:rFonts w:hint="eastAsia" w:hAnsi="Times New Roman" w:cs="Times New Roman"/>
                <w:bCs/>
                <w:color w:val="auto"/>
                <w:sz w:val="24"/>
                <w:u w:val="single"/>
                <w:lang w:val="en-US" w:eastAsia="zh-CN"/>
              </w:rPr>
              <w:t>和纳污水体为果利河，</w:t>
            </w:r>
            <w:r>
              <w:rPr>
                <w:rFonts w:hAnsi="Times New Roman" w:cs="Times New Roman"/>
                <w:bCs/>
                <w:color w:val="auto"/>
                <w:sz w:val="24"/>
                <w:u w:val="single"/>
              </w:rPr>
              <w:t>具体见下表：</w:t>
            </w:r>
          </w:p>
          <w:p w14:paraId="63519280">
            <w:pPr>
              <w:keepNext w:val="0"/>
              <w:keepLines w:val="0"/>
              <w:pageBreakBefore w:val="0"/>
              <w:widowControl w:val="0"/>
              <w:kinsoku/>
              <w:wordWrap/>
              <w:overflowPunct/>
              <w:topLinePunct w:val="0"/>
              <w:autoSpaceDE/>
              <w:autoSpaceDN/>
              <w:bidi w:val="0"/>
              <w:adjustRightInd/>
              <w:snapToGrid w:val="0"/>
              <w:jc w:val="center"/>
              <w:textAlignment w:val="auto"/>
              <w:rPr>
                <w:b/>
                <w:color w:val="auto"/>
                <w:szCs w:val="21"/>
              </w:rPr>
            </w:pPr>
            <w:r>
              <w:rPr>
                <w:b/>
                <w:color w:val="auto"/>
                <w:szCs w:val="21"/>
              </w:rPr>
              <w:t>表3-</w:t>
            </w:r>
            <w:r>
              <w:rPr>
                <w:rFonts w:hint="eastAsia"/>
                <w:b/>
                <w:color w:val="auto"/>
                <w:szCs w:val="21"/>
                <w:lang w:val="en-US" w:eastAsia="zh-CN"/>
              </w:rPr>
              <w:t>7</w:t>
            </w:r>
            <w:r>
              <w:rPr>
                <w:b/>
                <w:color w:val="auto"/>
                <w:szCs w:val="21"/>
              </w:rPr>
              <w:t xml:space="preserve"> 地表水环境保护目标一览表</w:t>
            </w:r>
          </w:p>
          <w:tbl>
            <w:tblPr>
              <w:tblStyle w:val="32"/>
              <w:tblW w:w="817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09"/>
              <w:gridCol w:w="1125"/>
              <w:gridCol w:w="2010"/>
              <w:gridCol w:w="3534"/>
            </w:tblGrid>
            <w:tr w14:paraId="0623B5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4" w:hRule="atLeast"/>
                <w:jc w:val="center"/>
              </w:trPr>
              <w:tc>
                <w:tcPr>
                  <w:tcW w:w="1509" w:type="dxa"/>
                  <w:tcBorders>
                    <w:tl2br w:val="nil"/>
                    <w:tr2bl w:val="nil"/>
                  </w:tcBorders>
                  <w:vAlign w:val="center"/>
                </w:tcPr>
                <w:p w14:paraId="79428DA2">
                  <w:pPr>
                    <w:pStyle w:val="6"/>
                    <w:ind w:firstLine="0" w:firstLineChars="0"/>
                    <w:jc w:val="center"/>
                    <w:rPr>
                      <w:rFonts w:hint="eastAsia"/>
                      <w:color w:val="auto"/>
                      <w:sz w:val="21"/>
                      <w:szCs w:val="21"/>
                      <w:lang w:val="en-US" w:eastAsia="zh-CN"/>
                    </w:rPr>
                  </w:pPr>
                  <w:r>
                    <w:rPr>
                      <w:rFonts w:hint="eastAsia"/>
                      <w:color w:val="auto"/>
                      <w:sz w:val="21"/>
                      <w:szCs w:val="21"/>
                      <w:lang w:val="en-US" w:eastAsia="zh-CN"/>
                    </w:rPr>
                    <w:t>名称</w:t>
                  </w:r>
                </w:p>
              </w:tc>
              <w:tc>
                <w:tcPr>
                  <w:tcW w:w="1125" w:type="dxa"/>
                  <w:tcBorders>
                    <w:tl2br w:val="nil"/>
                    <w:tr2bl w:val="nil"/>
                  </w:tcBorders>
                  <w:vAlign w:val="center"/>
                </w:tcPr>
                <w:p w14:paraId="6A456720">
                  <w:pPr>
                    <w:pStyle w:val="6"/>
                    <w:ind w:firstLine="0" w:firstLineChars="0"/>
                    <w:jc w:val="center"/>
                    <w:rPr>
                      <w:rFonts w:hint="eastAsia"/>
                      <w:color w:val="auto"/>
                      <w:sz w:val="21"/>
                      <w:szCs w:val="21"/>
                      <w:lang w:val="en-US" w:eastAsia="zh-CN"/>
                    </w:rPr>
                  </w:pPr>
                  <w:r>
                    <w:rPr>
                      <w:rFonts w:hint="eastAsia"/>
                      <w:color w:val="auto"/>
                      <w:sz w:val="21"/>
                      <w:szCs w:val="21"/>
                      <w:lang w:val="en-US" w:eastAsia="zh-CN"/>
                    </w:rPr>
                    <w:t>保护对象</w:t>
                  </w:r>
                </w:p>
              </w:tc>
              <w:tc>
                <w:tcPr>
                  <w:tcW w:w="2010" w:type="dxa"/>
                  <w:tcBorders>
                    <w:tl2br w:val="nil"/>
                    <w:tr2bl w:val="nil"/>
                  </w:tcBorders>
                  <w:vAlign w:val="center"/>
                </w:tcPr>
                <w:p w14:paraId="23D92DDB">
                  <w:pPr>
                    <w:pStyle w:val="6"/>
                    <w:ind w:firstLine="0" w:firstLineChars="0"/>
                    <w:jc w:val="center"/>
                    <w:rPr>
                      <w:rFonts w:hint="eastAsia"/>
                      <w:color w:val="auto"/>
                      <w:sz w:val="21"/>
                      <w:szCs w:val="21"/>
                      <w:lang w:val="en-US" w:eastAsia="zh-CN"/>
                    </w:rPr>
                  </w:pPr>
                  <w:r>
                    <w:rPr>
                      <w:rFonts w:hint="eastAsia"/>
                      <w:color w:val="auto"/>
                      <w:sz w:val="21"/>
                      <w:szCs w:val="21"/>
                      <w:lang w:val="en-US" w:eastAsia="zh-CN"/>
                    </w:rPr>
                    <w:t>与项目位置关系</w:t>
                  </w:r>
                </w:p>
              </w:tc>
              <w:tc>
                <w:tcPr>
                  <w:tcW w:w="3534" w:type="dxa"/>
                  <w:tcBorders>
                    <w:tl2br w:val="nil"/>
                    <w:tr2bl w:val="nil"/>
                  </w:tcBorders>
                  <w:vAlign w:val="center"/>
                </w:tcPr>
                <w:p w14:paraId="4894748E">
                  <w:pPr>
                    <w:pStyle w:val="6"/>
                    <w:ind w:firstLine="0" w:firstLineChars="0"/>
                    <w:jc w:val="center"/>
                    <w:rPr>
                      <w:rFonts w:hint="eastAsia"/>
                      <w:color w:val="auto"/>
                      <w:sz w:val="21"/>
                      <w:szCs w:val="21"/>
                      <w:lang w:val="en-US" w:eastAsia="zh-CN"/>
                    </w:rPr>
                  </w:pPr>
                  <w:r>
                    <w:rPr>
                      <w:rFonts w:hint="eastAsia"/>
                      <w:color w:val="auto"/>
                      <w:sz w:val="21"/>
                      <w:szCs w:val="21"/>
                      <w:lang w:val="en-US" w:eastAsia="zh-CN"/>
                    </w:rPr>
                    <w:t>保护要求</w:t>
                  </w:r>
                </w:p>
              </w:tc>
            </w:tr>
            <w:tr w14:paraId="033BD4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4" w:hRule="atLeast"/>
                <w:jc w:val="center"/>
              </w:trPr>
              <w:tc>
                <w:tcPr>
                  <w:tcW w:w="1509" w:type="dxa"/>
                  <w:tcBorders>
                    <w:tl2br w:val="nil"/>
                    <w:tr2bl w:val="nil"/>
                  </w:tcBorders>
                  <w:vAlign w:val="center"/>
                </w:tcPr>
                <w:p w14:paraId="2F86B376">
                  <w:pPr>
                    <w:pStyle w:val="6"/>
                    <w:ind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 xml:space="preserve"> 果利河</w:t>
                  </w:r>
                </w:p>
              </w:tc>
              <w:tc>
                <w:tcPr>
                  <w:tcW w:w="1125" w:type="dxa"/>
                  <w:tcBorders>
                    <w:tl2br w:val="nil"/>
                    <w:tr2bl w:val="nil"/>
                  </w:tcBorders>
                  <w:vAlign w:val="center"/>
                </w:tcPr>
                <w:p w14:paraId="68521D04">
                  <w:pPr>
                    <w:pStyle w:val="6"/>
                    <w:ind w:firstLine="0"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小河</w:t>
                  </w:r>
                </w:p>
              </w:tc>
              <w:tc>
                <w:tcPr>
                  <w:tcW w:w="2010" w:type="dxa"/>
                  <w:tcBorders>
                    <w:tl2br w:val="nil"/>
                    <w:tr2bl w:val="nil"/>
                  </w:tcBorders>
                  <w:vAlign w:val="center"/>
                </w:tcPr>
                <w:p w14:paraId="1B3B4128">
                  <w:pPr>
                    <w:pStyle w:val="6"/>
                    <w:ind w:firstLine="0" w:firstLineChars="0"/>
                    <w:jc w:val="center"/>
                    <w:rPr>
                      <w:rFonts w:hint="eastAsia"/>
                      <w:color w:val="auto"/>
                      <w:sz w:val="21"/>
                      <w:szCs w:val="21"/>
                      <w:lang w:val="en-US" w:eastAsia="zh-CN"/>
                    </w:rPr>
                  </w:pPr>
                  <w:r>
                    <w:rPr>
                      <w:rFonts w:hint="eastAsia"/>
                      <w:color w:val="auto"/>
                      <w:sz w:val="21"/>
                      <w:szCs w:val="21"/>
                      <w:lang w:val="en-US" w:eastAsia="zh-CN"/>
                    </w:rPr>
                    <w:t>南侧2km处</w:t>
                  </w:r>
                </w:p>
              </w:tc>
              <w:tc>
                <w:tcPr>
                  <w:tcW w:w="3534" w:type="dxa"/>
                  <w:tcBorders>
                    <w:tl2br w:val="nil"/>
                    <w:tr2bl w:val="nil"/>
                  </w:tcBorders>
                  <w:vAlign w:val="center"/>
                </w:tcPr>
                <w:p w14:paraId="26B3CD38">
                  <w:pPr>
                    <w:pStyle w:val="6"/>
                    <w:ind w:firstLine="0" w:firstLineChars="0"/>
                    <w:jc w:val="center"/>
                    <w:rPr>
                      <w:rFonts w:hint="eastAsia"/>
                      <w:color w:val="auto"/>
                      <w:sz w:val="21"/>
                      <w:szCs w:val="21"/>
                      <w:lang w:val="en-US" w:eastAsia="zh-CN"/>
                    </w:rPr>
                  </w:pPr>
                  <w:r>
                    <w:rPr>
                      <w:rFonts w:hint="eastAsia"/>
                      <w:color w:val="auto"/>
                      <w:sz w:val="21"/>
                      <w:szCs w:val="21"/>
                      <w:lang w:val="en-US" w:eastAsia="zh-CN"/>
                    </w:rPr>
                    <w:t>《地表水环境质量标准》（GB3838-2002）Ⅲ类</w:t>
                  </w:r>
                </w:p>
              </w:tc>
            </w:tr>
          </w:tbl>
          <w:p w14:paraId="435A91B2">
            <w:pPr>
              <w:pStyle w:val="87"/>
              <w:spacing w:line="360" w:lineRule="auto"/>
              <w:ind w:firstLine="482"/>
              <w:jc w:val="left"/>
              <w:rPr>
                <w:rFonts w:hAnsi="Times New Roman" w:cs="Times New Roman"/>
                <w:b/>
                <w:color w:val="auto"/>
                <w:sz w:val="24"/>
              </w:rPr>
            </w:pPr>
            <w:r>
              <w:rPr>
                <w:rFonts w:hAnsi="Times New Roman" w:cs="Times New Roman"/>
                <w:b/>
                <w:color w:val="auto"/>
                <w:sz w:val="24"/>
              </w:rPr>
              <w:t>5、生态环境</w:t>
            </w:r>
          </w:p>
          <w:p w14:paraId="73A656A8">
            <w:pPr>
              <w:pStyle w:val="87"/>
              <w:spacing w:line="360" w:lineRule="auto"/>
              <w:jc w:val="left"/>
              <w:rPr>
                <w:rFonts w:hint="eastAsia" w:hAnsi="Times New Roman" w:cs="Times New Roman"/>
                <w:bCs/>
                <w:color w:val="auto"/>
                <w:sz w:val="24"/>
              </w:rPr>
            </w:pPr>
            <w:r>
              <w:rPr>
                <w:rFonts w:hint="eastAsia" w:hAnsi="Times New Roman" w:cs="Times New Roman"/>
                <w:bCs/>
                <w:color w:val="auto"/>
                <w:sz w:val="24"/>
                <w:lang w:val="en-US" w:eastAsia="zh-CN"/>
              </w:rPr>
              <w:t>本项目位于龙山县高铁新区，</w:t>
            </w:r>
            <w:r>
              <w:rPr>
                <w:rFonts w:hint="eastAsia" w:hAnsi="Times New Roman" w:cs="Times New Roman"/>
                <w:bCs/>
                <w:color w:val="auto"/>
                <w:sz w:val="24"/>
              </w:rPr>
              <w:t>根据现场勘查，区域内无珍稀动、植物保护区和自然保护区、风景名胜区、重点文物保护区，现场调查未发现国家保护的珍稀动、植物物种。</w:t>
            </w:r>
          </w:p>
        </w:tc>
      </w:tr>
      <w:tr w14:paraId="13A79A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74" w:hRule="atLeast"/>
          <w:jc w:val="center"/>
        </w:trPr>
        <w:tc>
          <w:tcPr>
            <w:tcW w:w="807" w:type="dxa"/>
            <w:tcMar>
              <w:left w:w="28" w:type="dxa"/>
              <w:right w:w="28" w:type="dxa"/>
            </w:tcMar>
            <w:vAlign w:val="center"/>
          </w:tcPr>
          <w:p w14:paraId="2CDA1C04">
            <w:pPr>
              <w:adjustRightInd w:val="0"/>
              <w:snapToGrid w:val="0"/>
              <w:jc w:val="center"/>
              <w:rPr>
                <w:color w:val="auto"/>
                <w:kern w:val="0"/>
                <w:sz w:val="24"/>
              </w:rPr>
            </w:pPr>
            <w:r>
              <w:rPr>
                <w:color w:val="auto"/>
                <w:kern w:val="0"/>
                <w:sz w:val="24"/>
              </w:rPr>
              <w:t>污染</w:t>
            </w:r>
          </w:p>
          <w:p w14:paraId="26472153">
            <w:pPr>
              <w:adjustRightInd w:val="0"/>
              <w:snapToGrid w:val="0"/>
              <w:jc w:val="center"/>
              <w:rPr>
                <w:color w:val="auto"/>
                <w:kern w:val="0"/>
                <w:sz w:val="24"/>
              </w:rPr>
            </w:pPr>
            <w:r>
              <w:rPr>
                <w:color w:val="auto"/>
                <w:kern w:val="0"/>
                <w:sz w:val="24"/>
              </w:rPr>
              <w:t>物排</w:t>
            </w:r>
          </w:p>
          <w:p w14:paraId="65616F9E">
            <w:pPr>
              <w:adjustRightInd w:val="0"/>
              <w:snapToGrid w:val="0"/>
              <w:jc w:val="center"/>
              <w:rPr>
                <w:color w:val="auto"/>
                <w:kern w:val="0"/>
                <w:sz w:val="24"/>
              </w:rPr>
            </w:pPr>
            <w:r>
              <w:rPr>
                <w:color w:val="auto"/>
                <w:kern w:val="0"/>
                <w:sz w:val="24"/>
              </w:rPr>
              <w:t>放控</w:t>
            </w:r>
          </w:p>
          <w:p w14:paraId="2B11B48C">
            <w:pPr>
              <w:adjustRightInd w:val="0"/>
              <w:snapToGrid w:val="0"/>
              <w:jc w:val="center"/>
              <w:rPr>
                <w:color w:val="auto"/>
                <w:kern w:val="0"/>
                <w:sz w:val="24"/>
              </w:rPr>
            </w:pPr>
            <w:r>
              <w:rPr>
                <w:color w:val="auto"/>
                <w:kern w:val="0"/>
                <w:sz w:val="24"/>
              </w:rPr>
              <w:t>制标</w:t>
            </w:r>
          </w:p>
          <w:p w14:paraId="3AE8DEBC">
            <w:pPr>
              <w:adjustRightInd w:val="0"/>
              <w:snapToGrid w:val="0"/>
              <w:jc w:val="center"/>
              <w:rPr>
                <w:color w:val="auto"/>
                <w:kern w:val="0"/>
                <w:szCs w:val="21"/>
              </w:rPr>
            </w:pPr>
            <w:r>
              <w:rPr>
                <w:color w:val="auto"/>
                <w:kern w:val="0"/>
                <w:sz w:val="24"/>
              </w:rPr>
              <w:t>准</w:t>
            </w:r>
          </w:p>
        </w:tc>
        <w:tc>
          <w:tcPr>
            <w:tcW w:w="8264" w:type="dxa"/>
            <w:vAlign w:val="center"/>
          </w:tcPr>
          <w:p w14:paraId="62A0E3C1">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361" w:firstLineChars="150"/>
              <w:textAlignment w:val="auto"/>
              <w:rPr>
                <w:color w:val="auto"/>
              </w:rPr>
            </w:pPr>
            <w:r>
              <w:rPr>
                <w:b/>
                <w:bCs/>
                <w:color w:val="auto"/>
              </w:rPr>
              <w:t>1、大气污染物</w:t>
            </w:r>
          </w:p>
          <w:p w14:paraId="3B3AA72D">
            <w:pPr>
              <w:spacing w:line="360" w:lineRule="auto"/>
              <w:ind w:firstLine="480" w:firstLineChars="200"/>
              <w:rPr>
                <w:rFonts w:hint="eastAsia" w:ascii="Times New Roman"/>
                <w:color w:val="auto"/>
                <w:sz w:val="24"/>
                <w:highlight w:val="none"/>
                <w:lang w:val="en-US" w:eastAsia="zh-CN"/>
              </w:rPr>
            </w:pPr>
            <w:r>
              <w:rPr>
                <w:rFonts w:hint="eastAsia" w:ascii="Times New Roman"/>
                <w:color w:val="auto"/>
                <w:sz w:val="24"/>
                <w:highlight w:val="none"/>
                <w:lang w:val="en-US" w:eastAsia="zh-CN"/>
              </w:rPr>
              <w:t>有组织氨、硫化氢、臭气浓度执行《恶臭污染物排放标准》（GB 14554-1993）表2中标准，项目厂界NH</w:t>
            </w:r>
            <w:r>
              <w:rPr>
                <w:rFonts w:hint="eastAsia" w:ascii="Times New Roman"/>
                <w:color w:val="auto"/>
                <w:sz w:val="24"/>
                <w:highlight w:val="none"/>
                <w:vertAlign w:val="subscript"/>
                <w:lang w:val="en-US" w:eastAsia="zh-CN"/>
              </w:rPr>
              <w:t>3</w:t>
            </w:r>
            <w:r>
              <w:rPr>
                <w:rFonts w:hint="eastAsia" w:ascii="Times New Roman"/>
                <w:color w:val="auto"/>
                <w:sz w:val="24"/>
                <w:highlight w:val="none"/>
                <w:lang w:val="en-US" w:eastAsia="zh-CN"/>
              </w:rPr>
              <w:t>、H</w:t>
            </w:r>
            <w:r>
              <w:rPr>
                <w:rFonts w:hint="eastAsia" w:ascii="Times New Roman"/>
                <w:color w:val="auto"/>
                <w:sz w:val="24"/>
                <w:highlight w:val="none"/>
                <w:vertAlign w:val="subscript"/>
                <w:lang w:val="en-US" w:eastAsia="zh-CN"/>
              </w:rPr>
              <w:t>2</w:t>
            </w:r>
            <w:r>
              <w:rPr>
                <w:rFonts w:hint="eastAsia" w:ascii="Times New Roman"/>
                <w:color w:val="auto"/>
                <w:sz w:val="24"/>
                <w:highlight w:val="none"/>
                <w:lang w:val="en-US" w:eastAsia="zh-CN"/>
              </w:rPr>
              <w:t>S、臭气浓度执行《城镇污水处理厂污染物排放标准》（GB18918-2002）及其修改单表4中的二级标准。具体标准见下表。</w:t>
            </w:r>
          </w:p>
          <w:p w14:paraId="6CD7BDBF">
            <w:pPr>
              <w:pStyle w:val="152"/>
              <w:rPr>
                <w:b/>
              </w:rPr>
            </w:pPr>
            <w:r>
              <w:rPr>
                <w:rFonts w:hint="eastAsia"/>
                <w:b/>
              </w:rPr>
              <w:t>表</w:t>
            </w:r>
            <w:r>
              <w:rPr>
                <w:rFonts w:hint="eastAsia"/>
                <w:b/>
                <w:lang w:val="en-US" w:eastAsia="zh-CN"/>
              </w:rPr>
              <w:t>3</w:t>
            </w:r>
            <w:r>
              <w:rPr>
                <w:b/>
              </w:rPr>
              <w:t>-</w:t>
            </w:r>
            <w:r>
              <w:rPr>
                <w:rFonts w:hint="eastAsia"/>
                <w:b/>
                <w:lang w:val="en-US" w:eastAsia="zh-CN"/>
              </w:rPr>
              <w:t>8</w:t>
            </w:r>
            <w:r>
              <w:rPr>
                <w:rFonts w:hint="eastAsia"/>
                <w:b/>
              </w:rPr>
              <w:t>《城镇污水处理厂污染物排放标准》</w:t>
            </w:r>
            <w:r>
              <w:rPr>
                <w:b/>
              </w:rPr>
              <w:t>(GB18918-2002)</w:t>
            </w:r>
            <w:r>
              <w:rPr>
                <w:rFonts w:hint="eastAsia"/>
                <w:b/>
              </w:rPr>
              <w:t>及其修改单</w:t>
            </w:r>
          </w:p>
          <w:tbl>
            <w:tblPr>
              <w:tblStyle w:val="33"/>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10"/>
              <w:gridCol w:w="2593"/>
              <w:gridCol w:w="1700"/>
              <w:gridCol w:w="2143"/>
            </w:tblGrid>
            <w:tr w14:paraId="64C50D5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000" w:type="pct"/>
                  <w:tcBorders>
                    <w:tl2br w:val="nil"/>
                    <w:tr2bl w:val="nil"/>
                  </w:tcBorders>
                  <w:vAlign w:val="center"/>
                </w:tcPr>
                <w:p w14:paraId="269A1F93">
                  <w:pPr>
                    <w:snapToGrid w:val="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编号</w:t>
                  </w:r>
                </w:p>
              </w:tc>
              <w:tc>
                <w:tcPr>
                  <w:tcW w:w="1611" w:type="pct"/>
                  <w:tcBorders>
                    <w:tl2br w:val="nil"/>
                    <w:tr2bl w:val="nil"/>
                  </w:tcBorders>
                  <w:vAlign w:val="center"/>
                </w:tcPr>
                <w:p w14:paraId="2809F101">
                  <w:pPr>
                    <w:snapToGrid w:val="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项目</w:t>
                  </w:r>
                </w:p>
              </w:tc>
              <w:tc>
                <w:tcPr>
                  <w:tcW w:w="1056" w:type="pct"/>
                  <w:tcBorders>
                    <w:tl2br w:val="nil"/>
                    <w:tr2bl w:val="nil"/>
                  </w:tcBorders>
                  <w:vAlign w:val="center"/>
                </w:tcPr>
                <w:p w14:paraId="44C87429">
                  <w:pPr>
                    <w:snapToGrid w:val="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单位</w:t>
                  </w:r>
                </w:p>
              </w:tc>
              <w:tc>
                <w:tcPr>
                  <w:tcW w:w="1331" w:type="pct"/>
                  <w:tcBorders>
                    <w:tl2br w:val="nil"/>
                    <w:tr2bl w:val="nil"/>
                  </w:tcBorders>
                  <w:vAlign w:val="center"/>
                </w:tcPr>
                <w:p w14:paraId="35358F21">
                  <w:pPr>
                    <w:snapToGrid w:val="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标准值</w:t>
                  </w:r>
                </w:p>
              </w:tc>
            </w:tr>
            <w:tr w14:paraId="5C45AD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1000" w:type="pct"/>
                  <w:tcBorders>
                    <w:tl2br w:val="nil"/>
                    <w:tr2bl w:val="nil"/>
                  </w:tcBorders>
                  <w:vAlign w:val="center"/>
                </w:tcPr>
                <w:p w14:paraId="49C88002">
                  <w:pPr>
                    <w:snapToGrid w:val="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1</w:t>
                  </w:r>
                </w:p>
              </w:tc>
              <w:tc>
                <w:tcPr>
                  <w:tcW w:w="1611" w:type="pct"/>
                  <w:tcBorders>
                    <w:tl2br w:val="nil"/>
                    <w:tr2bl w:val="nil"/>
                  </w:tcBorders>
                  <w:vAlign w:val="center"/>
                </w:tcPr>
                <w:p w14:paraId="0C64FC19">
                  <w:pPr>
                    <w:snapToGrid w:val="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氨</w:t>
                  </w:r>
                </w:p>
              </w:tc>
              <w:tc>
                <w:tcPr>
                  <w:tcW w:w="1056" w:type="pct"/>
                  <w:tcBorders>
                    <w:tl2br w:val="nil"/>
                    <w:tr2bl w:val="nil"/>
                  </w:tcBorders>
                  <w:vAlign w:val="center"/>
                </w:tcPr>
                <w:p w14:paraId="19263268">
                  <w:pPr>
                    <w:snapToGrid w:val="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mg/m</w:t>
                  </w:r>
                  <w:r>
                    <w:rPr>
                      <w:rFonts w:ascii="Times New Roman" w:hAnsi="Times New Roman" w:eastAsia="宋体" w:cs="Times New Roman"/>
                      <w:color w:val="auto"/>
                      <w:sz w:val="21"/>
                      <w:szCs w:val="21"/>
                      <w:highlight w:val="none"/>
                      <w:vertAlign w:val="superscript"/>
                    </w:rPr>
                    <w:t>3</w:t>
                  </w:r>
                </w:p>
              </w:tc>
              <w:tc>
                <w:tcPr>
                  <w:tcW w:w="1331" w:type="pct"/>
                  <w:tcBorders>
                    <w:tl2br w:val="nil"/>
                    <w:tr2bl w:val="nil"/>
                  </w:tcBorders>
                  <w:vAlign w:val="center"/>
                </w:tcPr>
                <w:p w14:paraId="5EE591BE">
                  <w:pPr>
                    <w:snapToGrid w:val="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1.5</w:t>
                  </w:r>
                </w:p>
              </w:tc>
            </w:tr>
            <w:tr w14:paraId="1831A9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1000" w:type="pct"/>
                  <w:tcBorders>
                    <w:tl2br w:val="nil"/>
                    <w:tr2bl w:val="nil"/>
                  </w:tcBorders>
                  <w:vAlign w:val="center"/>
                </w:tcPr>
                <w:p w14:paraId="5AC08F5C">
                  <w:pPr>
                    <w:snapToGrid w:val="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2</w:t>
                  </w:r>
                </w:p>
              </w:tc>
              <w:tc>
                <w:tcPr>
                  <w:tcW w:w="1611" w:type="pct"/>
                  <w:tcBorders>
                    <w:tl2br w:val="nil"/>
                    <w:tr2bl w:val="nil"/>
                  </w:tcBorders>
                  <w:vAlign w:val="center"/>
                </w:tcPr>
                <w:p w14:paraId="1E3F8B89">
                  <w:pPr>
                    <w:snapToGrid w:val="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硫化氢</w:t>
                  </w:r>
                </w:p>
              </w:tc>
              <w:tc>
                <w:tcPr>
                  <w:tcW w:w="1056" w:type="pct"/>
                  <w:tcBorders>
                    <w:tl2br w:val="nil"/>
                    <w:tr2bl w:val="nil"/>
                  </w:tcBorders>
                  <w:vAlign w:val="center"/>
                </w:tcPr>
                <w:p w14:paraId="2ECD5F0B">
                  <w:pPr>
                    <w:snapToGrid w:val="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mg/m</w:t>
                  </w:r>
                  <w:r>
                    <w:rPr>
                      <w:rFonts w:ascii="Times New Roman" w:hAnsi="Times New Roman" w:eastAsia="宋体" w:cs="Times New Roman"/>
                      <w:color w:val="auto"/>
                      <w:sz w:val="21"/>
                      <w:szCs w:val="21"/>
                      <w:highlight w:val="none"/>
                      <w:vertAlign w:val="superscript"/>
                    </w:rPr>
                    <w:t>3</w:t>
                  </w:r>
                </w:p>
              </w:tc>
              <w:tc>
                <w:tcPr>
                  <w:tcW w:w="1331" w:type="pct"/>
                  <w:tcBorders>
                    <w:tl2br w:val="nil"/>
                    <w:tr2bl w:val="nil"/>
                  </w:tcBorders>
                  <w:vAlign w:val="center"/>
                </w:tcPr>
                <w:p w14:paraId="074673FF">
                  <w:pPr>
                    <w:snapToGrid w:val="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0.06</w:t>
                  </w:r>
                </w:p>
              </w:tc>
            </w:tr>
            <w:tr w14:paraId="2C211BE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000" w:type="pct"/>
                  <w:tcBorders>
                    <w:tl2br w:val="nil"/>
                    <w:tr2bl w:val="nil"/>
                  </w:tcBorders>
                  <w:vAlign w:val="center"/>
                </w:tcPr>
                <w:p w14:paraId="7EFBBA5D">
                  <w:pPr>
                    <w:snapToGrid w:val="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3</w:t>
                  </w:r>
                </w:p>
              </w:tc>
              <w:tc>
                <w:tcPr>
                  <w:tcW w:w="1611" w:type="pct"/>
                  <w:tcBorders>
                    <w:tl2br w:val="nil"/>
                    <w:tr2bl w:val="nil"/>
                  </w:tcBorders>
                  <w:vAlign w:val="center"/>
                </w:tcPr>
                <w:p w14:paraId="1A53BCEC">
                  <w:pPr>
                    <w:snapToGrid w:val="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臭气</w:t>
                  </w:r>
                </w:p>
              </w:tc>
              <w:tc>
                <w:tcPr>
                  <w:tcW w:w="1056" w:type="pct"/>
                  <w:tcBorders>
                    <w:tl2br w:val="nil"/>
                    <w:tr2bl w:val="nil"/>
                  </w:tcBorders>
                  <w:vAlign w:val="center"/>
                </w:tcPr>
                <w:p w14:paraId="66A32531">
                  <w:pPr>
                    <w:snapToGrid w:val="0"/>
                    <w:jc w:val="center"/>
                    <w:rPr>
                      <w:rFonts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rPr>
                    <w:t>无量纲</w:t>
                  </w:r>
                </w:p>
              </w:tc>
              <w:tc>
                <w:tcPr>
                  <w:tcW w:w="1331" w:type="pct"/>
                  <w:tcBorders>
                    <w:tl2br w:val="nil"/>
                    <w:tr2bl w:val="nil"/>
                  </w:tcBorders>
                  <w:vAlign w:val="center"/>
                </w:tcPr>
                <w:p w14:paraId="5F4144FE">
                  <w:pPr>
                    <w:snapToGrid w:val="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20</w:t>
                  </w:r>
                </w:p>
              </w:tc>
            </w:tr>
            <w:tr w14:paraId="21BF8F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00" w:type="pct"/>
                  <w:tcBorders>
                    <w:tl2br w:val="nil"/>
                    <w:tr2bl w:val="nil"/>
                  </w:tcBorders>
                  <w:vAlign w:val="center"/>
                </w:tcPr>
                <w:p w14:paraId="41B4ACB5">
                  <w:pPr>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w:t>
                  </w:r>
                </w:p>
              </w:tc>
              <w:tc>
                <w:tcPr>
                  <w:tcW w:w="1611" w:type="pct"/>
                  <w:tcBorders>
                    <w:tl2br w:val="nil"/>
                    <w:tr2bl w:val="nil"/>
                  </w:tcBorders>
                  <w:vAlign w:val="center"/>
                </w:tcPr>
                <w:p w14:paraId="382625C9">
                  <w:pPr>
                    <w:snapToGrid w:val="0"/>
                    <w:jc w:val="center"/>
                    <w:rPr>
                      <w:rFonts w:hint="eastAsia" w:ascii="Times New Roman" w:hAnsi="Times New Roman" w:eastAsia="宋体" w:cs="Times New Roman"/>
                      <w:color w:val="auto"/>
                      <w:sz w:val="21"/>
                      <w:szCs w:val="21"/>
                      <w:highlight w:val="none"/>
                    </w:rPr>
                  </w:pPr>
                  <w:r>
                    <w:rPr>
                      <w:rFonts w:ascii="Times New Roman" w:hAnsi="宋体"/>
                      <w:color w:val="auto"/>
                      <w:sz w:val="21"/>
                      <w:szCs w:val="21"/>
                      <w:highlight w:val="none"/>
                    </w:rPr>
                    <w:t>甲烷（厂区最高体积浓度）</w:t>
                  </w:r>
                </w:p>
              </w:tc>
              <w:tc>
                <w:tcPr>
                  <w:tcW w:w="1056" w:type="pct"/>
                  <w:tcBorders>
                    <w:tl2br w:val="nil"/>
                    <w:tr2bl w:val="nil"/>
                  </w:tcBorders>
                  <w:vAlign w:val="center"/>
                </w:tcPr>
                <w:p w14:paraId="004FAA8D">
                  <w:pPr>
                    <w:snapToGrid w:val="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w:t>
                  </w:r>
                </w:p>
              </w:tc>
              <w:tc>
                <w:tcPr>
                  <w:tcW w:w="1331" w:type="pct"/>
                  <w:tcBorders>
                    <w:tl2br w:val="nil"/>
                    <w:tr2bl w:val="nil"/>
                  </w:tcBorders>
                  <w:vAlign w:val="center"/>
                </w:tcPr>
                <w:p w14:paraId="475AF9C7">
                  <w:pPr>
                    <w:snapToGrid w:val="0"/>
                    <w:jc w:val="center"/>
                    <w:rPr>
                      <w:rFonts w:ascii="Times New Roman" w:hAnsi="Times New Roman" w:eastAsia="宋体" w:cs="Times New Roman"/>
                      <w:color w:val="auto"/>
                      <w:sz w:val="21"/>
                      <w:szCs w:val="21"/>
                      <w:highlight w:val="none"/>
                    </w:rPr>
                  </w:pPr>
                  <w:r>
                    <w:rPr>
                      <w:rFonts w:ascii="Times New Roman" w:hAnsi="Times New Roman"/>
                      <w:color w:val="auto"/>
                      <w:sz w:val="21"/>
                      <w:szCs w:val="21"/>
                      <w:highlight w:val="none"/>
                    </w:rPr>
                    <w:t>1</w:t>
                  </w:r>
                </w:p>
              </w:tc>
            </w:tr>
          </w:tbl>
          <w:p w14:paraId="0DF39EF9">
            <w:pPr>
              <w:pStyle w:val="152"/>
              <w:rPr>
                <w:b/>
              </w:rPr>
            </w:pPr>
            <w:r>
              <w:rPr>
                <w:rFonts w:hint="eastAsia"/>
                <w:b/>
              </w:rPr>
              <w:t xml:space="preserve">表 </w:t>
            </w:r>
            <w:r>
              <w:rPr>
                <w:rFonts w:hint="eastAsia"/>
                <w:b/>
                <w:lang w:val="en-US" w:eastAsia="zh-CN"/>
              </w:rPr>
              <w:t>3</w:t>
            </w:r>
            <w:r>
              <w:rPr>
                <w:rFonts w:hint="eastAsia"/>
                <w:b/>
              </w:rPr>
              <w:t>-</w:t>
            </w:r>
            <w:r>
              <w:rPr>
                <w:rFonts w:hint="eastAsia"/>
                <w:b/>
                <w:lang w:val="en-US" w:eastAsia="zh-CN"/>
              </w:rPr>
              <w:t xml:space="preserve">9 </w:t>
            </w:r>
            <w:r>
              <w:rPr>
                <w:rFonts w:hint="eastAsia"/>
                <w:b/>
              </w:rPr>
              <w:t>恶臭污染物排放标准值</w:t>
            </w:r>
          </w:p>
          <w:tbl>
            <w:tblPr>
              <w:tblStyle w:val="32"/>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80"/>
              <w:gridCol w:w="2681"/>
              <w:gridCol w:w="2683"/>
            </w:tblGrid>
            <w:tr w14:paraId="3D67D3A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5" w:type="pct"/>
                  <w:tcBorders>
                    <w:tl2br w:val="nil"/>
                    <w:tr2bl w:val="nil"/>
                  </w:tcBorders>
                  <w:noWrap w:val="0"/>
                  <w:vAlign w:val="center"/>
                </w:tcPr>
                <w:p w14:paraId="49980C2A">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控制项目</w:t>
                  </w:r>
                </w:p>
              </w:tc>
              <w:tc>
                <w:tcPr>
                  <w:tcW w:w="1666" w:type="pct"/>
                  <w:tcBorders>
                    <w:tl2br w:val="nil"/>
                    <w:tr2bl w:val="nil"/>
                  </w:tcBorders>
                  <w:noWrap w:val="0"/>
                  <w:vAlign w:val="center"/>
                </w:tcPr>
                <w:p w14:paraId="6A2575B4">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排气筒高度（m）</w:t>
                  </w:r>
                </w:p>
              </w:tc>
              <w:tc>
                <w:tcPr>
                  <w:tcW w:w="1667" w:type="pct"/>
                  <w:tcBorders>
                    <w:tl2br w:val="nil"/>
                    <w:tr2bl w:val="nil"/>
                  </w:tcBorders>
                  <w:noWrap w:val="0"/>
                  <w:vAlign w:val="center"/>
                </w:tcPr>
                <w:p w14:paraId="59A706E1">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排放量（kg/h）</w:t>
                  </w:r>
                </w:p>
              </w:tc>
            </w:tr>
            <w:tr w14:paraId="490F97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5" w:type="pct"/>
                  <w:tcBorders>
                    <w:tl2br w:val="nil"/>
                    <w:tr2bl w:val="nil"/>
                  </w:tcBorders>
                  <w:noWrap w:val="0"/>
                  <w:vAlign w:val="center"/>
                </w:tcPr>
                <w:p w14:paraId="53E4EF65">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氨（NH</w:t>
                  </w:r>
                  <w:r>
                    <w:rPr>
                      <w:rFonts w:hint="default" w:ascii="Times New Roman" w:hAnsi="Times New Roman" w:eastAsia="宋体" w:cs="Times New Roman"/>
                      <w:color w:val="auto"/>
                      <w:sz w:val="21"/>
                      <w:szCs w:val="21"/>
                      <w:highlight w:val="none"/>
                      <w:vertAlign w:val="subscript"/>
                    </w:rPr>
                    <w:t>3</w:t>
                  </w:r>
                  <w:r>
                    <w:rPr>
                      <w:rFonts w:hint="default" w:ascii="Times New Roman" w:hAnsi="Times New Roman" w:eastAsia="宋体" w:cs="Times New Roman"/>
                      <w:color w:val="auto"/>
                      <w:sz w:val="21"/>
                      <w:szCs w:val="21"/>
                      <w:highlight w:val="none"/>
                    </w:rPr>
                    <w:t>）</w:t>
                  </w:r>
                </w:p>
              </w:tc>
              <w:tc>
                <w:tcPr>
                  <w:tcW w:w="1666" w:type="pct"/>
                  <w:vMerge w:val="restart"/>
                  <w:tcBorders>
                    <w:tl2br w:val="nil"/>
                    <w:tr2bl w:val="nil"/>
                  </w:tcBorders>
                  <w:noWrap w:val="0"/>
                  <w:vAlign w:val="center"/>
                </w:tcPr>
                <w:p w14:paraId="5EE4C46E">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1667" w:type="pct"/>
                  <w:tcBorders>
                    <w:tl2br w:val="nil"/>
                    <w:tr2bl w:val="nil"/>
                  </w:tcBorders>
                  <w:noWrap w:val="0"/>
                  <w:vAlign w:val="center"/>
                </w:tcPr>
                <w:p w14:paraId="5519D86A">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4.9</w:t>
                  </w:r>
                </w:p>
              </w:tc>
            </w:tr>
            <w:tr w14:paraId="29728FA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5" w:type="pct"/>
                  <w:tcBorders>
                    <w:tl2br w:val="nil"/>
                    <w:tr2bl w:val="nil"/>
                  </w:tcBorders>
                  <w:noWrap w:val="0"/>
                  <w:vAlign w:val="center"/>
                </w:tcPr>
                <w:p w14:paraId="2924326B">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硫化氢（H</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S）</w:t>
                  </w:r>
                </w:p>
              </w:tc>
              <w:tc>
                <w:tcPr>
                  <w:tcW w:w="1666" w:type="pct"/>
                  <w:vMerge w:val="continue"/>
                  <w:tcBorders>
                    <w:tl2br w:val="nil"/>
                    <w:tr2bl w:val="nil"/>
                  </w:tcBorders>
                  <w:noWrap w:val="0"/>
                  <w:vAlign w:val="center"/>
                </w:tcPr>
                <w:p w14:paraId="49CF717F">
                  <w:pPr>
                    <w:snapToGrid w:val="0"/>
                    <w:jc w:val="center"/>
                    <w:rPr>
                      <w:rFonts w:hint="default" w:ascii="Times New Roman" w:hAnsi="Times New Roman" w:eastAsia="宋体" w:cs="Times New Roman"/>
                      <w:color w:val="auto"/>
                      <w:sz w:val="21"/>
                      <w:szCs w:val="21"/>
                      <w:highlight w:val="none"/>
                    </w:rPr>
                  </w:pPr>
                </w:p>
              </w:tc>
              <w:tc>
                <w:tcPr>
                  <w:tcW w:w="1667" w:type="pct"/>
                  <w:tcBorders>
                    <w:tl2br w:val="nil"/>
                    <w:tr2bl w:val="nil"/>
                  </w:tcBorders>
                  <w:noWrap w:val="0"/>
                  <w:vAlign w:val="center"/>
                </w:tcPr>
                <w:p w14:paraId="42EA9C45">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0.33</w:t>
                  </w:r>
                </w:p>
              </w:tc>
            </w:tr>
            <w:tr w14:paraId="6316C96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665" w:type="pct"/>
                  <w:tcBorders>
                    <w:tl2br w:val="nil"/>
                    <w:tr2bl w:val="nil"/>
                  </w:tcBorders>
                  <w:noWrap w:val="0"/>
                  <w:vAlign w:val="center"/>
                </w:tcPr>
                <w:p w14:paraId="05FE5A19">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臭气浓度（无量纲）</w:t>
                  </w:r>
                </w:p>
              </w:tc>
              <w:tc>
                <w:tcPr>
                  <w:tcW w:w="1666" w:type="pct"/>
                  <w:vMerge w:val="continue"/>
                  <w:tcBorders>
                    <w:tl2br w:val="nil"/>
                    <w:tr2bl w:val="nil"/>
                  </w:tcBorders>
                  <w:noWrap w:val="0"/>
                  <w:vAlign w:val="center"/>
                </w:tcPr>
                <w:p w14:paraId="70FF3FE1">
                  <w:pPr>
                    <w:snapToGrid w:val="0"/>
                    <w:jc w:val="center"/>
                    <w:rPr>
                      <w:rFonts w:hint="default" w:ascii="Times New Roman" w:hAnsi="Times New Roman" w:eastAsia="宋体" w:cs="Times New Roman"/>
                      <w:color w:val="auto"/>
                      <w:sz w:val="21"/>
                      <w:szCs w:val="21"/>
                      <w:highlight w:val="none"/>
                    </w:rPr>
                  </w:pPr>
                </w:p>
              </w:tc>
              <w:tc>
                <w:tcPr>
                  <w:tcW w:w="1667" w:type="pct"/>
                  <w:tcBorders>
                    <w:tl2br w:val="nil"/>
                    <w:tr2bl w:val="nil"/>
                  </w:tcBorders>
                  <w:noWrap w:val="0"/>
                  <w:vAlign w:val="center"/>
                </w:tcPr>
                <w:p w14:paraId="0EBF53F3">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2000</w:t>
                  </w:r>
                </w:p>
              </w:tc>
            </w:tr>
          </w:tbl>
          <w:p w14:paraId="0213374F">
            <w:pPr>
              <w:pStyle w:val="153"/>
              <w:jc w:val="center"/>
              <w:rPr>
                <w:snapToGrid w:val="0"/>
                <w:color w:val="auto"/>
                <w:sz w:val="21"/>
                <w:szCs w:val="21"/>
              </w:rPr>
            </w:pPr>
            <w:r>
              <w:rPr>
                <w:rFonts w:hint="eastAsia"/>
                <w:b/>
                <w:color w:val="auto"/>
                <w:sz w:val="21"/>
                <w:szCs w:val="21"/>
              </w:rPr>
              <w:t>表</w:t>
            </w:r>
            <w:r>
              <w:rPr>
                <w:rFonts w:hint="eastAsia"/>
                <w:b/>
                <w:color w:val="auto"/>
                <w:sz w:val="21"/>
                <w:szCs w:val="21"/>
                <w:lang w:val="en-US" w:eastAsia="zh-CN"/>
              </w:rPr>
              <w:t>3</w:t>
            </w:r>
            <w:r>
              <w:rPr>
                <w:rFonts w:hint="eastAsia"/>
                <w:b/>
                <w:color w:val="auto"/>
                <w:sz w:val="21"/>
                <w:szCs w:val="21"/>
              </w:rPr>
              <w:t>-</w:t>
            </w:r>
            <w:r>
              <w:rPr>
                <w:rFonts w:hint="eastAsia"/>
                <w:b/>
                <w:color w:val="auto"/>
                <w:sz w:val="21"/>
                <w:szCs w:val="21"/>
                <w:lang w:val="en-US" w:eastAsia="zh-CN"/>
              </w:rPr>
              <w:t>10</w:t>
            </w:r>
            <w:r>
              <w:rPr>
                <w:rFonts w:hint="eastAsia"/>
                <w:snapToGrid w:val="0"/>
                <w:color w:val="auto"/>
                <w:sz w:val="21"/>
                <w:szCs w:val="21"/>
              </w:rPr>
              <w:t>《大气污染物综合排放标准》GB 16297-1996</w:t>
            </w:r>
          </w:p>
          <w:tbl>
            <w:tblPr>
              <w:tblStyle w:val="32"/>
              <w:tblW w:w="80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6"/>
              <w:gridCol w:w="2169"/>
              <w:gridCol w:w="2331"/>
              <w:gridCol w:w="2086"/>
            </w:tblGrid>
            <w:tr w14:paraId="5F9EC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1476" w:type="dxa"/>
                  <w:tcBorders>
                    <w:tl2br w:val="nil"/>
                    <w:tr2bl w:val="nil"/>
                  </w:tcBorders>
                  <w:noWrap/>
                  <w:vAlign w:val="center"/>
                </w:tcPr>
                <w:p w14:paraId="60B448EB">
                  <w:pPr>
                    <w:widowControl/>
                    <w:jc w:val="center"/>
                    <w:rPr>
                      <w:snapToGrid w:val="0"/>
                      <w:color w:val="auto"/>
                      <w:szCs w:val="21"/>
                    </w:rPr>
                  </w:pPr>
                  <w:r>
                    <w:rPr>
                      <w:snapToGrid w:val="0"/>
                      <w:color w:val="auto"/>
                      <w:szCs w:val="21"/>
                    </w:rPr>
                    <w:t>污染物</w:t>
                  </w:r>
                </w:p>
              </w:tc>
              <w:tc>
                <w:tcPr>
                  <w:tcW w:w="2169" w:type="dxa"/>
                  <w:tcBorders>
                    <w:tl2br w:val="nil"/>
                    <w:tr2bl w:val="nil"/>
                  </w:tcBorders>
                  <w:noWrap/>
                  <w:vAlign w:val="center"/>
                </w:tcPr>
                <w:p w14:paraId="333B4D72">
                  <w:pPr>
                    <w:widowControl/>
                    <w:spacing w:line="240" w:lineRule="exact"/>
                    <w:jc w:val="center"/>
                    <w:rPr>
                      <w:snapToGrid w:val="0"/>
                      <w:color w:val="auto"/>
                      <w:szCs w:val="21"/>
                    </w:rPr>
                  </w:pPr>
                  <w:r>
                    <w:rPr>
                      <w:rFonts w:hint="eastAsia"/>
                      <w:snapToGrid w:val="0"/>
                      <w:color w:val="auto"/>
                      <w:szCs w:val="21"/>
                      <w:lang w:val="en-US" w:eastAsia="zh-CN"/>
                    </w:rPr>
                    <w:t>无组织排放监控</w:t>
                  </w:r>
                  <w:r>
                    <w:rPr>
                      <w:snapToGrid w:val="0"/>
                      <w:color w:val="auto"/>
                      <w:szCs w:val="21"/>
                    </w:rPr>
                    <w:t>限值</w:t>
                  </w:r>
                  <w:r>
                    <w:rPr>
                      <w:rFonts w:hint="eastAsia"/>
                      <w:snapToGrid w:val="0"/>
                      <w:color w:val="auto"/>
                      <w:szCs w:val="21"/>
                    </w:rPr>
                    <w:t>（</w:t>
                  </w:r>
                  <w:r>
                    <w:rPr>
                      <w:snapToGrid w:val="0"/>
                      <w:color w:val="auto"/>
                      <w:szCs w:val="21"/>
                    </w:rPr>
                    <w:t>mg/m</w:t>
                  </w:r>
                  <w:r>
                    <w:rPr>
                      <w:snapToGrid w:val="0"/>
                      <w:color w:val="auto"/>
                      <w:szCs w:val="21"/>
                      <w:vertAlign w:val="superscript"/>
                    </w:rPr>
                    <w:t>3</w:t>
                  </w:r>
                  <w:r>
                    <w:rPr>
                      <w:rFonts w:hint="eastAsia"/>
                      <w:snapToGrid w:val="0"/>
                      <w:color w:val="auto"/>
                      <w:szCs w:val="21"/>
                    </w:rPr>
                    <w:t>）</w:t>
                  </w:r>
                </w:p>
              </w:tc>
              <w:tc>
                <w:tcPr>
                  <w:tcW w:w="2331" w:type="dxa"/>
                  <w:tcBorders>
                    <w:tl2br w:val="nil"/>
                    <w:tr2bl w:val="nil"/>
                  </w:tcBorders>
                  <w:noWrap/>
                  <w:vAlign w:val="center"/>
                </w:tcPr>
                <w:p w14:paraId="68EECCBD">
                  <w:pPr>
                    <w:widowControl/>
                    <w:jc w:val="center"/>
                    <w:rPr>
                      <w:snapToGrid w:val="0"/>
                      <w:color w:val="auto"/>
                      <w:szCs w:val="21"/>
                    </w:rPr>
                  </w:pPr>
                  <w:r>
                    <w:rPr>
                      <w:snapToGrid w:val="0"/>
                      <w:color w:val="auto"/>
                      <w:szCs w:val="21"/>
                    </w:rPr>
                    <w:t>标准来源</w:t>
                  </w:r>
                </w:p>
              </w:tc>
              <w:tc>
                <w:tcPr>
                  <w:tcW w:w="2086" w:type="dxa"/>
                  <w:tcBorders>
                    <w:tl2br w:val="nil"/>
                    <w:tr2bl w:val="nil"/>
                  </w:tcBorders>
                  <w:noWrap/>
                  <w:vAlign w:val="center"/>
                </w:tcPr>
                <w:p w14:paraId="32813A0C">
                  <w:pPr>
                    <w:widowControl/>
                    <w:jc w:val="center"/>
                    <w:rPr>
                      <w:rFonts w:hint="default" w:eastAsia="宋体"/>
                      <w:snapToGrid w:val="0"/>
                      <w:color w:val="auto"/>
                      <w:szCs w:val="21"/>
                      <w:lang w:val="en-US" w:eastAsia="zh-CN"/>
                    </w:rPr>
                  </w:pPr>
                  <w:r>
                    <w:rPr>
                      <w:rFonts w:hint="eastAsia"/>
                      <w:snapToGrid w:val="0"/>
                      <w:color w:val="auto"/>
                      <w:szCs w:val="21"/>
                      <w:lang w:val="en-US" w:eastAsia="zh-CN"/>
                    </w:rPr>
                    <w:t>监控点</w:t>
                  </w:r>
                </w:p>
              </w:tc>
            </w:tr>
            <w:tr w14:paraId="30D06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6" w:type="dxa"/>
                  <w:tcBorders>
                    <w:tl2br w:val="nil"/>
                    <w:tr2bl w:val="nil"/>
                  </w:tcBorders>
                  <w:noWrap/>
                  <w:vAlign w:val="center"/>
                </w:tcPr>
                <w:p w14:paraId="2534C26F">
                  <w:pPr>
                    <w:widowControl/>
                    <w:jc w:val="center"/>
                    <w:rPr>
                      <w:rFonts w:hint="eastAsia" w:eastAsia="宋体"/>
                      <w:color w:val="auto"/>
                      <w:szCs w:val="21"/>
                      <w:lang w:val="en-US" w:eastAsia="zh-CN"/>
                    </w:rPr>
                  </w:pPr>
                  <w:r>
                    <w:rPr>
                      <w:rFonts w:hint="eastAsia"/>
                      <w:color w:val="auto"/>
                      <w:szCs w:val="21"/>
                      <w:lang w:val="en-US" w:eastAsia="zh-CN"/>
                    </w:rPr>
                    <w:t>二氧化硫</w:t>
                  </w:r>
                </w:p>
              </w:tc>
              <w:tc>
                <w:tcPr>
                  <w:tcW w:w="2169" w:type="dxa"/>
                  <w:tcBorders>
                    <w:tl2br w:val="nil"/>
                    <w:tr2bl w:val="nil"/>
                  </w:tcBorders>
                  <w:noWrap/>
                  <w:vAlign w:val="center"/>
                </w:tcPr>
                <w:p w14:paraId="49551E16">
                  <w:pPr>
                    <w:widowControl/>
                    <w:jc w:val="center"/>
                    <w:rPr>
                      <w:rFonts w:hint="default" w:eastAsia="宋体"/>
                      <w:color w:val="auto"/>
                      <w:szCs w:val="21"/>
                      <w:lang w:val="en-US" w:eastAsia="zh-CN"/>
                    </w:rPr>
                  </w:pPr>
                  <w:r>
                    <w:rPr>
                      <w:rFonts w:hint="eastAsia"/>
                      <w:color w:val="auto"/>
                      <w:szCs w:val="21"/>
                      <w:lang w:val="en-US" w:eastAsia="zh-CN"/>
                    </w:rPr>
                    <w:t>0.4</w:t>
                  </w:r>
                </w:p>
              </w:tc>
              <w:tc>
                <w:tcPr>
                  <w:tcW w:w="2331" w:type="dxa"/>
                  <w:vMerge w:val="restart"/>
                  <w:tcBorders>
                    <w:tl2br w:val="nil"/>
                    <w:tr2bl w:val="nil"/>
                  </w:tcBorders>
                  <w:noWrap/>
                  <w:vAlign w:val="center"/>
                </w:tcPr>
                <w:p w14:paraId="1426D0C2">
                  <w:pPr>
                    <w:widowControl/>
                    <w:jc w:val="center"/>
                    <w:rPr>
                      <w:snapToGrid w:val="0"/>
                      <w:color w:val="auto"/>
                      <w:szCs w:val="21"/>
                    </w:rPr>
                  </w:pPr>
                  <w:r>
                    <w:rPr>
                      <w:color w:val="auto"/>
                      <w:szCs w:val="21"/>
                    </w:rPr>
                    <w:t>《大气污染物综合排放标准》（GB16297-1996）表2</w:t>
                  </w:r>
                </w:p>
              </w:tc>
              <w:tc>
                <w:tcPr>
                  <w:tcW w:w="2086" w:type="dxa"/>
                  <w:vMerge w:val="restart"/>
                  <w:tcBorders>
                    <w:tl2br w:val="nil"/>
                    <w:tr2bl w:val="nil"/>
                  </w:tcBorders>
                  <w:noWrap/>
                  <w:vAlign w:val="center"/>
                </w:tcPr>
                <w:p w14:paraId="13CC6EA4">
                  <w:pPr>
                    <w:widowControl/>
                    <w:jc w:val="center"/>
                    <w:rPr>
                      <w:rFonts w:hint="default" w:eastAsia="宋体"/>
                      <w:color w:val="auto"/>
                      <w:szCs w:val="21"/>
                      <w:lang w:val="en-US" w:eastAsia="zh-CN"/>
                    </w:rPr>
                  </w:pPr>
                  <w:r>
                    <w:rPr>
                      <w:rFonts w:hint="eastAsia"/>
                      <w:color w:val="auto"/>
                      <w:szCs w:val="21"/>
                      <w:lang w:val="en-US" w:eastAsia="zh-CN"/>
                    </w:rPr>
                    <w:t>厂界外浓度最高点</w:t>
                  </w:r>
                </w:p>
              </w:tc>
            </w:tr>
            <w:tr w14:paraId="0363F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6" w:type="dxa"/>
                  <w:tcBorders>
                    <w:tl2br w:val="nil"/>
                    <w:tr2bl w:val="nil"/>
                  </w:tcBorders>
                  <w:shd w:val="clear" w:color="auto" w:fill="auto"/>
                  <w:noWrap/>
                  <w:vAlign w:val="center"/>
                </w:tcPr>
                <w:p w14:paraId="15E70C6E">
                  <w:pPr>
                    <w:widowControl/>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氮氧化物</w:t>
                  </w:r>
                </w:p>
              </w:tc>
              <w:tc>
                <w:tcPr>
                  <w:tcW w:w="2169" w:type="dxa"/>
                  <w:tcBorders>
                    <w:tl2br w:val="nil"/>
                    <w:tr2bl w:val="nil"/>
                  </w:tcBorders>
                  <w:shd w:val="clear" w:color="auto" w:fill="auto"/>
                  <w:noWrap/>
                  <w:vAlign w:val="center"/>
                </w:tcPr>
                <w:p w14:paraId="4026A376">
                  <w:pPr>
                    <w:widowControl/>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0.12</w:t>
                  </w:r>
                </w:p>
              </w:tc>
              <w:tc>
                <w:tcPr>
                  <w:tcW w:w="2331" w:type="dxa"/>
                  <w:vMerge w:val="continue"/>
                  <w:tcBorders>
                    <w:tl2br w:val="nil"/>
                    <w:tr2bl w:val="nil"/>
                  </w:tcBorders>
                  <w:noWrap/>
                  <w:vAlign w:val="center"/>
                </w:tcPr>
                <w:p w14:paraId="41879FA3">
                  <w:pPr>
                    <w:widowControl/>
                    <w:jc w:val="center"/>
                    <w:rPr>
                      <w:color w:val="auto"/>
                      <w:szCs w:val="21"/>
                    </w:rPr>
                  </w:pPr>
                </w:p>
              </w:tc>
              <w:tc>
                <w:tcPr>
                  <w:tcW w:w="2086" w:type="dxa"/>
                  <w:vMerge w:val="continue"/>
                  <w:tcBorders>
                    <w:tl2br w:val="nil"/>
                    <w:tr2bl w:val="nil"/>
                  </w:tcBorders>
                  <w:noWrap/>
                  <w:vAlign w:val="center"/>
                </w:tcPr>
                <w:p w14:paraId="01E0E48F">
                  <w:pPr>
                    <w:widowControl/>
                    <w:jc w:val="center"/>
                    <w:rPr>
                      <w:color w:val="auto"/>
                      <w:szCs w:val="21"/>
                    </w:rPr>
                  </w:pPr>
                </w:p>
              </w:tc>
            </w:tr>
            <w:tr w14:paraId="31C66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6" w:type="dxa"/>
                  <w:tcBorders>
                    <w:tl2br w:val="nil"/>
                    <w:tr2bl w:val="nil"/>
                  </w:tcBorders>
                  <w:shd w:val="clear" w:color="auto" w:fill="auto"/>
                  <w:noWrap/>
                  <w:vAlign w:val="center"/>
                </w:tcPr>
                <w:p w14:paraId="0FB569DD">
                  <w:pPr>
                    <w:widowControl/>
                    <w:jc w:val="center"/>
                    <w:rPr>
                      <w:rFonts w:ascii="Times New Roman" w:hAnsi="Times New Roman" w:eastAsia="宋体" w:cs="Times New Roman"/>
                      <w:color w:val="auto"/>
                      <w:kern w:val="2"/>
                      <w:sz w:val="21"/>
                      <w:szCs w:val="21"/>
                      <w:lang w:val="en-US" w:eastAsia="zh-CN" w:bidi="ar-SA"/>
                    </w:rPr>
                  </w:pPr>
                  <w:r>
                    <w:rPr>
                      <w:color w:val="auto"/>
                      <w:szCs w:val="21"/>
                    </w:rPr>
                    <w:t>颗粒物</w:t>
                  </w:r>
                </w:p>
              </w:tc>
              <w:tc>
                <w:tcPr>
                  <w:tcW w:w="2169" w:type="dxa"/>
                  <w:tcBorders>
                    <w:tl2br w:val="nil"/>
                    <w:tr2bl w:val="nil"/>
                  </w:tcBorders>
                  <w:shd w:val="clear" w:color="auto" w:fill="auto"/>
                  <w:noWrap/>
                  <w:vAlign w:val="center"/>
                </w:tcPr>
                <w:p w14:paraId="52AF2B96">
                  <w:pPr>
                    <w:widowControl/>
                    <w:jc w:val="center"/>
                    <w:rPr>
                      <w:rFonts w:ascii="Times New Roman" w:hAnsi="Times New Roman" w:eastAsia="宋体" w:cs="Times New Roman"/>
                      <w:color w:val="auto"/>
                      <w:kern w:val="2"/>
                      <w:sz w:val="21"/>
                      <w:szCs w:val="21"/>
                      <w:lang w:val="en-US" w:eastAsia="zh-CN" w:bidi="ar-SA"/>
                    </w:rPr>
                  </w:pPr>
                  <w:r>
                    <w:rPr>
                      <w:color w:val="auto"/>
                      <w:szCs w:val="21"/>
                    </w:rPr>
                    <w:t>1</w:t>
                  </w:r>
                  <w:r>
                    <w:rPr>
                      <w:rFonts w:hint="eastAsia"/>
                      <w:color w:val="auto"/>
                      <w:szCs w:val="21"/>
                    </w:rPr>
                    <w:t>.0</w:t>
                  </w:r>
                </w:p>
              </w:tc>
              <w:tc>
                <w:tcPr>
                  <w:tcW w:w="2331" w:type="dxa"/>
                  <w:vMerge w:val="continue"/>
                  <w:tcBorders>
                    <w:tl2br w:val="nil"/>
                    <w:tr2bl w:val="nil"/>
                  </w:tcBorders>
                  <w:noWrap/>
                  <w:vAlign w:val="center"/>
                </w:tcPr>
                <w:p w14:paraId="2FAC9BE6">
                  <w:pPr>
                    <w:widowControl/>
                    <w:jc w:val="center"/>
                    <w:rPr>
                      <w:color w:val="auto"/>
                      <w:szCs w:val="21"/>
                    </w:rPr>
                  </w:pPr>
                </w:p>
              </w:tc>
              <w:tc>
                <w:tcPr>
                  <w:tcW w:w="2086" w:type="dxa"/>
                  <w:vMerge w:val="continue"/>
                  <w:tcBorders>
                    <w:tl2br w:val="nil"/>
                    <w:tr2bl w:val="nil"/>
                  </w:tcBorders>
                  <w:noWrap/>
                  <w:vAlign w:val="center"/>
                </w:tcPr>
                <w:p w14:paraId="67A95C5F">
                  <w:pPr>
                    <w:widowControl/>
                    <w:jc w:val="center"/>
                    <w:rPr>
                      <w:color w:val="auto"/>
                      <w:szCs w:val="21"/>
                    </w:rPr>
                  </w:pPr>
                </w:p>
              </w:tc>
            </w:tr>
            <w:tr w14:paraId="4A8A6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76" w:type="dxa"/>
                  <w:tcBorders>
                    <w:tl2br w:val="nil"/>
                    <w:tr2bl w:val="nil"/>
                  </w:tcBorders>
                  <w:shd w:val="clear" w:color="auto" w:fill="auto"/>
                  <w:noWrap/>
                  <w:vAlign w:val="center"/>
                </w:tcPr>
                <w:p w14:paraId="42AD8773">
                  <w:pPr>
                    <w:widowControl/>
                    <w:jc w:val="center"/>
                    <w:rPr>
                      <w:rFonts w:hint="eastAsia" w:ascii="Times New Roman" w:hAnsi="Times New Roman" w:eastAsia="宋体" w:cs="Times New Roman"/>
                      <w:color w:val="auto"/>
                      <w:kern w:val="2"/>
                      <w:sz w:val="21"/>
                      <w:szCs w:val="21"/>
                      <w:u w:val="none"/>
                      <w:lang w:val="en-US" w:eastAsia="zh-CN" w:bidi="ar-SA"/>
                    </w:rPr>
                  </w:pPr>
                  <w:r>
                    <w:rPr>
                      <w:color w:val="auto"/>
                      <w:szCs w:val="21"/>
                      <w:u w:val="none"/>
                    </w:rPr>
                    <w:t>非甲烷总烃</w:t>
                  </w:r>
                </w:p>
              </w:tc>
              <w:tc>
                <w:tcPr>
                  <w:tcW w:w="2169" w:type="dxa"/>
                  <w:tcBorders>
                    <w:tl2br w:val="nil"/>
                    <w:tr2bl w:val="nil"/>
                  </w:tcBorders>
                  <w:shd w:val="clear" w:color="auto" w:fill="auto"/>
                  <w:noWrap/>
                  <w:vAlign w:val="center"/>
                </w:tcPr>
                <w:p w14:paraId="2EE5B6FC">
                  <w:pPr>
                    <w:widowControl/>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szCs w:val="21"/>
                      <w:u w:val="none"/>
                    </w:rPr>
                    <w:t>4.0</w:t>
                  </w:r>
                </w:p>
              </w:tc>
              <w:tc>
                <w:tcPr>
                  <w:tcW w:w="2331" w:type="dxa"/>
                  <w:vMerge w:val="continue"/>
                  <w:tcBorders>
                    <w:tl2br w:val="nil"/>
                    <w:tr2bl w:val="nil"/>
                  </w:tcBorders>
                  <w:noWrap/>
                  <w:vAlign w:val="center"/>
                </w:tcPr>
                <w:p w14:paraId="64706A4F">
                  <w:pPr>
                    <w:widowControl/>
                    <w:jc w:val="center"/>
                    <w:rPr>
                      <w:color w:val="auto"/>
                      <w:szCs w:val="21"/>
                    </w:rPr>
                  </w:pPr>
                </w:p>
              </w:tc>
              <w:tc>
                <w:tcPr>
                  <w:tcW w:w="2086" w:type="dxa"/>
                  <w:vMerge w:val="continue"/>
                  <w:tcBorders>
                    <w:tl2br w:val="nil"/>
                    <w:tr2bl w:val="nil"/>
                  </w:tcBorders>
                  <w:noWrap/>
                  <w:vAlign w:val="center"/>
                </w:tcPr>
                <w:p w14:paraId="06810CF6">
                  <w:pPr>
                    <w:widowControl/>
                    <w:jc w:val="center"/>
                    <w:rPr>
                      <w:color w:val="auto"/>
                      <w:szCs w:val="21"/>
                    </w:rPr>
                  </w:pPr>
                </w:p>
              </w:tc>
            </w:tr>
          </w:tbl>
          <w:p w14:paraId="7B8EAEF9">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361" w:firstLineChars="150"/>
              <w:textAlignment w:val="auto"/>
              <w:rPr>
                <w:rFonts w:ascii="Times New Roman" w:hAnsi="Times New Roman" w:eastAsia="宋体" w:cs="Times New Roman"/>
                <w:b/>
                <w:bCs/>
                <w:color w:val="auto"/>
              </w:rPr>
            </w:pPr>
            <w:r>
              <w:rPr>
                <w:rFonts w:hint="eastAsia" w:ascii="Times New Roman" w:hAnsi="Times New Roman" w:eastAsia="宋体" w:cs="Times New Roman"/>
                <w:b/>
                <w:bCs/>
                <w:color w:val="auto"/>
                <w:lang w:val="en-US" w:eastAsia="zh-CN"/>
              </w:rPr>
              <w:t>2、</w:t>
            </w:r>
            <w:r>
              <w:rPr>
                <w:rFonts w:ascii="Times New Roman" w:hAnsi="Times New Roman" w:eastAsia="宋体" w:cs="Times New Roman"/>
                <w:b/>
                <w:bCs/>
                <w:color w:val="auto"/>
              </w:rPr>
              <w:t>废水</w:t>
            </w:r>
          </w:p>
          <w:p w14:paraId="3E220483">
            <w:pPr>
              <w:autoSpaceDE w:val="0"/>
              <w:autoSpaceDN w:val="0"/>
              <w:adjustRightInd w:val="0"/>
              <w:spacing w:line="360" w:lineRule="auto"/>
              <w:ind w:firstLine="480" w:firstLineChars="200"/>
              <w:jc w:val="left"/>
              <w:rPr>
                <w:rFonts w:hint="eastAsia" w:ascii="Times New Roman"/>
                <w:color w:val="auto"/>
                <w:sz w:val="24"/>
                <w:highlight w:val="none"/>
              </w:rPr>
            </w:pPr>
            <w:r>
              <w:rPr>
                <w:rFonts w:hint="eastAsia" w:eastAsia="宋"/>
                <w:color w:val="auto"/>
                <w:sz w:val="24"/>
              </w:rPr>
              <w:t>污水经处理后化学需氧量、氨氮、总氮和总磷等指标必须达到《湖南省城镇污水处理厂主要水污染物排放标准》（DB43/T 1546-2018）二级标准后排入果利河，其余指标按《城镇污水处理厂污染物排放标准》（GB18918-2002）一级标准的A标准执行</w:t>
            </w:r>
            <w:r>
              <w:rPr>
                <w:rFonts w:eastAsia="宋"/>
                <w:color w:val="auto"/>
                <w:sz w:val="24"/>
                <w:highlight w:val="none"/>
              </w:rPr>
              <w:t>，其标准值见下表：</w:t>
            </w:r>
          </w:p>
          <w:p w14:paraId="37CFA30C">
            <w:pPr>
              <w:keepNext w:val="0"/>
              <w:keepLines w:val="0"/>
              <w:pageBreakBefore w:val="0"/>
              <w:widowControl w:val="0"/>
              <w:kinsoku/>
              <w:wordWrap/>
              <w:overflowPunct/>
              <w:topLinePunct w:val="0"/>
              <w:autoSpaceDE/>
              <w:autoSpaceDN/>
              <w:bidi w:val="0"/>
              <w:adjustRightInd/>
              <w:snapToGrid/>
              <w:spacing w:before="48" w:beforeLines="15" w:after="48" w:afterLines="15" w:line="240" w:lineRule="auto"/>
              <w:ind w:firstLine="0" w:firstLineChars="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表</w:t>
            </w:r>
            <w:r>
              <w:rPr>
                <w:rFonts w:hint="eastAsia" w:ascii="Times New Roman" w:hAnsi="Times New Roman" w:eastAsia="宋体" w:cs="Times New Roman"/>
                <w:b/>
                <w:bCs/>
                <w:color w:val="auto"/>
                <w:sz w:val="21"/>
                <w:szCs w:val="21"/>
                <w:highlight w:val="none"/>
                <w:lang w:val="en-US" w:eastAsia="zh-CN"/>
              </w:rPr>
              <w:t>3-</w:t>
            </w:r>
            <w:r>
              <w:rPr>
                <w:rFonts w:hint="eastAsia" w:cs="Times New Roman"/>
                <w:b/>
                <w:bCs/>
                <w:color w:val="auto"/>
                <w:sz w:val="21"/>
                <w:szCs w:val="21"/>
                <w:highlight w:val="none"/>
                <w:lang w:val="en-US" w:eastAsia="zh-CN"/>
              </w:rPr>
              <w:t>11</w:t>
            </w:r>
            <w:r>
              <w:rPr>
                <w:rFonts w:hint="eastAsia" w:ascii="Times New Roman" w:hAnsi="Times New Roman" w:eastAsia="宋体" w:cs="Times New Roman"/>
                <w:b/>
                <w:bCs/>
                <w:color w:val="auto"/>
                <w:sz w:val="21"/>
                <w:szCs w:val="21"/>
                <w:highlight w:val="none"/>
              </w:rPr>
              <w:t xml:space="preserve"> 《城镇污水处理厂污染物排放标准》（GB18918-2002）</w:t>
            </w:r>
            <w:r>
              <w:rPr>
                <w:rFonts w:hint="eastAsia" w:ascii="Times New Roman" w:hAnsi="Times New Roman" w:eastAsia="宋体" w:cs="Times New Roman"/>
                <w:b/>
                <w:bCs/>
                <w:color w:val="auto"/>
                <w:sz w:val="21"/>
                <w:szCs w:val="21"/>
                <w:highlight w:val="none"/>
                <w:lang w:val="en-US" w:eastAsia="zh-CN"/>
              </w:rPr>
              <w:t xml:space="preserve">  </w:t>
            </w:r>
            <w:r>
              <w:rPr>
                <w:rFonts w:hint="eastAsia" w:ascii="Times New Roman" w:hAnsi="Times New Roman" w:eastAsia="宋体" w:cs="Times New Roman"/>
                <w:b/>
                <w:bCs/>
                <w:color w:val="auto"/>
                <w:sz w:val="21"/>
                <w:szCs w:val="21"/>
                <w:highlight w:val="none"/>
              </w:rPr>
              <w:t>单位：mg/L</w:t>
            </w:r>
          </w:p>
          <w:tbl>
            <w:tblPr>
              <w:tblStyle w:val="32"/>
              <w:tblW w:w="79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2024"/>
              <w:gridCol w:w="1420"/>
              <w:gridCol w:w="4494"/>
            </w:tblGrid>
            <w:tr w14:paraId="3891E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39" w:hRule="atLeast"/>
                <w:jc w:val="center"/>
              </w:trPr>
              <w:tc>
                <w:tcPr>
                  <w:tcW w:w="2024" w:type="dxa"/>
                  <w:noWrap w:val="0"/>
                  <w:vAlign w:val="center"/>
                </w:tcPr>
                <w:p w14:paraId="3A7F0690">
                  <w:pPr>
                    <w:pStyle w:val="152"/>
                  </w:pPr>
                  <w:r>
                    <w:t>项目</w:t>
                  </w:r>
                </w:p>
              </w:tc>
              <w:tc>
                <w:tcPr>
                  <w:tcW w:w="1420" w:type="dxa"/>
                  <w:noWrap w:val="0"/>
                  <w:vAlign w:val="center"/>
                </w:tcPr>
                <w:p w14:paraId="4D75867E">
                  <w:pPr>
                    <w:pStyle w:val="152"/>
                  </w:pPr>
                  <w:r>
                    <w:t>标准限值</w:t>
                  </w:r>
                </w:p>
              </w:tc>
              <w:tc>
                <w:tcPr>
                  <w:tcW w:w="4494" w:type="dxa"/>
                  <w:noWrap w:val="0"/>
                  <w:vAlign w:val="center"/>
                </w:tcPr>
                <w:p w14:paraId="16344725">
                  <w:pPr>
                    <w:pStyle w:val="152"/>
                  </w:pPr>
                  <w:r>
                    <w:t>执行标准</w:t>
                  </w:r>
                </w:p>
              </w:tc>
            </w:tr>
            <w:tr w14:paraId="20B22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39" w:hRule="atLeast"/>
                <w:jc w:val="center"/>
              </w:trPr>
              <w:tc>
                <w:tcPr>
                  <w:tcW w:w="2024" w:type="dxa"/>
                  <w:noWrap w:val="0"/>
                  <w:vAlign w:val="center"/>
                </w:tcPr>
                <w:p w14:paraId="52200E1B">
                  <w:pPr>
                    <w:pStyle w:val="152"/>
                  </w:pPr>
                  <w:r>
                    <w:t>pH（无量纲）</w:t>
                  </w:r>
                </w:p>
              </w:tc>
              <w:tc>
                <w:tcPr>
                  <w:tcW w:w="1420" w:type="dxa"/>
                  <w:noWrap w:val="0"/>
                  <w:vAlign w:val="center"/>
                </w:tcPr>
                <w:p w14:paraId="3C0E0EF0">
                  <w:pPr>
                    <w:pStyle w:val="152"/>
                    <w:rPr>
                      <w:color w:val="auto"/>
                    </w:rPr>
                  </w:pPr>
                  <w:r>
                    <w:rPr>
                      <w:color w:val="auto"/>
                    </w:rPr>
                    <w:t>6~9</w:t>
                  </w:r>
                </w:p>
              </w:tc>
              <w:tc>
                <w:tcPr>
                  <w:tcW w:w="4494" w:type="dxa"/>
                  <w:vMerge w:val="restart"/>
                  <w:noWrap w:val="0"/>
                  <w:vAlign w:val="center"/>
                </w:tcPr>
                <w:p w14:paraId="4A01E757">
                  <w:pPr>
                    <w:pStyle w:val="152"/>
                    <w:jc w:val="both"/>
                    <w:rPr>
                      <w:rFonts w:hint="eastAsia" w:eastAsia="宋体"/>
                      <w:color w:val="auto"/>
                      <w:lang w:eastAsia="zh-CN"/>
                    </w:rPr>
                  </w:pPr>
                  <w:r>
                    <w:rPr>
                      <w:color w:val="auto"/>
                    </w:rPr>
                    <w:t>化学需氧量</w:t>
                  </w:r>
                  <w:r>
                    <w:rPr>
                      <w:rFonts w:hint="eastAsia"/>
                      <w:color w:val="auto"/>
                      <w:lang w:eastAsia="zh-CN"/>
                    </w:rPr>
                    <w:t>、</w:t>
                  </w:r>
                  <w:r>
                    <w:rPr>
                      <w:color w:val="auto"/>
                    </w:rPr>
                    <w:t>氨氮</w:t>
                  </w:r>
                  <w:r>
                    <w:rPr>
                      <w:rFonts w:hint="eastAsia"/>
                      <w:color w:val="auto"/>
                      <w:lang w:eastAsia="zh-CN"/>
                    </w:rPr>
                    <w:t>、</w:t>
                  </w:r>
                  <w:r>
                    <w:rPr>
                      <w:rFonts w:hint="eastAsia"/>
                      <w:color w:val="auto"/>
                      <w:lang w:val="en-US" w:eastAsia="zh-CN"/>
                    </w:rPr>
                    <w:t>总氮、</w:t>
                  </w:r>
                  <w:r>
                    <w:rPr>
                      <w:color w:val="auto"/>
                    </w:rPr>
                    <w:t>总磷</w:t>
                  </w:r>
                  <w:r>
                    <w:rPr>
                      <w:rFonts w:hint="eastAsia"/>
                      <w:color w:val="auto"/>
                      <w:lang w:val="en-US" w:eastAsia="zh-CN"/>
                    </w:rPr>
                    <w:t>执行</w:t>
                  </w:r>
                  <w:r>
                    <w:rPr>
                      <w:rFonts w:hint="eastAsia"/>
                      <w:color w:val="auto"/>
                    </w:rPr>
                    <w:t>《湖南省城镇污水处理厂主要水污染物排放标准》（DB43/T 1546-2018）二级标准</w:t>
                  </w:r>
                  <w:r>
                    <w:rPr>
                      <w:rFonts w:hint="eastAsia"/>
                      <w:color w:val="auto"/>
                      <w:lang w:eastAsia="zh-CN"/>
                    </w:rPr>
                    <w:t>、</w:t>
                  </w:r>
                  <w:r>
                    <w:rPr>
                      <w:rFonts w:hint="eastAsia"/>
                      <w:color w:val="auto"/>
                      <w:lang w:val="en-US" w:eastAsia="zh-CN"/>
                    </w:rPr>
                    <w:t>其余项目执行</w:t>
                  </w:r>
                  <w:r>
                    <w:rPr>
                      <w:rFonts w:hint="eastAsia"/>
                      <w:color w:val="auto"/>
                      <w:lang w:eastAsia="zh-CN"/>
                    </w:rPr>
                    <w:t>《城镇污水处理厂污染物排放标准》（GB18918-2002）一级标准的A标准。</w:t>
                  </w:r>
                </w:p>
              </w:tc>
            </w:tr>
            <w:tr w14:paraId="366CE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39" w:hRule="atLeast"/>
                <w:jc w:val="center"/>
              </w:trPr>
              <w:tc>
                <w:tcPr>
                  <w:tcW w:w="2024" w:type="dxa"/>
                  <w:noWrap w:val="0"/>
                  <w:vAlign w:val="center"/>
                </w:tcPr>
                <w:p w14:paraId="738C65F8">
                  <w:pPr>
                    <w:pStyle w:val="152"/>
                  </w:pPr>
                  <w:r>
                    <w:t>化学需氧量</w:t>
                  </w:r>
                </w:p>
              </w:tc>
              <w:tc>
                <w:tcPr>
                  <w:tcW w:w="1420" w:type="dxa"/>
                  <w:noWrap w:val="0"/>
                  <w:vAlign w:val="center"/>
                </w:tcPr>
                <w:p w14:paraId="4310ED40">
                  <w:pPr>
                    <w:pStyle w:val="152"/>
                    <w:rPr>
                      <w:rFonts w:hint="default" w:eastAsia="宋体"/>
                      <w:lang w:val="en-US" w:eastAsia="zh-CN"/>
                    </w:rPr>
                  </w:pPr>
                  <w:r>
                    <w:rPr>
                      <w:rFonts w:hint="eastAsia"/>
                      <w:lang w:val="en-US" w:eastAsia="zh-CN"/>
                    </w:rPr>
                    <w:t>40</w:t>
                  </w:r>
                </w:p>
              </w:tc>
              <w:tc>
                <w:tcPr>
                  <w:tcW w:w="4494" w:type="dxa"/>
                  <w:vMerge w:val="continue"/>
                  <w:noWrap w:val="0"/>
                  <w:vAlign w:val="center"/>
                </w:tcPr>
                <w:p w14:paraId="63A9CD13">
                  <w:pPr>
                    <w:pStyle w:val="152"/>
                  </w:pPr>
                </w:p>
              </w:tc>
            </w:tr>
            <w:tr w14:paraId="117A2A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39" w:hRule="atLeast"/>
                <w:jc w:val="center"/>
              </w:trPr>
              <w:tc>
                <w:tcPr>
                  <w:tcW w:w="2024" w:type="dxa"/>
                  <w:noWrap w:val="0"/>
                  <w:vAlign w:val="center"/>
                </w:tcPr>
                <w:p w14:paraId="1A9594AA">
                  <w:pPr>
                    <w:pStyle w:val="152"/>
                  </w:pPr>
                  <w:r>
                    <w:t>五日生化需氧量</w:t>
                  </w:r>
                </w:p>
              </w:tc>
              <w:tc>
                <w:tcPr>
                  <w:tcW w:w="1420" w:type="dxa"/>
                  <w:noWrap w:val="0"/>
                  <w:vAlign w:val="center"/>
                </w:tcPr>
                <w:p w14:paraId="30074FBC">
                  <w:pPr>
                    <w:pStyle w:val="152"/>
                  </w:pPr>
                  <w:r>
                    <w:rPr>
                      <w:rFonts w:hint="eastAsia"/>
                      <w:lang w:val="en-US" w:eastAsia="zh-CN"/>
                    </w:rPr>
                    <w:t>1</w:t>
                  </w:r>
                  <w:r>
                    <w:t>0</w:t>
                  </w:r>
                </w:p>
              </w:tc>
              <w:tc>
                <w:tcPr>
                  <w:tcW w:w="4494" w:type="dxa"/>
                  <w:vMerge w:val="continue"/>
                  <w:noWrap w:val="0"/>
                  <w:vAlign w:val="center"/>
                </w:tcPr>
                <w:p w14:paraId="6BFEBCB9">
                  <w:pPr>
                    <w:pStyle w:val="152"/>
                  </w:pPr>
                </w:p>
              </w:tc>
            </w:tr>
            <w:tr w14:paraId="176E4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39" w:hRule="atLeast"/>
                <w:jc w:val="center"/>
              </w:trPr>
              <w:tc>
                <w:tcPr>
                  <w:tcW w:w="2024" w:type="dxa"/>
                  <w:noWrap w:val="0"/>
                  <w:vAlign w:val="center"/>
                </w:tcPr>
                <w:p w14:paraId="5DF80F96">
                  <w:pPr>
                    <w:pStyle w:val="152"/>
                  </w:pPr>
                  <w:r>
                    <w:t>悬浮物</w:t>
                  </w:r>
                </w:p>
              </w:tc>
              <w:tc>
                <w:tcPr>
                  <w:tcW w:w="1420" w:type="dxa"/>
                  <w:noWrap w:val="0"/>
                  <w:vAlign w:val="center"/>
                </w:tcPr>
                <w:p w14:paraId="13D2B2C1">
                  <w:pPr>
                    <w:pStyle w:val="152"/>
                  </w:pPr>
                  <w:r>
                    <w:rPr>
                      <w:rFonts w:hint="eastAsia"/>
                      <w:lang w:val="en-US" w:eastAsia="zh-CN"/>
                    </w:rPr>
                    <w:t>1</w:t>
                  </w:r>
                  <w:r>
                    <w:t>0</w:t>
                  </w:r>
                </w:p>
              </w:tc>
              <w:tc>
                <w:tcPr>
                  <w:tcW w:w="4494" w:type="dxa"/>
                  <w:vMerge w:val="continue"/>
                  <w:noWrap w:val="0"/>
                  <w:vAlign w:val="center"/>
                </w:tcPr>
                <w:p w14:paraId="793253A2">
                  <w:pPr>
                    <w:pStyle w:val="152"/>
                  </w:pPr>
                </w:p>
              </w:tc>
            </w:tr>
            <w:tr w14:paraId="3F866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39" w:hRule="atLeast"/>
                <w:jc w:val="center"/>
              </w:trPr>
              <w:tc>
                <w:tcPr>
                  <w:tcW w:w="2024" w:type="dxa"/>
                  <w:noWrap w:val="0"/>
                  <w:vAlign w:val="center"/>
                </w:tcPr>
                <w:p w14:paraId="31B104C1">
                  <w:pPr>
                    <w:pStyle w:val="152"/>
                  </w:pPr>
                  <w:r>
                    <w:t>氨氮</w:t>
                  </w:r>
                </w:p>
              </w:tc>
              <w:tc>
                <w:tcPr>
                  <w:tcW w:w="1420" w:type="dxa"/>
                  <w:noWrap w:val="0"/>
                  <w:vAlign w:val="center"/>
                </w:tcPr>
                <w:p w14:paraId="078D051C">
                  <w:pPr>
                    <w:pStyle w:val="152"/>
                    <w:rPr>
                      <w:rFonts w:hint="eastAsia" w:eastAsia="宋体"/>
                      <w:lang w:eastAsia="zh-CN"/>
                    </w:rPr>
                  </w:pPr>
                  <w:r>
                    <w:rPr>
                      <w:rFonts w:hint="eastAsia"/>
                      <w:lang w:val="en-US" w:eastAsia="zh-CN"/>
                    </w:rPr>
                    <w:t>3（5）</w:t>
                  </w:r>
                </w:p>
              </w:tc>
              <w:tc>
                <w:tcPr>
                  <w:tcW w:w="4494" w:type="dxa"/>
                  <w:vMerge w:val="continue"/>
                  <w:noWrap w:val="0"/>
                  <w:vAlign w:val="center"/>
                </w:tcPr>
                <w:p w14:paraId="205C8E68">
                  <w:pPr>
                    <w:pStyle w:val="152"/>
                  </w:pPr>
                </w:p>
              </w:tc>
            </w:tr>
            <w:tr w14:paraId="1614E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39" w:hRule="atLeast"/>
                <w:jc w:val="center"/>
              </w:trPr>
              <w:tc>
                <w:tcPr>
                  <w:tcW w:w="2024" w:type="dxa"/>
                  <w:noWrap w:val="0"/>
                  <w:vAlign w:val="center"/>
                </w:tcPr>
                <w:p w14:paraId="3B47DA5A">
                  <w:pPr>
                    <w:pStyle w:val="152"/>
                    <w:rPr>
                      <w:rFonts w:hint="eastAsia" w:eastAsia="宋体"/>
                      <w:lang w:val="en-US" w:eastAsia="zh-CN"/>
                    </w:rPr>
                  </w:pPr>
                  <w:r>
                    <w:rPr>
                      <w:rFonts w:hint="eastAsia"/>
                      <w:lang w:val="en-US" w:eastAsia="zh-CN"/>
                    </w:rPr>
                    <w:t>总氮</w:t>
                  </w:r>
                </w:p>
              </w:tc>
              <w:tc>
                <w:tcPr>
                  <w:tcW w:w="1420" w:type="dxa"/>
                  <w:noWrap w:val="0"/>
                  <w:vAlign w:val="center"/>
                </w:tcPr>
                <w:p w14:paraId="452CAD02">
                  <w:pPr>
                    <w:pStyle w:val="152"/>
                    <w:rPr>
                      <w:rFonts w:hint="default"/>
                      <w:lang w:val="en-US" w:eastAsia="zh-CN"/>
                    </w:rPr>
                  </w:pPr>
                  <w:r>
                    <w:rPr>
                      <w:rFonts w:hint="eastAsia"/>
                      <w:lang w:val="en-US" w:eastAsia="zh-CN"/>
                    </w:rPr>
                    <w:t>15</w:t>
                  </w:r>
                </w:p>
              </w:tc>
              <w:tc>
                <w:tcPr>
                  <w:tcW w:w="4494" w:type="dxa"/>
                  <w:vMerge w:val="continue"/>
                  <w:noWrap w:val="0"/>
                  <w:vAlign w:val="center"/>
                </w:tcPr>
                <w:p w14:paraId="42D02736">
                  <w:pPr>
                    <w:pStyle w:val="152"/>
                  </w:pPr>
                </w:p>
              </w:tc>
            </w:tr>
            <w:tr w14:paraId="58122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cantSplit/>
                <w:trHeight w:val="349" w:hRule="atLeast"/>
                <w:jc w:val="center"/>
              </w:trPr>
              <w:tc>
                <w:tcPr>
                  <w:tcW w:w="2024" w:type="dxa"/>
                  <w:noWrap w:val="0"/>
                  <w:vAlign w:val="center"/>
                </w:tcPr>
                <w:p w14:paraId="541DBC54">
                  <w:pPr>
                    <w:pStyle w:val="152"/>
                  </w:pPr>
                  <w:r>
                    <w:t>总磷</w:t>
                  </w:r>
                </w:p>
              </w:tc>
              <w:tc>
                <w:tcPr>
                  <w:tcW w:w="1420" w:type="dxa"/>
                  <w:noWrap w:val="0"/>
                  <w:vAlign w:val="center"/>
                </w:tcPr>
                <w:p w14:paraId="19FADC88">
                  <w:pPr>
                    <w:pStyle w:val="152"/>
                    <w:rPr>
                      <w:rFonts w:hint="default" w:eastAsia="宋体"/>
                      <w:lang w:val="en-US" w:eastAsia="zh-CN"/>
                    </w:rPr>
                  </w:pPr>
                  <w:r>
                    <w:rPr>
                      <w:rFonts w:hint="eastAsia"/>
                      <w:lang w:val="en-US" w:eastAsia="zh-CN"/>
                    </w:rPr>
                    <w:t>0.5</w:t>
                  </w:r>
                </w:p>
              </w:tc>
              <w:tc>
                <w:tcPr>
                  <w:tcW w:w="4494" w:type="dxa"/>
                  <w:vMerge w:val="continue"/>
                  <w:noWrap w:val="0"/>
                  <w:vAlign w:val="center"/>
                </w:tcPr>
                <w:p w14:paraId="75B52057">
                  <w:pPr>
                    <w:pStyle w:val="152"/>
                  </w:pPr>
                </w:p>
              </w:tc>
            </w:tr>
          </w:tbl>
          <w:p w14:paraId="33CB256B">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361" w:firstLineChars="150"/>
              <w:textAlignment w:val="auto"/>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3、噪声</w:t>
            </w:r>
          </w:p>
          <w:p w14:paraId="26712CEB">
            <w:pPr>
              <w:keepNext w:val="0"/>
              <w:keepLines w:val="0"/>
              <w:pageBreakBefore w:val="0"/>
              <w:widowControl w:val="0"/>
              <w:kinsoku/>
              <w:wordWrap w:val="0"/>
              <w:overflowPunct/>
              <w:topLinePunct w:val="0"/>
              <w:autoSpaceDE w:val="0"/>
              <w:autoSpaceDN w:val="0"/>
              <w:bidi w:val="0"/>
              <w:adjustRightInd w:val="0"/>
              <w:snapToGrid/>
              <w:spacing w:line="360" w:lineRule="auto"/>
              <w:ind w:firstLine="480" w:firstLineChars="200"/>
              <w:jc w:val="left"/>
              <w:textAlignment w:val="auto"/>
              <w:rPr>
                <w:rFonts w:ascii="Times New Roman" w:hAnsi="Times New Roman" w:eastAsia="宋" w:cs="Times New Roman"/>
                <w:color w:val="auto"/>
                <w:sz w:val="24"/>
              </w:rPr>
            </w:pPr>
            <w:r>
              <w:rPr>
                <w:rFonts w:hint="eastAsia" w:ascii="Times New Roman" w:hAnsi="Times New Roman" w:eastAsia="宋" w:cs="Times New Roman"/>
                <w:color w:val="auto"/>
                <w:sz w:val="24"/>
              </w:rPr>
              <w:t>项目施工期噪声排放执行《建筑施工场界环境噪声排放标准》（GB12523-2011）中表1规定的排放限值。</w:t>
            </w:r>
          </w:p>
          <w:p w14:paraId="1495CAB2">
            <w:pPr>
              <w:keepNext w:val="0"/>
              <w:keepLines w:val="0"/>
              <w:pageBreakBefore w:val="0"/>
              <w:widowControl w:val="0"/>
              <w:kinsoku/>
              <w:wordWrap w:val="0"/>
              <w:overflowPunct/>
              <w:topLinePunct w:val="0"/>
              <w:autoSpaceDE w:val="0"/>
              <w:autoSpaceDN w:val="0"/>
              <w:bidi w:val="0"/>
              <w:adjustRightInd w:val="0"/>
              <w:snapToGrid/>
              <w:spacing w:line="360" w:lineRule="auto"/>
              <w:ind w:firstLine="480" w:firstLineChars="200"/>
              <w:jc w:val="left"/>
              <w:textAlignment w:val="auto"/>
              <w:rPr>
                <w:rFonts w:hint="eastAsia" w:ascii="Times New Roman" w:hAnsi="Times New Roman" w:eastAsia="宋" w:cs="Times New Roman"/>
                <w:color w:val="auto"/>
                <w:sz w:val="24"/>
                <w:lang w:eastAsia="zh-CN"/>
              </w:rPr>
            </w:pPr>
            <w:r>
              <w:rPr>
                <w:rFonts w:ascii="Times New Roman" w:hAnsi="Times New Roman" w:eastAsia="宋" w:cs="Times New Roman"/>
                <w:color w:val="auto"/>
                <w:sz w:val="24"/>
              </w:rPr>
              <w:t>项目营运期厂界噪声执行《工业企业厂界环境噪声排放标准》（GB12348-2008）</w:t>
            </w:r>
            <w:r>
              <w:rPr>
                <w:rFonts w:hint="eastAsia" w:ascii="Times New Roman" w:hAnsi="Times New Roman" w:eastAsia="宋" w:cs="Times New Roman"/>
                <w:color w:val="auto"/>
                <w:sz w:val="24"/>
                <w:lang w:val="en-US" w:eastAsia="zh-CN"/>
              </w:rPr>
              <w:t>2</w:t>
            </w:r>
            <w:r>
              <w:rPr>
                <w:rFonts w:ascii="Times New Roman" w:hAnsi="Times New Roman" w:eastAsia="宋" w:cs="Times New Roman"/>
                <w:color w:val="auto"/>
                <w:sz w:val="24"/>
              </w:rPr>
              <w:t>类标准，具体情况见</w:t>
            </w:r>
            <w:r>
              <w:rPr>
                <w:rFonts w:hint="eastAsia" w:ascii="Times New Roman" w:hAnsi="Times New Roman" w:eastAsia="宋" w:cs="Times New Roman"/>
                <w:color w:val="auto"/>
                <w:sz w:val="24"/>
                <w:lang w:val="en-US" w:eastAsia="zh-CN"/>
              </w:rPr>
              <w:t>下</w:t>
            </w:r>
            <w:r>
              <w:rPr>
                <w:rFonts w:ascii="Times New Roman" w:hAnsi="Times New Roman" w:eastAsia="宋" w:cs="Times New Roman"/>
                <w:color w:val="auto"/>
                <w:sz w:val="24"/>
              </w:rPr>
              <w:t>表</w:t>
            </w:r>
            <w:r>
              <w:rPr>
                <w:rFonts w:hint="eastAsia" w:ascii="Times New Roman" w:hAnsi="Times New Roman" w:eastAsia="宋" w:cs="Times New Roman"/>
                <w:color w:val="auto"/>
                <w:sz w:val="24"/>
                <w:lang w:eastAsia="zh-CN"/>
              </w:rPr>
              <w:t>：</w:t>
            </w:r>
          </w:p>
          <w:p w14:paraId="5148C75B">
            <w:pPr>
              <w:keepNext w:val="0"/>
              <w:keepLines w:val="0"/>
              <w:pageBreakBefore w:val="0"/>
              <w:widowControl w:val="0"/>
              <w:kinsoku/>
              <w:wordWrap/>
              <w:overflowPunct/>
              <w:topLinePunct w:val="0"/>
              <w:autoSpaceDE/>
              <w:autoSpaceDN/>
              <w:bidi w:val="0"/>
              <w:adjustRightInd/>
              <w:snapToGrid/>
              <w:spacing w:before="48" w:beforeLines="15" w:after="48" w:afterLines="15" w:line="240" w:lineRule="auto"/>
              <w:ind w:firstLine="0" w:firstLineChars="0"/>
              <w:jc w:val="center"/>
              <w:textAlignment w:val="auto"/>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表3-</w:t>
            </w:r>
            <w:r>
              <w:rPr>
                <w:rFonts w:hint="eastAsia" w:cs="Times New Roman"/>
                <w:b/>
                <w:bCs/>
                <w:color w:val="auto"/>
                <w:sz w:val="21"/>
                <w:szCs w:val="21"/>
                <w:highlight w:val="none"/>
                <w:lang w:val="en-US" w:eastAsia="zh-CN"/>
              </w:rPr>
              <w:t>12</w:t>
            </w:r>
            <w:r>
              <w:rPr>
                <w:rFonts w:hint="eastAsia" w:ascii="Times New Roman" w:hAnsi="Times New Roman" w:eastAsia="宋体" w:cs="Times New Roman"/>
                <w:b/>
                <w:bCs/>
                <w:color w:val="auto"/>
                <w:sz w:val="21"/>
                <w:szCs w:val="21"/>
                <w:highlight w:val="none"/>
              </w:rPr>
              <w:t xml:space="preserve"> 工业企业厂界环境噪声排放标准  单位：Leq  dB(A)</w:t>
            </w:r>
          </w:p>
          <w:tbl>
            <w:tblPr>
              <w:tblStyle w:val="32"/>
              <w:tblW w:w="810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764"/>
              <w:gridCol w:w="1300"/>
              <w:gridCol w:w="1160"/>
              <w:gridCol w:w="2883"/>
            </w:tblGrid>
            <w:tr w14:paraId="47ED4CD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64" w:type="dxa"/>
                  <w:tcBorders>
                    <w:tl2br w:val="nil"/>
                    <w:tr2bl w:val="nil"/>
                  </w:tcBorders>
                  <w:vAlign w:val="center"/>
                </w:tcPr>
                <w:p w14:paraId="4645FFB1">
                  <w:pPr>
                    <w:adjustRightInd w:val="0"/>
                    <w:snapToGrid w:val="0"/>
                    <w:spacing w:line="240" w:lineRule="auto"/>
                    <w:jc w:val="center"/>
                    <w:rPr>
                      <w:color w:val="auto"/>
                      <w:sz w:val="21"/>
                      <w:szCs w:val="21"/>
                    </w:rPr>
                  </w:pPr>
                  <w:r>
                    <w:rPr>
                      <w:color w:val="auto"/>
                      <w:sz w:val="21"/>
                      <w:szCs w:val="21"/>
                    </w:rPr>
                    <w:t>厂界外声环境功能区类别</w:t>
                  </w:r>
                </w:p>
              </w:tc>
              <w:tc>
                <w:tcPr>
                  <w:tcW w:w="1300" w:type="dxa"/>
                  <w:tcBorders>
                    <w:tl2br w:val="nil"/>
                    <w:tr2bl w:val="nil"/>
                  </w:tcBorders>
                  <w:vAlign w:val="center"/>
                </w:tcPr>
                <w:p w14:paraId="03F18DF3">
                  <w:pPr>
                    <w:adjustRightInd w:val="0"/>
                    <w:snapToGrid w:val="0"/>
                    <w:spacing w:line="240" w:lineRule="auto"/>
                    <w:jc w:val="center"/>
                    <w:rPr>
                      <w:color w:val="auto"/>
                      <w:sz w:val="21"/>
                      <w:szCs w:val="21"/>
                    </w:rPr>
                  </w:pPr>
                  <w:r>
                    <w:rPr>
                      <w:color w:val="auto"/>
                      <w:sz w:val="21"/>
                      <w:szCs w:val="21"/>
                    </w:rPr>
                    <w:t>昼间</w:t>
                  </w:r>
                </w:p>
              </w:tc>
              <w:tc>
                <w:tcPr>
                  <w:tcW w:w="1160" w:type="dxa"/>
                  <w:tcBorders>
                    <w:tl2br w:val="nil"/>
                    <w:tr2bl w:val="nil"/>
                  </w:tcBorders>
                  <w:vAlign w:val="center"/>
                </w:tcPr>
                <w:p w14:paraId="3A7108CA">
                  <w:pPr>
                    <w:adjustRightInd w:val="0"/>
                    <w:snapToGrid w:val="0"/>
                    <w:spacing w:line="240" w:lineRule="auto"/>
                    <w:jc w:val="center"/>
                    <w:rPr>
                      <w:color w:val="auto"/>
                      <w:sz w:val="21"/>
                      <w:szCs w:val="21"/>
                    </w:rPr>
                  </w:pPr>
                  <w:r>
                    <w:rPr>
                      <w:color w:val="auto"/>
                      <w:sz w:val="21"/>
                      <w:szCs w:val="21"/>
                    </w:rPr>
                    <w:t>夜间</w:t>
                  </w:r>
                </w:p>
              </w:tc>
              <w:tc>
                <w:tcPr>
                  <w:tcW w:w="2883" w:type="dxa"/>
                  <w:tcBorders>
                    <w:tl2br w:val="nil"/>
                    <w:tr2bl w:val="nil"/>
                  </w:tcBorders>
                  <w:vAlign w:val="center"/>
                </w:tcPr>
                <w:p w14:paraId="5C345070">
                  <w:pPr>
                    <w:adjustRightInd w:val="0"/>
                    <w:snapToGrid w:val="0"/>
                    <w:spacing w:line="240" w:lineRule="auto"/>
                    <w:jc w:val="center"/>
                    <w:rPr>
                      <w:color w:val="auto"/>
                      <w:sz w:val="21"/>
                      <w:szCs w:val="21"/>
                    </w:rPr>
                  </w:pPr>
                  <w:r>
                    <w:rPr>
                      <w:color w:val="auto"/>
                      <w:sz w:val="21"/>
                      <w:szCs w:val="21"/>
                    </w:rPr>
                    <w:t>备注</w:t>
                  </w:r>
                </w:p>
              </w:tc>
            </w:tr>
            <w:tr w14:paraId="1A74A2C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2764" w:type="dxa"/>
                  <w:tcBorders>
                    <w:tl2br w:val="nil"/>
                    <w:tr2bl w:val="nil"/>
                  </w:tcBorders>
                  <w:vAlign w:val="center"/>
                </w:tcPr>
                <w:p w14:paraId="29351F01">
                  <w:pPr>
                    <w:adjustRightInd w:val="0"/>
                    <w:snapToGrid w:val="0"/>
                    <w:spacing w:line="240" w:lineRule="auto"/>
                    <w:jc w:val="center"/>
                    <w:rPr>
                      <w:color w:val="auto"/>
                      <w:sz w:val="21"/>
                      <w:szCs w:val="21"/>
                    </w:rPr>
                  </w:pPr>
                  <w:r>
                    <w:rPr>
                      <w:rFonts w:hint="eastAsia"/>
                      <w:color w:val="auto"/>
                      <w:sz w:val="21"/>
                      <w:szCs w:val="21"/>
                      <w:lang w:val="en-US" w:eastAsia="zh-CN"/>
                    </w:rPr>
                    <w:t>2</w:t>
                  </w:r>
                  <w:r>
                    <w:rPr>
                      <w:color w:val="auto"/>
                      <w:sz w:val="21"/>
                      <w:szCs w:val="21"/>
                    </w:rPr>
                    <w:t>类</w:t>
                  </w:r>
                </w:p>
              </w:tc>
              <w:tc>
                <w:tcPr>
                  <w:tcW w:w="1300" w:type="dxa"/>
                  <w:tcBorders>
                    <w:tl2br w:val="nil"/>
                    <w:tr2bl w:val="nil"/>
                  </w:tcBorders>
                  <w:vAlign w:val="center"/>
                </w:tcPr>
                <w:p w14:paraId="62FF32A3">
                  <w:pPr>
                    <w:adjustRightInd w:val="0"/>
                    <w:snapToGrid w:val="0"/>
                    <w:spacing w:line="240" w:lineRule="auto"/>
                    <w:jc w:val="center"/>
                    <w:rPr>
                      <w:rFonts w:hint="default" w:eastAsia="宋体"/>
                      <w:color w:val="auto"/>
                      <w:sz w:val="21"/>
                      <w:szCs w:val="21"/>
                      <w:lang w:val="en-US" w:eastAsia="zh-CN"/>
                    </w:rPr>
                  </w:pPr>
                  <w:r>
                    <w:rPr>
                      <w:rFonts w:hint="eastAsia"/>
                      <w:color w:val="auto"/>
                      <w:sz w:val="21"/>
                      <w:szCs w:val="21"/>
                      <w:lang w:val="en-US" w:eastAsia="zh-CN"/>
                    </w:rPr>
                    <w:t>60</w:t>
                  </w:r>
                </w:p>
              </w:tc>
              <w:tc>
                <w:tcPr>
                  <w:tcW w:w="1160" w:type="dxa"/>
                  <w:tcBorders>
                    <w:tl2br w:val="nil"/>
                    <w:tr2bl w:val="nil"/>
                  </w:tcBorders>
                  <w:vAlign w:val="center"/>
                </w:tcPr>
                <w:p w14:paraId="7B8D38C4">
                  <w:pPr>
                    <w:adjustRightInd w:val="0"/>
                    <w:snapToGrid w:val="0"/>
                    <w:spacing w:line="240" w:lineRule="auto"/>
                    <w:jc w:val="center"/>
                    <w:rPr>
                      <w:rFonts w:hint="eastAsia" w:eastAsia="宋体"/>
                      <w:color w:val="auto"/>
                      <w:sz w:val="21"/>
                      <w:szCs w:val="21"/>
                      <w:lang w:eastAsia="zh-CN"/>
                    </w:rPr>
                  </w:pPr>
                  <w:r>
                    <w:rPr>
                      <w:color w:val="auto"/>
                      <w:sz w:val="21"/>
                      <w:szCs w:val="21"/>
                    </w:rPr>
                    <w:t>5</w:t>
                  </w:r>
                  <w:r>
                    <w:rPr>
                      <w:rFonts w:hint="eastAsia"/>
                      <w:color w:val="auto"/>
                      <w:sz w:val="21"/>
                      <w:szCs w:val="21"/>
                      <w:lang w:val="en-US" w:eastAsia="zh-CN"/>
                    </w:rPr>
                    <w:t>0</w:t>
                  </w:r>
                </w:p>
              </w:tc>
              <w:tc>
                <w:tcPr>
                  <w:tcW w:w="2883" w:type="dxa"/>
                  <w:tcBorders>
                    <w:tl2br w:val="nil"/>
                    <w:tr2bl w:val="nil"/>
                  </w:tcBorders>
                  <w:vAlign w:val="center"/>
                </w:tcPr>
                <w:p w14:paraId="769645AE">
                  <w:pPr>
                    <w:adjustRightInd w:val="0"/>
                    <w:snapToGrid w:val="0"/>
                    <w:spacing w:line="240" w:lineRule="auto"/>
                    <w:jc w:val="center"/>
                    <w:rPr>
                      <w:rFonts w:hint="eastAsia" w:eastAsia="宋体"/>
                      <w:color w:val="auto"/>
                      <w:sz w:val="21"/>
                      <w:szCs w:val="21"/>
                      <w:lang w:val="en-US" w:eastAsia="zh-CN"/>
                    </w:rPr>
                  </w:pPr>
                  <w:r>
                    <w:rPr>
                      <w:color w:val="auto"/>
                      <w:sz w:val="21"/>
                      <w:szCs w:val="21"/>
                    </w:rPr>
                    <w:t>项目东、南、西、北</w:t>
                  </w:r>
                  <w:r>
                    <w:rPr>
                      <w:rFonts w:hint="eastAsia"/>
                      <w:color w:val="auto"/>
                      <w:sz w:val="21"/>
                      <w:szCs w:val="21"/>
                      <w:lang w:val="en-US" w:eastAsia="zh-CN"/>
                    </w:rPr>
                    <w:t>厂界</w:t>
                  </w:r>
                </w:p>
              </w:tc>
            </w:tr>
          </w:tbl>
          <w:p w14:paraId="7E8A4886">
            <w:pPr>
              <w:keepNext/>
              <w:keepLines/>
              <w:widowControl/>
              <w:tabs>
                <w:tab w:val="left" w:pos="2976"/>
              </w:tabs>
              <w:adjustRightInd w:val="0"/>
              <w:snapToGrid w:val="0"/>
              <w:jc w:val="center"/>
              <w:textAlignment w:val="baseline"/>
              <w:outlineLvl w:val="4"/>
              <w:rPr>
                <w:b/>
                <w:color w:val="000000"/>
                <w:kern w:val="0"/>
                <w:szCs w:val="20"/>
              </w:rPr>
            </w:pPr>
            <w:r>
              <w:rPr>
                <w:b/>
                <w:color w:val="000000"/>
                <w:kern w:val="0"/>
                <w:szCs w:val="20"/>
              </w:rPr>
              <w:t>表3-</w:t>
            </w:r>
            <w:r>
              <w:rPr>
                <w:rFonts w:hint="eastAsia"/>
                <w:b/>
                <w:color w:val="000000"/>
                <w:kern w:val="0"/>
                <w:szCs w:val="20"/>
                <w:lang w:val="en-US" w:eastAsia="zh-CN"/>
              </w:rPr>
              <w:t>13</w:t>
            </w:r>
            <w:r>
              <w:rPr>
                <w:b/>
                <w:color w:val="000000"/>
                <w:kern w:val="0"/>
                <w:szCs w:val="20"/>
              </w:rPr>
              <w:t>《建筑施工场界环境噪声排放标准》(GB12523-2011)   单位dB(A)</w:t>
            </w:r>
          </w:p>
          <w:tbl>
            <w:tblPr>
              <w:tblStyle w:val="32"/>
              <w:tblW w:w="82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796"/>
              <w:gridCol w:w="5424"/>
            </w:tblGrid>
            <w:tr w14:paraId="15759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701" w:type="pct"/>
                  <w:shd w:val="clear" w:color="auto" w:fill="auto"/>
                  <w:noWrap w:val="0"/>
                  <w:vAlign w:val="center"/>
                </w:tcPr>
                <w:p w14:paraId="0130FA86">
                  <w:pPr>
                    <w:pStyle w:val="70"/>
                    <w:spacing w:before="24" w:after="24"/>
                    <w:rPr>
                      <w:rFonts w:ascii="Times New Roman"/>
                      <w:color w:val="000000"/>
                    </w:rPr>
                  </w:pPr>
                  <w:r>
                    <w:rPr>
                      <w:rFonts w:ascii="Times New Roman"/>
                      <w:color w:val="000000"/>
                    </w:rPr>
                    <w:t>昼间</w:t>
                  </w:r>
                </w:p>
              </w:tc>
              <w:tc>
                <w:tcPr>
                  <w:tcW w:w="3299" w:type="pct"/>
                  <w:shd w:val="clear" w:color="auto" w:fill="auto"/>
                  <w:noWrap w:val="0"/>
                  <w:vAlign w:val="center"/>
                </w:tcPr>
                <w:p w14:paraId="52ECE3E3">
                  <w:pPr>
                    <w:pStyle w:val="70"/>
                    <w:spacing w:before="24" w:after="24"/>
                    <w:rPr>
                      <w:rFonts w:ascii="Times New Roman"/>
                      <w:color w:val="000000"/>
                    </w:rPr>
                  </w:pPr>
                  <w:r>
                    <w:rPr>
                      <w:rFonts w:ascii="Times New Roman"/>
                      <w:color w:val="000000"/>
                    </w:rPr>
                    <w:t>夜间</w:t>
                  </w:r>
                </w:p>
              </w:tc>
            </w:tr>
            <w:tr w14:paraId="4F8A4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1701" w:type="pct"/>
                  <w:shd w:val="clear" w:color="auto" w:fill="auto"/>
                  <w:noWrap w:val="0"/>
                  <w:vAlign w:val="center"/>
                </w:tcPr>
                <w:p w14:paraId="26782C12">
                  <w:pPr>
                    <w:pStyle w:val="70"/>
                    <w:spacing w:before="24" w:after="24"/>
                    <w:rPr>
                      <w:rFonts w:ascii="Times New Roman"/>
                      <w:color w:val="000000"/>
                    </w:rPr>
                  </w:pPr>
                  <w:r>
                    <w:rPr>
                      <w:rFonts w:ascii="Times New Roman"/>
                      <w:color w:val="000000"/>
                    </w:rPr>
                    <w:t>70</w:t>
                  </w:r>
                </w:p>
              </w:tc>
              <w:tc>
                <w:tcPr>
                  <w:tcW w:w="3299" w:type="pct"/>
                  <w:shd w:val="clear" w:color="auto" w:fill="auto"/>
                  <w:noWrap w:val="0"/>
                  <w:vAlign w:val="center"/>
                </w:tcPr>
                <w:p w14:paraId="497D8E05">
                  <w:pPr>
                    <w:pStyle w:val="70"/>
                    <w:spacing w:before="24" w:after="24"/>
                    <w:rPr>
                      <w:rFonts w:ascii="Times New Roman"/>
                      <w:color w:val="000000"/>
                    </w:rPr>
                  </w:pPr>
                  <w:r>
                    <w:rPr>
                      <w:rFonts w:ascii="Times New Roman"/>
                      <w:color w:val="000000"/>
                    </w:rPr>
                    <w:t>55</w:t>
                  </w:r>
                </w:p>
              </w:tc>
            </w:tr>
          </w:tbl>
          <w:p w14:paraId="0FD18377">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361" w:firstLineChars="150"/>
              <w:textAlignment w:val="auto"/>
              <w:rPr>
                <w:rFonts w:hint="eastAsia" w:ascii="Times New Roman" w:hAnsi="Times New Roman" w:eastAsia="宋体" w:cs="Times New Roman"/>
                <w:b/>
                <w:bCs/>
                <w:color w:val="auto"/>
                <w:u w:val="none"/>
                <w:lang w:val="en-US" w:eastAsia="zh-CN"/>
              </w:rPr>
            </w:pPr>
            <w:r>
              <w:rPr>
                <w:rFonts w:hint="eastAsia" w:ascii="Times New Roman" w:hAnsi="Times New Roman" w:eastAsia="宋体" w:cs="Times New Roman"/>
                <w:b/>
                <w:bCs/>
                <w:color w:val="auto"/>
                <w:u w:val="none"/>
                <w:lang w:val="en-US" w:eastAsia="zh-CN"/>
              </w:rPr>
              <w:t>4、固体废物</w:t>
            </w:r>
          </w:p>
          <w:p w14:paraId="7574D202">
            <w:pPr>
              <w:spacing w:line="360" w:lineRule="auto"/>
              <w:ind w:firstLine="600" w:firstLineChars="250"/>
              <w:jc w:val="left"/>
              <w:rPr>
                <w:rFonts w:hint="eastAsia"/>
                <w:color w:val="auto"/>
                <w:sz w:val="24"/>
              </w:rPr>
            </w:pPr>
            <w:r>
              <w:rPr>
                <w:rFonts w:hint="eastAsia"/>
                <w:color w:val="auto"/>
                <w:sz w:val="24"/>
                <w:u w:val="single"/>
              </w:rPr>
              <w:t>污泥执行《城镇污水处理厂污染物排放标准》（GB18918-2002）</w:t>
            </w:r>
            <w:r>
              <w:rPr>
                <w:rFonts w:hint="eastAsia"/>
                <w:color w:val="auto"/>
                <w:sz w:val="24"/>
                <w:u w:val="single"/>
                <w:lang w:eastAsia="zh-CN"/>
              </w:rPr>
              <w:t>、《生活垃圾焚烧污染控制标准》（GB18485-2014）；</w:t>
            </w:r>
            <w:r>
              <w:rPr>
                <w:rFonts w:hint="eastAsia"/>
                <w:color w:val="auto"/>
                <w:sz w:val="24"/>
                <w:u w:val="single"/>
              </w:rPr>
              <w:t>一般固废执行《一般工业固体废物贮存和填埋污染控制标准》（GB18599-2020）</w:t>
            </w:r>
            <w:r>
              <w:rPr>
                <w:rFonts w:hint="eastAsia"/>
                <w:color w:val="auto"/>
                <w:sz w:val="24"/>
                <w:u w:val="single"/>
                <w:lang w:eastAsia="zh-CN"/>
              </w:rPr>
              <w:t>；</w:t>
            </w:r>
            <w:r>
              <w:rPr>
                <w:rFonts w:hint="eastAsia"/>
                <w:color w:val="auto"/>
                <w:sz w:val="24"/>
                <w:u w:val="single"/>
              </w:rPr>
              <w:t>危险固废执行《危险废物贮存污染控制标准》（GB18597-20</w:t>
            </w:r>
            <w:r>
              <w:rPr>
                <w:rFonts w:hint="eastAsia"/>
                <w:color w:val="auto"/>
                <w:sz w:val="24"/>
                <w:u w:val="single"/>
                <w:lang w:val="en-US" w:eastAsia="zh-CN"/>
              </w:rPr>
              <w:t>23</w:t>
            </w:r>
            <w:r>
              <w:rPr>
                <w:rFonts w:hint="eastAsia"/>
                <w:color w:val="auto"/>
                <w:sz w:val="24"/>
                <w:u w:val="single"/>
              </w:rPr>
              <w:t>）</w:t>
            </w:r>
            <w:r>
              <w:rPr>
                <w:color w:val="auto"/>
                <w:sz w:val="24"/>
                <w:u w:val="single"/>
              </w:rPr>
              <w:t>；生活垃圾执行《</w:t>
            </w:r>
            <w:r>
              <w:rPr>
                <w:rFonts w:hint="eastAsia"/>
                <w:color w:val="auto"/>
                <w:sz w:val="24"/>
                <w:u w:val="single"/>
              </w:rPr>
              <w:t>生活垃圾焚烧污染控制标准》</w:t>
            </w:r>
            <w:r>
              <w:rPr>
                <w:color w:val="auto"/>
                <w:sz w:val="24"/>
                <w:u w:val="single"/>
              </w:rPr>
              <w:t>（GB</w:t>
            </w:r>
            <w:r>
              <w:rPr>
                <w:rFonts w:hint="eastAsia"/>
                <w:color w:val="auto"/>
                <w:sz w:val="24"/>
                <w:u w:val="single"/>
                <w:lang w:val="en-US" w:eastAsia="zh-CN"/>
              </w:rPr>
              <w:t>18485</w:t>
            </w:r>
            <w:r>
              <w:rPr>
                <w:color w:val="auto"/>
                <w:sz w:val="24"/>
                <w:u w:val="single"/>
              </w:rPr>
              <w:t>-</w:t>
            </w:r>
            <w:r>
              <w:rPr>
                <w:rFonts w:hint="eastAsia"/>
                <w:color w:val="auto"/>
                <w:sz w:val="24"/>
                <w:u w:val="single"/>
                <w:lang w:val="en-US" w:eastAsia="zh-CN"/>
              </w:rPr>
              <w:t>2014</w:t>
            </w:r>
            <w:r>
              <w:rPr>
                <w:color w:val="auto"/>
                <w:sz w:val="24"/>
                <w:u w:val="single"/>
              </w:rPr>
              <w:t>）</w:t>
            </w:r>
            <w:r>
              <w:rPr>
                <w:color w:val="auto"/>
                <w:sz w:val="24"/>
                <w:u w:val="none"/>
              </w:rPr>
              <w:t>。</w:t>
            </w:r>
          </w:p>
        </w:tc>
      </w:tr>
      <w:tr w14:paraId="60F069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7" w:type="dxa"/>
            <w:vAlign w:val="center"/>
          </w:tcPr>
          <w:p w14:paraId="4410BFC8">
            <w:pPr>
              <w:adjustRightInd w:val="0"/>
              <w:snapToGrid w:val="0"/>
              <w:jc w:val="center"/>
              <w:rPr>
                <w:color w:val="auto"/>
                <w:kern w:val="0"/>
                <w:szCs w:val="21"/>
              </w:rPr>
            </w:pPr>
            <w:r>
              <w:rPr>
                <w:color w:val="auto"/>
                <w:kern w:val="0"/>
                <w:szCs w:val="21"/>
              </w:rPr>
              <w:t>总量</w:t>
            </w:r>
          </w:p>
          <w:p w14:paraId="07927645">
            <w:pPr>
              <w:adjustRightInd w:val="0"/>
              <w:snapToGrid w:val="0"/>
              <w:jc w:val="center"/>
              <w:rPr>
                <w:color w:val="auto"/>
                <w:kern w:val="0"/>
                <w:szCs w:val="21"/>
              </w:rPr>
            </w:pPr>
            <w:r>
              <w:rPr>
                <w:color w:val="auto"/>
                <w:kern w:val="0"/>
                <w:szCs w:val="21"/>
              </w:rPr>
              <w:t>控制</w:t>
            </w:r>
          </w:p>
          <w:p w14:paraId="419B8E6C">
            <w:pPr>
              <w:adjustRightInd w:val="0"/>
              <w:snapToGrid w:val="0"/>
              <w:jc w:val="center"/>
              <w:rPr>
                <w:color w:val="auto"/>
                <w:kern w:val="0"/>
                <w:szCs w:val="21"/>
              </w:rPr>
            </w:pPr>
            <w:r>
              <w:rPr>
                <w:color w:val="auto"/>
                <w:kern w:val="0"/>
                <w:szCs w:val="21"/>
              </w:rPr>
              <w:t>指标</w:t>
            </w:r>
          </w:p>
        </w:tc>
        <w:tc>
          <w:tcPr>
            <w:tcW w:w="8264" w:type="dxa"/>
            <w:vAlign w:val="center"/>
          </w:tcPr>
          <w:p w14:paraId="05AE190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olor w:val="auto"/>
                <w:sz w:val="24"/>
                <w:lang w:val="en-US" w:eastAsia="zh-CN"/>
              </w:rPr>
            </w:pPr>
            <w:r>
              <w:rPr>
                <w:rFonts w:hint="eastAsia"/>
                <w:color w:val="auto"/>
                <w:sz w:val="24"/>
              </w:rPr>
              <w:t>国家对化学需氧量、氨氮、二氧化硫和氮氧化物四种主要污染物实行排放总量控制计划管理。</w:t>
            </w:r>
            <w:r>
              <w:rPr>
                <w:rFonts w:hint="eastAsia"/>
                <w:color w:val="auto"/>
                <w:sz w:val="24"/>
                <w:lang w:val="en-US" w:eastAsia="zh-CN"/>
              </w:rPr>
              <w:t>本项目污染物总量指标主要为</w:t>
            </w:r>
            <w:r>
              <w:rPr>
                <w:rFonts w:hint="eastAsia"/>
                <w:color w:val="auto"/>
                <w:sz w:val="24"/>
              </w:rPr>
              <w:t>化学需氧量</w:t>
            </w:r>
            <w:r>
              <w:rPr>
                <w:rFonts w:hint="eastAsia"/>
                <w:color w:val="auto"/>
                <w:sz w:val="24"/>
                <w:lang w:val="en-US" w:eastAsia="zh-CN"/>
              </w:rPr>
              <w:t>219t</w:t>
            </w:r>
            <w:r>
              <w:rPr>
                <w:rFonts w:hint="eastAsia"/>
                <w:color w:val="auto"/>
                <w:sz w:val="24"/>
              </w:rPr>
              <w:t>、氨氮</w:t>
            </w:r>
            <w:r>
              <w:rPr>
                <w:rFonts w:hint="eastAsia"/>
                <w:color w:val="auto"/>
                <w:sz w:val="24"/>
                <w:lang w:val="en-US" w:eastAsia="zh-CN"/>
              </w:rPr>
              <w:t>16.425t</w:t>
            </w:r>
            <w:r>
              <w:rPr>
                <w:rFonts w:hint="eastAsia"/>
                <w:color w:val="auto"/>
                <w:sz w:val="24"/>
                <w:lang w:eastAsia="zh-CN"/>
              </w:rPr>
              <w:t>。</w:t>
            </w:r>
          </w:p>
          <w:p w14:paraId="29029FD4">
            <w:pPr>
              <w:keepNext w:val="0"/>
              <w:keepLines w:val="0"/>
              <w:pageBreakBefore w:val="0"/>
              <w:widowControl w:val="0"/>
              <w:kinsoku/>
              <w:wordWrap/>
              <w:overflowPunct/>
              <w:topLinePunct w:val="0"/>
              <w:autoSpaceDE/>
              <w:autoSpaceDN/>
              <w:bidi w:val="0"/>
              <w:adjustRightInd/>
              <w:snapToGrid/>
              <w:spacing w:after="313" w:afterLines="100" w:line="360" w:lineRule="auto"/>
              <w:ind w:firstLine="420" w:firstLineChars="200"/>
              <w:jc w:val="left"/>
              <w:textAlignment w:val="auto"/>
              <w:rPr>
                <w:rFonts w:hint="eastAsia"/>
                <w:color w:val="auto"/>
              </w:rPr>
            </w:pPr>
          </w:p>
        </w:tc>
      </w:tr>
    </w:tbl>
    <w:p w14:paraId="4635C9FE">
      <w:pPr>
        <w:pStyle w:val="27"/>
        <w:spacing w:before="0" w:beforeAutospacing="0" w:after="0" w:afterAutospacing="0"/>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6"/>
          <w:szCs w:val="36"/>
        </w:rPr>
        <w:br w:type="page"/>
      </w:r>
      <w:bookmarkStart w:id="10" w:name="_Toc8604"/>
      <w:r>
        <w:rPr>
          <w:rFonts w:hint="eastAsia" w:ascii="Times New Roman" w:hAnsi="Times New Roman" w:eastAsia="黑体"/>
          <w:snapToGrid w:val="0"/>
          <w:color w:val="auto"/>
          <w:sz w:val="30"/>
          <w:szCs w:val="30"/>
        </w:rPr>
        <w:t>四、主要环境影响和保护措施</w:t>
      </w:r>
      <w:bookmarkEnd w:id="10"/>
    </w:p>
    <w:tbl>
      <w:tblPr>
        <w:tblStyle w:val="32"/>
        <w:tblW w:w="920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48"/>
        <w:gridCol w:w="8861"/>
      </w:tblGrid>
      <w:tr w14:paraId="44AC7D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17" w:hRule="atLeast"/>
          <w:jc w:val="center"/>
        </w:trPr>
        <w:tc>
          <w:tcPr>
            <w:tcW w:w="738" w:type="dxa"/>
            <w:tcMar>
              <w:left w:w="28" w:type="dxa"/>
              <w:right w:w="28" w:type="dxa"/>
            </w:tcMar>
            <w:vAlign w:val="center"/>
          </w:tcPr>
          <w:p w14:paraId="3D42ACCF">
            <w:pPr>
              <w:pStyle w:val="27"/>
              <w:adjustRightInd w:val="0"/>
              <w:snapToGrid w:val="0"/>
              <w:spacing w:before="0" w:beforeAutospacing="0" w:after="0" w:afterAutospacing="0"/>
              <w:jc w:val="center"/>
              <w:rPr>
                <w:rFonts w:ascii="Times New Roman" w:hAnsi="Times New Roman"/>
                <w:color w:val="auto"/>
                <w:kern w:val="2"/>
                <w:sz w:val="24"/>
                <w:szCs w:val="24"/>
              </w:rPr>
            </w:pPr>
            <w:r>
              <w:rPr>
                <w:rFonts w:ascii="Times New Roman" w:hAnsi="Times New Roman"/>
                <w:color w:val="auto"/>
                <w:kern w:val="2"/>
                <w:sz w:val="24"/>
                <w:szCs w:val="24"/>
              </w:rPr>
              <w:t>施工</w:t>
            </w:r>
          </w:p>
          <w:p w14:paraId="0CBE606A">
            <w:pPr>
              <w:pStyle w:val="27"/>
              <w:adjustRightInd w:val="0"/>
              <w:snapToGrid w:val="0"/>
              <w:spacing w:before="0" w:beforeAutospacing="0" w:after="0" w:afterAutospacing="0"/>
              <w:jc w:val="center"/>
              <w:rPr>
                <w:rFonts w:ascii="Times New Roman" w:hAnsi="Times New Roman"/>
                <w:color w:val="auto"/>
                <w:kern w:val="2"/>
                <w:sz w:val="24"/>
                <w:szCs w:val="24"/>
              </w:rPr>
            </w:pPr>
            <w:r>
              <w:rPr>
                <w:rFonts w:ascii="Times New Roman" w:hAnsi="Times New Roman"/>
                <w:color w:val="auto"/>
                <w:kern w:val="2"/>
                <w:sz w:val="24"/>
                <w:szCs w:val="24"/>
              </w:rPr>
              <w:t>期环</w:t>
            </w:r>
          </w:p>
          <w:p w14:paraId="010733F7">
            <w:pPr>
              <w:pStyle w:val="27"/>
              <w:adjustRightInd w:val="0"/>
              <w:snapToGrid w:val="0"/>
              <w:spacing w:before="0" w:beforeAutospacing="0" w:after="0" w:afterAutospacing="0"/>
              <w:jc w:val="center"/>
              <w:rPr>
                <w:rFonts w:ascii="Times New Roman" w:hAnsi="Times New Roman"/>
                <w:color w:val="auto"/>
                <w:kern w:val="2"/>
                <w:sz w:val="24"/>
                <w:szCs w:val="24"/>
              </w:rPr>
            </w:pPr>
            <w:r>
              <w:rPr>
                <w:rFonts w:ascii="Times New Roman" w:hAnsi="Times New Roman"/>
                <w:color w:val="auto"/>
                <w:kern w:val="2"/>
                <w:sz w:val="24"/>
                <w:szCs w:val="24"/>
              </w:rPr>
              <w:t>境保</w:t>
            </w:r>
          </w:p>
          <w:p w14:paraId="446BB7E4">
            <w:pPr>
              <w:pStyle w:val="27"/>
              <w:adjustRightInd w:val="0"/>
              <w:snapToGrid w:val="0"/>
              <w:spacing w:before="0" w:beforeAutospacing="0" w:after="0" w:afterAutospacing="0"/>
              <w:jc w:val="center"/>
              <w:rPr>
                <w:rFonts w:ascii="Times New Roman" w:hAnsi="Times New Roman"/>
                <w:color w:val="auto"/>
                <w:kern w:val="2"/>
                <w:sz w:val="24"/>
                <w:szCs w:val="24"/>
              </w:rPr>
            </w:pPr>
            <w:r>
              <w:rPr>
                <w:rFonts w:ascii="Times New Roman" w:hAnsi="Times New Roman"/>
                <w:color w:val="auto"/>
                <w:kern w:val="2"/>
                <w:sz w:val="24"/>
                <w:szCs w:val="24"/>
              </w:rPr>
              <w:t>护措</w:t>
            </w:r>
          </w:p>
          <w:p w14:paraId="16E278B7">
            <w:pPr>
              <w:pStyle w:val="27"/>
              <w:adjustRightInd w:val="0"/>
              <w:snapToGrid w:val="0"/>
              <w:spacing w:before="0" w:beforeAutospacing="0" w:after="0" w:afterAutospacing="0"/>
              <w:jc w:val="center"/>
              <w:rPr>
                <w:rFonts w:ascii="Times New Roman" w:hAnsi="Times New Roman"/>
                <w:bCs/>
                <w:color w:val="auto"/>
                <w:kern w:val="2"/>
                <w:sz w:val="21"/>
                <w:szCs w:val="21"/>
              </w:rPr>
            </w:pPr>
            <w:r>
              <w:rPr>
                <w:rFonts w:ascii="Times New Roman" w:hAnsi="Times New Roman"/>
                <w:color w:val="auto"/>
                <w:kern w:val="2"/>
                <w:sz w:val="24"/>
                <w:szCs w:val="24"/>
              </w:rPr>
              <w:t>施</w:t>
            </w:r>
          </w:p>
        </w:tc>
        <w:tc>
          <w:tcPr>
            <w:tcW w:w="8471" w:type="dxa"/>
            <w:vAlign w:val="center"/>
          </w:tcPr>
          <w:p w14:paraId="714A4027">
            <w:pPr>
              <w:spacing w:line="360" w:lineRule="auto"/>
              <w:ind w:firstLine="482" w:firstLineChars="200"/>
              <w:rPr>
                <w:rFonts w:hint="eastAsia"/>
                <w:b/>
                <w:bCs/>
                <w:color w:val="auto"/>
                <w:sz w:val="24"/>
                <w:u w:val="none"/>
              </w:rPr>
            </w:pPr>
            <w:r>
              <w:rPr>
                <w:rFonts w:hint="eastAsia"/>
                <w:b/>
                <w:bCs/>
                <w:color w:val="auto"/>
                <w:sz w:val="24"/>
                <w:u w:val="none"/>
              </w:rPr>
              <w:t>4.1</w:t>
            </w:r>
            <w:r>
              <w:rPr>
                <w:rFonts w:hint="eastAsia"/>
                <w:b/>
                <w:bCs/>
                <w:color w:val="auto"/>
                <w:sz w:val="24"/>
                <w:u w:val="none"/>
                <w:lang w:val="en-US" w:eastAsia="zh-CN"/>
              </w:rPr>
              <w:t xml:space="preserve"> </w:t>
            </w:r>
            <w:r>
              <w:rPr>
                <w:rFonts w:hint="eastAsia"/>
                <w:b/>
                <w:bCs/>
                <w:color w:val="auto"/>
                <w:sz w:val="24"/>
                <w:u w:val="none"/>
              </w:rPr>
              <w:t>扬尘</w:t>
            </w:r>
          </w:p>
          <w:p w14:paraId="5B66F8C8">
            <w:pPr>
              <w:spacing w:line="360" w:lineRule="auto"/>
              <w:ind w:firstLine="480" w:firstLineChars="200"/>
              <w:rPr>
                <w:rFonts w:hint="eastAsia"/>
                <w:color w:val="auto"/>
                <w:sz w:val="24"/>
                <w:u w:val="none"/>
              </w:rPr>
            </w:pPr>
            <w:r>
              <w:rPr>
                <w:rFonts w:hint="eastAsia"/>
                <w:color w:val="auto"/>
                <w:sz w:val="24"/>
                <w:u w:val="none"/>
              </w:rPr>
              <w:t>（1）施工运输渣土、泥浆、建筑垃圾及砂石等散体建筑材料，应采用密闭运输车辆或采取篷覆式遮盖等措施，严禁发生抛、洒、滴、漏现象，运输时段尽量选取人流量较小的时候。</w:t>
            </w:r>
          </w:p>
          <w:p w14:paraId="794291C0">
            <w:pPr>
              <w:spacing w:line="360" w:lineRule="auto"/>
              <w:ind w:firstLine="480" w:firstLineChars="200"/>
              <w:rPr>
                <w:rFonts w:hint="eastAsia"/>
                <w:color w:val="auto"/>
                <w:sz w:val="24"/>
                <w:u w:val="none"/>
              </w:rPr>
            </w:pPr>
            <w:r>
              <w:rPr>
                <w:rFonts w:hint="eastAsia"/>
                <w:color w:val="auto"/>
                <w:sz w:val="24"/>
                <w:u w:val="none"/>
              </w:rPr>
              <w:t>（2）平整场地、开挖等基础作业时，应经常洒水使作业面土壤保持较高的湿度；对施工场地内裸露的地面，也应经常洒水防止扬尘。施工场地注意填方后要随时压实、撒水，施工场地硬化，在施工场地四周设立围档，防止扬尘。建筑材料堆放场地进行遮盖，减少风力起尘。</w:t>
            </w:r>
          </w:p>
          <w:p w14:paraId="509C8D5C">
            <w:pPr>
              <w:spacing w:line="360" w:lineRule="auto"/>
              <w:ind w:firstLine="480" w:firstLineChars="200"/>
              <w:rPr>
                <w:rFonts w:hint="eastAsia"/>
                <w:color w:val="auto"/>
                <w:sz w:val="24"/>
                <w:u w:val="none"/>
              </w:rPr>
            </w:pPr>
            <w:r>
              <w:rPr>
                <w:rFonts w:hint="eastAsia"/>
                <w:color w:val="auto"/>
                <w:sz w:val="24"/>
                <w:u w:val="none"/>
              </w:rPr>
              <w:t>（3）施工现场设置排水系统，围挡内四周设置排水沟，将所有施工废水引至沉淀池（2m</w:t>
            </w:r>
            <w:r>
              <w:rPr>
                <w:rFonts w:hint="eastAsia"/>
                <w:color w:val="auto"/>
                <w:sz w:val="24"/>
                <w:u w:val="none"/>
                <w:vertAlign w:val="superscript"/>
              </w:rPr>
              <w:t>3</w:t>
            </w:r>
            <w:r>
              <w:rPr>
                <w:rFonts w:hint="eastAsia"/>
                <w:color w:val="auto"/>
                <w:sz w:val="24"/>
                <w:u w:val="none"/>
              </w:rPr>
              <w:t>），防止施工污水溢出工地；污水沉淀时间应大于2小时，之后回用于施工工艺或洒水抑尘，禁止将施工污水排入水渠及其周边地表水体。</w:t>
            </w:r>
          </w:p>
          <w:p w14:paraId="47CC82E4">
            <w:pPr>
              <w:spacing w:line="360" w:lineRule="auto"/>
              <w:ind w:firstLine="480" w:firstLineChars="200"/>
              <w:rPr>
                <w:rFonts w:hint="eastAsia"/>
                <w:color w:val="auto"/>
                <w:sz w:val="24"/>
                <w:u w:val="none"/>
              </w:rPr>
            </w:pPr>
            <w:r>
              <w:rPr>
                <w:rFonts w:hint="eastAsia"/>
                <w:color w:val="auto"/>
                <w:sz w:val="24"/>
                <w:u w:val="none"/>
              </w:rPr>
              <w:t>（4）施工中使用的粉状物料和其它容易起尘的物料应严格管理。最容易起尘的物料应密闭储存，一般物料应统一堆放，设置临时防风设施，或者喷水增加表面湿度，防止扬尘。</w:t>
            </w:r>
          </w:p>
          <w:p w14:paraId="348DE218">
            <w:pPr>
              <w:spacing w:line="360" w:lineRule="auto"/>
              <w:ind w:firstLine="480" w:firstLineChars="200"/>
              <w:rPr>
                <w:rFonts w:hint="eastAsia"/>
                <w:color w:val="auto"/>
                <w:sz w:val="24"/>
                <w:u w:val="none"/>
              </w:rPr>
            </w:pPr>
            <w:r>
              <w:rPr>
                <w:rFonts w:hint="eastAsia"/>
                <w:color w:val="auto"/>
                <w:sz w:val="24"/>
                <w:u w:val="none"/>
              </w:rPr>
              <w:t>（5）建筑施工工地内及工地周围道路必须洒水，降低施工车辆行驶产生的扬尘。</w:t>
            </w:r>
          </w:p>
          <w:p w14:paraId="073FB18D">
            <w:pPr>
              <w:spacing w:line="360" w:lineRule="auto"/>
              <w:ind w:firstLine="480" w:firstLineChars="200"/>
              <w:rPr>
                <w:rFonts w:hint="eastAsia"/>
                <w:color w:val="auto"/>
                <w:sz w:val="24"/>
                <w:u w:val="single"/>
                <w:lang w:eastAsia="zh-CN"/>
              </w:rPr>
            </w:pPr>
            <w:r>
              <w:rPr>
                <w:rFonts w:hint="eastAsia"/>
                <w:color w:val="auto"/>
                <w:sz w:val="24"/>
                <w:u w:val="single"/>
                <w:lang w:eastAsia="zh-CN"/>
              </w:rPr>
              <w:t>（</w:t>
            </w:r>
            <w:r>
              <w:rPr>
                <w:rFonts w:hint="eastAsia"/>
                <w:color w:val="auto"/>
                <w:sz w:val="24"/>
                <w:u w:val="single"/>
                <w:lang w:val="en-US" w:eastAsia="zh-CN"/>
              </w:rPr>
              <w:t>6</w:t>
            </w:r>
            <w:r>
              <w:rPr>
                <w:rFonts w:hint="eastAsia"/>
                <w:color w:val="auto"/>
                <w:sz w:val="24"/>
                <w:u w:val="single"/>
                <w:lang w:eastAsia="zh-CN"/>
              </w:rPr>
              <w:t>）严格执行住房和城乡建设部关于建筑工地的“六个百分百”要求</w:t>
            </w:r>
          </w:p>
          <w:p w14:paraId="0E4D29FD">
            <w:pPr>
              <w:spacing w:line="360" w:lineRule="auto"/>
              <w:ind w:firstLine="480" w:firstLineChars="200"/>
              <w:rPr>
                <w:rFonts w:hint="eastAsia"/>
                <w:color w:val="auto"/>
                <w:sz w:val="24"/>
                <w:u w:val="single"/>
                <w:lang w:eastAsia="zh-CN"/>
              </w:rPr>
            </w:pPr>
            <w:r>
              <w:rPr>
                <w:rFonts w:hint="eastAsia" w:ascii="宋体" w:hAnsi="宋体" w:eastAsia="宋体" w:cs="宋体"/>
                <w:color w:val="auto"/>
                <w:sz w:val="24"/>
                <w:u w:val="single"/>
                <w:lang w:eastAsia="zh-CN"/>
              </w:rPr>
              <w:t>①</w:t>
            </w:r>
            <w:r>
              <w:rPr>
                <w:rFonts w:hint="eastAsia"/>
                <w:color w:val="auto"/>
                <w:sz w:val="24"/>
                <w:u w:val="single"/>
                <w:lang w:eastAsia="zh-CN"/>
              </w:rPr>
              <w:t>施工工地周边100%围挡；</w:t>
            </w:r>
          </w:p>
          <w:p w14:paraId="7CDDC4B7">
            <w:pPr>
              <w:spacing w:line="360" w:lineRule="auto"/>
              <w:ind w:firstLine="480" w:firstLineChars="200"/>
              <w:rPr>
                <w:rFonts w:hint="eastAsia"/>
                <w:color w:val="auto"/>
                <w:sz w:val="24"/>
                <w:u w:val="single"/>
                <w:lang w:eastAsia="zh-CN"/>
              </w:rPr>
            </w:pPr>
            <w:r>
              <w:rPr>
                <w:rFonts w:hint="eastAsia" w:ascii="宋体" w:hAnsi="宋体" w:eastAsia="宋体" w:cs="宋体"/>
                <w:color w:val="auto"/>
                <w:sz w:val="24"/>
                <w:u w:val="single"/>
                <w:lang w:eastAsia="zh-CN"/>
              </w:rPr>
              <w:t>②</w:t>
            </w:r>
            <w:r>
              <w:rPr>
                <w:rFonts w:hint="eastAsia"/>
                <w:color w:val="auto"/>
                <w:sz w:val="24"/>
                <w:u w:val="single"/>
                <w:lang w:eastAsia="zh-CN"/>
              </w:rPr>
              <w:t>物料堆放100%覆盖；</w:t>
            </w:r>
          </w:p>
          <w:p w14:paraId="7C8B8442">
            <w:pPr>
              <w:spacing w:line="360" w:lineRule="auto"/>
              <w:ind w:firstLine="480" w:firstLineChars="200"/>
              <w:rPr>
                <w:rFonts w:hint="eastAsia"/>
                <w:color w:val="auto"/>
                <w:sz w:val="24"/>
                <w:u w:val="single"/>
                <w:lang w:eastAsia="zh-CN"/>
              </w:rPr>
            </w:pPr>
            <w:r>
              <w:rPr>
                <w:rFonts w:hint="eastAsia" w:ascii="宋体" w:hAnsi="宋体" w:eastAsia="宋体" w:cs="宋体"/>
                <w:color w:val="auto"/>
                <w:sz w:val="24"/>
                <w:u w:val="single"/>
                <w:lang w:eastAsia="zh-CN"/>
              </w:rPr>
              <w:t>③</w:t>
            </w:r>
            <w:r>
              <w:rPr>
                <w:rFonts w:hint="eastAsia"/>
                <w:color w:val="auto"/>
                <w:sz w:val="24"/>
                <w:u w:val="single"/>
                <w:lang w:eastAsia="zh-CN"/>
              </w:rPr>
              <w:t>出入车辆100%冲洗；</w:t>
            </w:r>
          </w:p>
          <w:p w14:paraId="46CBB57F">
            <w:pPr>
              <w:spacing w:line="360" w:lineRule="auto"/>
              <w:ind w:firstLine="480" w:firstLineChars="200"/>
              <w:rPr>
                <w:rFonts w:hint="eastAsia"/>
                <w:color w:val="auto"/>
                <w:sz w:val="24"/>
                <w:u w:val="single"/>
                <w:lang w:eastAsia="zh-CN"/>
              </w:rPr>
            </w:pPr>
            <w:r>
              <w:rPr>
                <w:rFonts w:hint="eastAsia" w:ascii="宋体" w:hAnsi="宋体" w:eastAsia="宋体" w:cs="宋体"/>
                <w:color w:val="auto"/>
                <w:sz w:val="24"/>
                <w:u w:val="single"/>
                <w:lang w:eastAsia="zh-CN"/>
              </w:rPr>
              <w:t>④</w:t>
            </w:r>
            <w:r>
              <w:rPr>
                <w:rFonts w:hint="eastAsia"/>
                <w:color w:val="auto"/>
                <w:sz w:val="24"/>
                <w:u w:val="single"/>
                <w:lang w:eastAsia="zh-CN"/>
              </w:rPr>
              <w:t>施工现场地面100%硬化；</w:t>
            </w:r>
          </w:p>
          <w:p w14:paraId="23C7DAA1">
            <w:pPr>
              <w:spacing w:line="360" w:lineRule="auto"/>
              <w:ind w:firstLine="480" w:firstLineChars="200"/>
              <w:rPr>
                <w:rFonts w:hint="eastAsia"/>
                <w:color w:val="auto"/>
                <w:sz w:val="24"/>
                <w:u w:val="single"/>
                <w:lang w:eastAsia="zh-CN"/>
              </w:rPr>
            </w:pPr>
            <w:r>
              <w:rPr>
                <w:rFonts w:hint="eastAsia" w:ascii="宋体" w:hAnsi="宋体" w:eastAsia="宋体" w:cs="宋体"/>
                <w:color w:val="auto"/>
                <w:sz w:val="24"/>
                <w:u w:val="single"/>
                <w:lang w:eastAsia="zh-CN"/>
              </w:rPr>
              <w:t>⑤</w:t>
            </w:r>
            <w:r>
              <w:rPr>
                <w:rFonts w:hint="eastAsia"/>
                <w:color w:val="auto"/>
                <w:sz w:val="24"/>
                <w:u w:val="single"/>
                <w:lang w:eastAsia="zh-CN"/>
              </w:rPr>
              <w:t>拆迁工地100%湿法作业；</w:t>
            </w:r>
          </w:p>
          <w:p w14:paraId="48305511">
            <w:pPr>
              <w:spacing w:line="360" w:lineRule="auto"/>
              <w:ind w:firstLine="480" w:firstLineChars="200"/>
              <w:rPr>
                <w:rFonts w:hint="eastAsia"/>
                <w:color w:val="auto"/>
                <w:sz w:val="24"/>
                <w:u w:val="single"/>
                <w:lang w:eastAsia="zh-CN"/>
              </w:rPr>
            </w:pPr>
            <w:r>
              <w:rPr>
                <w:rFonts w:hint="eastAsia" w:ascii="宋体" w:hAnsi="宋体" w:eastAsia="宋体" w:cs="宋体"/>
                <w:color w:val="auto"/>
                <w:sz w:val="24"/>
                <w:u w:val="single"/>
                <w:lang w:eastAsia="zh-CN"/>
              </w:rPr>
              <w:t>⑥</w:t>
            </w:r>
            <w:r>
              <w:rPr>
                <w:rFonts w:hint="eastAsia"/>
                <w:color w:val="auto"/>
                <w:sz w:val="24"/>
                <w:u w:val="single"/>
                <w:lang w:eastAsia="zh-CN"/>
              </w:rPr>
              <w:t>渣土车辆100%密闭运输</w:t>
            </w:r>
          </w:p>
          <w:p w14:paraId="2FACA004">
            <w:pPr>
              <w:spacing w:line="360" w:lineRule="auto"/>
              <w:ind w:firstLine="482" w:firstLineChars="200"/>
              <w:rPr>
                <w:rFonts w:hint="eastAsia"/>
                <w:b/>
                <w:bCs/>
                <w:color w:val="auto"/>
                <w:sz w:val="24"/>
                <w:u w:val="none"/>
              </w:rPr>
            </w:pPr>
            <w:r>
              <w:rPr>
                <w:rFonts w:hint="eastAsia"/>
                <w:b/>
                <w:bCs/>
                <w:color w:val="auto"/>
                <w:sz w:val="24"/>
                <w:u w:val="none"/>
              </w:rPr>
              <w:t>4.</w:t>
            </w:r>
            <w:r>
              <w:rPr>
                <w:rFonts w:hint="eastAsia"/>
                <w:b/>
                <w:bCs/>
                <w:color w:val="auto"/>
                <w:sz w:val="24"/>
                <w:u w:val="none"/>
                <w:lang w:val="en-US" w:eastAsia="zh-CN"/>
              </w:rPr>
              <w:t>2 废水</w:t>
            </w:r>
          </w:p>
          <w:p w14:paraId="74D2FC16">
            <w:pPr>
              <w:spacing w:line="360" w:lineRule="auto"/>
              <w:ind w:firstLine="480" w:firstLineChars="200"/>
              <w:rPr>
                <w:rFonts w:hint="eastAsia"/>
                <w:color w:val="auto"/>
                <w:sz w:val="24"/>
                <w:u w:val="none"/>
              </w:rPr>
            </w:pPr>
            <w:r>
              <w:rPr>
                <w:rFonts w:hint="eastAsia"/>
                <w:color w:val="auto"/>
                <w:sz w:val="24"/>
                <w:u w:val="none"/>
              </w:rPr>
              <w:t>（1）施工期间生活污水产生总量不大，</w:t>
            </w:r>
            <w:r>
              <w:rPr>
                <w:rFonts w:hint="eastAsia"/>
                <w:color w:val="auto"/>
                <w:sz w:val="24"/>
                <w:u w:val="none"/>
                <w:lang w:eastAsia="zh-CN"/>
              </w:rPr>
              <w:t>设置旱厕收集外运做农肥</w:t>
            </w:r>
            <w:r>
              <w:rPr>
                <w:rFonts w:hint="eastAsia"/>
                <w:color w:val="auto"/>
                <w:sz w:val="24"/>
                <w:u w:val="none"/>
              </w:rPr>
              <w:t>。</w:t>
            </w:r>
          </w:p>
          <w:p w14:paraId="753EDE68">
            <w:pPr>
              <w:spacing w:line="360" w:lineRule="auto"/>
              <w:ind w:firstLine="480" w:firstLineChars="200"/>
              <w:rPr>
                <w:rFonts w:hint="eastAsia"/>
                <w:color w:val="auto"/>
                <w:sz w:val="24"/>
                <w:u w:val="none"/>
              </w:rPr>
            </w:pPr>
            <w:r>
              <w:rPr>
                <w:rFonts w:hint="eastAsia"/>
                <w:color w:val="auto"/>
                <w:sz w:val="24"/>
                <w:u w:val="none"/>
              </w:rPr>
              <w:t>（2）本项目必须将施工污水收集，施工车辆和机械的冲洗水通过隔油池和沉淀池沉淀后用于施工期间地面洒水降尘，回用于项目。严禁废水外排。</w:t>
            </w:r>
          </w:p>
          <w:p w14:paraId="78760562">
            <w:pPr>
              <w:spacing w:line="360" w:lineRule="auto"/>
              <w:ind w:firstLine="480" w:firstLineChars="200"/>
              <w:rPr>
                <w:rFonts w:hint="eastAsia"/>
                <w:color w:val="auto"/>
                <w:sz w:val="24"/>
                <w:u w:val="none"/>
              </w:rPr>
            </w:pPr>
            <w:r>
              <w:rPr>
                <w:rFonts w:hint="eastAsia"/>
                <w:color w:val="auto"/>
                <w:sz w:val="24"/>
                <w:u w:val="none"/>
              </w:rPr>
              <w:t>（3）施工机械废油应采用废油桶收集起来、集中保管，定期送给有处置能力的单位进行回收或处置。加强机械日常维护，减少机械油污跑、冒、滴、漏现象，减少含油污水的产生。</w:t>
            </w:r>
          </w:p>
          <w:p w14:paraId="59A2DB64">
            <w:pPr>
              <w:spacing w:line="360" w:lineRule="auto"/>
              <w:ind w:firstLine="480" w:firstLineChars="200"/>
              <w:rPr>
                <w:rFonts w:hint="eastAsia"/>
                <w:color w:val="auto"/>
                <w:sz w:val="24"/>
                <w:u w:val="none"/>
              </w:rPr>
            </w:pPr>
            <w:r>
              <w:rPr>
                <w:rFonts w:hint="eastAsia"/>
                <w:color w:val="auto"/>
                <w:sz w:val="24"/>
                <w:u w:val="none"/>
              </w:rPr>
              <w:t>（4）要做好建筑材料和建设废料的管理，防止它们成为地面水的二次污染源，建议在料场周围设置排水沉淀沟。同时，尽量避免雨期进行施工建设，以减少冲刷形成的泥浆污水的产生。</w:t>
            </w:r>
          </w:p>
          <w:p w14:paraId="689F0EC6">
            <w:pPr>
              <w:spacing w:line="360" w:lineRule="auto"/>
              <w:ind w:firstLine="480" w:firstLineChars="200"/>
              <w:rPr>
                <w:rFonts w:hint="eastAsia"/>
                <w:color w:val="auto"/>
                <w:sz w:val="24"/>
                <w:u w:val="none"/>
              </w:rPr>
            </w:pPr>
            <w:r>
              <w:rPr>
                <w:rFonts w:hint="eastAsia"/>
                <w:color w:val="auto"/>
                <w:sz w:val="24"/>
                <w:u w:val="none"/>
              </w:rPr>
              <w:t>（5）禁止在暴雨天气施工，以避免暴雨天气下的产生的地表径流对周边环境产生影响。</w:t>
            </w:r>
          </w:p>
          <w:p w14:paraId="2EC4BC02">
            <w:pPr>
              <w:spacing w:line="360" w:lineRule="auto"/>
              <w:ind w:firstLine="482" w:firstLineChars="200"/>
              <w:rPr>
                <w:rFonts w:hint="default" w:eastAsia="宋体"/>
                <w:b/>
                <w:bCs/>
                <w:color w:val="auto"/>
                <w:sz w:val="24"/>
                <w:u w:val="none"/>
                <w:lang w:val="en-US" w:eastAsia="zh-CN"/>
              </w:rPr>
            </w:pPr>
            <w:r>
              <w:rPr>
                <w:rFonts w:hint="eastAsia"/>
                <w:b/>
                <w:bCs/>
                <w:color w:val="auto"/>
                <w:sz w:val="24"/>
                <w:u w:val="none"/>
                <w:lang w:val="en-US" w:eastAsia="zh-CN"/>
              </w:rPr>
              <w:t>4.3 固废</w:t>
            </w:r>
          </w:p>
          <w:p w14:paraId="637F7562">
            <w:pPr>
              <w:spacing w:line="360" w:lineRule="auto"/>
              <w:ind w:firstLine="480" w:firstLineChars="200"/>
              <w:rPr>
                <w:rFonts w:hint="eastAsia"/>
                <w:color w:val="auto"/>
                <w:sz w:val="24"/>
                <w:u w:val="none"/>
              </w:rPr>
            </w:pPr>
            <w:r>
              <w:rPr>
                <w:rFonts w:hint="eastAsia"/>
                <w:color w:val="auto"/>
                <w:sz w:val="24"/>
                <w:u w:val="none"/>
              </w:rPr>
              <w:t>加强工程土石方临时堆场的水土流失防治措施，在其周围修建挡土墙和排水沟，并做好拦挡及覆盖；对施工区，在基础清理开挖时，为防止开挖土方进入施工区外，在开挖线外缘一侧用编织袋装清理表土临时拦挡，对开挖的土方用布临时遮盖，对于排弃的开挖放，减少临时堆放和不必要的转运过程，尽量直接用于就近回填，尽可能与市政建设和景观要求结合，就近造景，采取植物措施绿化；避免雨季施工；及时处理土石方。</w:t>
            </w:r>
          </w:p>
          <w:p w14:paraId="61D4BA2E">
            <w:pPr>
              <w:spacing w:line="360" w:lineRule="auto"/>
              <w:ind w:firstLine="480" w:firstLineChars="200"/>
              <w:rPr>
                <w:rFonts w:hint="eastAsia"/>
                <w:color w:val="auto"/>
                <w:sz w:val="24"/>
                <w:u w:val="none"/>
              </w:rPr>
            </w:pPr>
            <w:r>
              <w:rPr>
                <w:rFonts w:hint="eastAsia"/>
                <w:color w:val="auto"/>
                <w:sz w:val="24"/>
                <w:u w:val="none"/>
              </w:rPr>
              <w:t>施工人员产生的生活垃圾全部交由环卫部门处置。</w:t>
            </w:r>
          </w:p>
          <w:p w14:paraId="183AC697">
            <w:pPr>
              <w:spacing w:line="360" w:lineRule="auto"/>
              <w:ind w:firstLine="480" w:firstLineChars="200"/>
              <w:rPr>
                <w:rFonts w:hint="eastAsia"/>
                <w:color w:val="auto"/>
                <w:sz w:val="24"/>
                <w:u w:val="single"/>
                <w:lang w:eastAsia="zh-CN"/>
              </w:rPr>
            </w:pPr>
            <w:r>
              <w:rPr>
                <w:rFonts w:hint="eastAsia"/>
                <w:color w:val="auto"/>
                <w:sz w:val="24"/>
                <w:u w:val="single"/>
                <w:lang w:eastAsia="zh-CN"/>
              </w:rPr>
              <w:t>（</w:t>
            </w:r>
            <w:r>
              <w:rPr>
                <w:rFonts w:hint="eastAsia"/>
                <w:color w:val="auto"/>
                <w:sz w:val="24"/>
                <w:u w:val="single"/>
                <w:lang w:val="en-US" w:eastAsia="zh-CN"/>
              </w:rPr>
              <w:t>6</w:t>
            </w:r>
            <w:r>
              <w:rPr>
                <w:rFonts w:hint="eastAsia"/>
                <w:color w:val="auto"/>
                <w:sz w:val="24"/>
                <w:u w:val="single"/>
                <w:lang w:eastAsia="zh-CN"/>
              </w:rPr>
              <w:t>）必须按规定办理好余渣土排入的手续，获得批准后方可在指定的受纳地点弃土。车辆运输松散废弃物时，必须密封、包扎、覆盖，不得沿途撒漏。</w:t>
            </w:r>
          </w:p>
          <w:p w14:paraId="493E3F44">
            <w:pPr>
              <w:spacing w:line="360" w:lineRule="auto"/>
              <w:ind w:firstLine="480" w:firstLineChars="200"/>
              <w:rPr>
                <w:rFonts w:hint="eastAsia"/>
                <w:color w:val="auto"/>
                <w:sz w:val="24"/>
                <w:u w:val="single"/>
                <w:lang w:eastAsia="zh-CN"/>
              </w:rPr>
            </w:pPr>
            <w:r>
              <w:rPr>
                <w:rFonts w:hint="eastAsia"/>
                <w:color w:val="auto"/>
                <w:sz w:val="24"/>
                <w:u w:val="single"/>
                <w:lang w:eastAsia="zh-CN"/>
              </w:rPr>
              <w:t>运载十方的车辆必须在规定的时间内，按指定路段行驶。</w:t>
            </w:r>
          </w:p>
          <w:p w14:paraId="068A0380">
            <w:pPr>
              <w:spacing w:line="360" w:lineRule="auto"/>
              <w:ind w:firstLine="480" w:firstLineChars="200"/>
              <w:rPr>
                <w:rFonts w:hint="eastAsia"/>
              </w:rPr>
            </w:pPr>
            <w:r>
              <w:rPr>
                <w:rFonts w:hint="eastAsia"/>
                <w:color w:val="auto"/>
                <w:sz w:val="24"/>
                <w:u w:val="single"/>
                <w:lang w:eastAsia="zh-CN"/>
              </w:rPr>
              <w:t>在采取上述措施的基础上，本项目施工期固废不会产生二次污染，对周围环境影响较小。</w:t>
            </w:r>
          </w:p>
          <w:p w14:paraId="310C653D">
            <w:pPr>
              <w:spacing w:line="360" w:lineRule="auto"/>
              <w:ind w:firstLine="482" w:firstLineChars="200"/>
              <w:rPr>
                <w:rFonts w:hint="default" w:eastAsia="宋体"/>
                <w:b/>
                <w:bCs/>
                <w:color w:val="auto"/>
                <w:sz w:val="24"/>
                <w:u w:val="none"/>
                <w:lang w:val="en-US" w:eastAsia="zh-CN"/>
              </w:rPr>
            </w:pPr>
            <w:r>
              <w:rPr>
                <w:rFonts w:hint="eastAsia"/>
                <w:b/>
                <w:bCs/>
                <w:color w:val="auto"/>
                <w:sz w:val="24"/>
                <w:u w:val="none"/>
                <w:lang w:val="en-US" w:eastAsia="zh-CN"/>
              </w:rPr>
              <w:t>4.4 噪声</w:t>
            </w:r>
          </w:p>
          <w:p w14:paraId="713148E3">
            <w:pPr>
              <w:spacing w:line="360" w:lineRule="auto"/>
              <w:ind w:firstLine="480" w:firstLineChars="200"/>
              <w:rPr>
                <w:rFonts w:hint="eastAsia"/>
                <w:color w:val="auto"/>
                <w:sz w:val="24"/>
                <w:u w:val="none"/>
              </w:rPr>
            </w:pPr>
            <w:r>
              <w:rPr>
                <w:rFonts w:hint="eastAsia"/>
                <w:color w:val="auto"/>
                <w:sz w:val="24"/>
                <w:u w:val="none"/>
              </w:rPr>
              <w:t>① 建设单位应要求施工单位所使用的主要施工机械应为低噪声机械设备，并按时对所有施工机械进行检修，严格按操作规程使用各类机械；</w:t>
            </w:r>
          </w:p>
          <w:p w14:paraId="75B91712">
            <w:pPr>
              <w:spacing w:line="360" w:lineRule="auto"/>
              <w:ind w:firstLine="480" w:firstLineChars="200"/>
              <w:rPr>
                <w:rFonts w:hint="eastAsia"/>
                <w:color w:val="auto"/>
                <w:sz w:val="24"/>
                <w:u w:val="none"/>
              </w:rPr>
            </w:pPr>
            <w:r>
              <w:rPr>
                <w:rFonts w:hint="eastAsia"/>
                <w:color w:val="auto"/>
                <w:sz w:val="24"/>
                <w:u w:val="none"/>
              </w:rPr>
              <w:t>② 建立施工围墙，并尽可能利用噪声距离衰减措施，做到最大限度减少施工噪声周围环境的影响；</w:t>
            </w:r>
          </w:p>
          <w:p w14:paraId="444DBDA3">
            <w:pPr>
              <w:spacing w:line="360" w:lineRule="auto"/>
              <w:ind w:firstLine="480" w:firstLineChars="200"/>
              <w:rPr>
                <w:rFonts w:hint="eastAsia"/>
                <w:color w:val="auto"/>
                <w:sz w:val="24"/>
                <w:u w:val="none"/>
              </w:rPr>
            </w:pPr>
            <w:r>
              <w:rPr>
                <w:rFonts w:hint="eastAsia"/>
                <w:color w:val="auto"/>
                <w:sz w:val="24"/>
                <w:u w:val="none"/>
              </w:rPr>
              <w:t>③ 在施工过程中只要严格控制高噪声设备的施工时段，避免高噪声设备同时施工，合理安排施工时间，禁止高噪声设备午休时间（12:00~14:00）和夜间作业(21:00~6:00)。</w:t>
            </w:r>
          </w:p>
          <w:p w14:paraId="1496CD42">
            <w:pPr>
              <w:spacing w:line="360" w:lineRule="auto"/>
              <w:ind w:firstLine="482" w:firstLineChars="200"/>
              <w:rPr>
                <w:rFonts w:hint="eastAsia"/>
                <w:b/>
                <w:bCs/>
                <w:color w:val="auto"/>
                <w:sz w:val="24"/>
                <w:u w:val="none"/>
                <w:lang w:val="en-US" w:eastAsia="zh-CN"/>
              </w:rPr>
            </w:pPr>
            <w:r>
              <w:rPr>
                <w:rFonts w:hint="eastAsia"/>
                <w:b/>
                <w:bCs/>
                <w:color w:val="auto"/>
                <w:sz w:val="24"/>
                <w:u w:val="none"/>
                <w:lang w:val="en-US" w:eastAsia="zh-CN"/>
              </w:rPr>
              <w:t>4.5 生态措施</w:t>
            </w:r>
          </w:p>
          <w:p w14:paraId="6292A339">
            <w:pPr>
              <w:spacing w:line="360" w:lineRule="auto"/>
              <w:ind w:firstLine="480" w:firstLineChars="200"/>
              <w:rPr>
                <w:rFonts w:hint="default"/>
                <w:color w:val="auto"/>
                <w:sz w:val="24"/>
                <w:u w:val="none"/>
                <w:lang w:val="en-US" w:eastAsia="zh-CN"/>
              </w:rPr>
            </w:pPr>
            <w:r>
              <w:rPr>
                <w:rFonts w:hint="default"/>
                <w:color w:val="auto"/>
                <w:sz w:val="24"/>
                <w:u w:val="none"/>
                <w:lang w:val="en-US" w:eastAsia="zh-CN"/>
              </w:rPr>
              <w:t>①在施工过程中要合理安排施工进度，施工要避开雨季和大风天，分段施工，做到挖填平衡，尽量不留疏松地面，减少风蚀导致的水土流失。</w:t>
            </w:r>
          </w:p>
          <w:p w14:paraId="37E4EC52">
            <w:pPr>
              <w:spacing w:line="360" w:lineRule="auto"/>
              <w:ind w:firstLine="480" w:firstLineChars="200"/>
              <w:rPr>
                <w:rFonts w:hint="default"/>
                <w:color w:val="auto"/>
                <w:sz w:val="24"/>
                <w:u w:val="none"/>
                <w:lang w:val="en-US" w:eastAsia="zh-CN"/>
              </w:rPr>
            </w:pPr>
            <w:r>
              <w:rPr>
                <w:rFonts w:hint="default"/>
                <w:color w:val="auto"/>
                <w:sz w:val="24"/>
                <w:u w:val="none"/>
                <w:lang w:val="en-US" w:eastAsia="zh-CN"/>
              </w:rPr>
              <w:t xml:space="preserve">②划定施工作业范围和路线，不得随意扩大，按规定操作。严格控制和管理运输车辆及重型机械施工作业范围，尽可能减少对土壤和植被的破坏以及由此引发的水土流失。   </w:t>
            </w:r>
          </w:p>
          <w:p w14:paraId="49036E91">
            <w:pPr>
              <w:spacing w:line="360" w:lineRule="auto"/>
              <w:ind w:firstLine="480" w:firstLineChars="200"/>
              <w:rPr>
                <w:rFonts w:hint="default"/>
                <w:color w:val="auto"/>
                <w:sz w:val="24"/>
                <w:u w:val="none"/>
                <w:lang w:val="en-US" w:eastAsia="zh-CN"/>
              </w:rPr>
            </w:pPr>
            <w:r>
              <w:rPr>
                <w:rFonts w:hint="default"/>
                <w:color w:val="auto"/>
                <w:sz w:val="24"/>
                <w:u w:val="none"/>
                <w:lang w:val="en-US" w:eastAsia="zh-CN"/>
              </w:rPr>
              <w:t xml:space="preserve">③在施工中破坏植被的地段，施工结束后，必须及时进行植被恢复工作，减轻水土流失。 </w:t>
            </w:r>
          </w:p>
          <w:p w14:paraId="0BB8CF6F">
            <w:pPr>
              <w:spacing w:line="360" w:lineRule="auto"/>
              <w:ind w:firstLine="480" w:firstLineChars="200"/>
              <w:rPr>
                <w:rFonts w:hint="default"/>
                <w:lang w:val="en-US" w:eastAsia="zh-CN"/>
              </w:rPr>
            </w:pPr>
            <w:r>
              <w:rPr>
                <w:rFonts w:hint="default"/>
                <w:color w:val="auto"/>
                <w:sz w:val="24"/>
                <w:u w:val="none"/>
                <w:lang w:val="en-US" w:eastAsia="zh-CN"/>
              </w:rPr>
              <w:t xml:space="preserve">④在管道和污水站施工，采用挡土墙和排水措施进行防护，减少施工过程中水土流失量。 </w:t>
            </w:r>
          </w:p>
        </w:tc>
      </w:tr>
      <w:tr w14:paraId="52659F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8" w:type="dxa"/>
            <w:tcMar>
              <w:left w:w="28" w:type="dxa"/>
              <w:right w:w="28" w:type="dxa"/>
            </w:tcMar>
            <w:vAlign w:val="center"/>
          </w:tcPr>
          <w:p w14:paraId="48C3975C">
            <w:pPr>
              <w:adjustRightInd w:val="0"/>
              <w:snapToGrid w:val="0"/>
              <w:jc w:val="center"/>
              <w:rPr>
                <w:bCs/>
                <w:color w:val="auto"/>
                <w:sz w:val="24"/>
              </w:rPr>
            </w:pPr>
            <w:r>
              <w:rPr>
                <w:bCs/>
                <w:color w:val="auto"/>
                <w:sz w:val="24"/>
              </w:rPr>
              <w:t>运营</w:t>
            </w:r>
          </w:p>
          <w:p w14:paraId="5C77214C">
            <w:pPr>
              <w:adjustRightInd w:val="0"/>
              <w:snapToGrid w:val="0"/>
              <w:jc w:val="center"/>
              <w:rPr>
                <w:bCs/>
                <w:color w:val="auto"/>
                <w:sz w:val="24"/>
              </w:rPr>
            </w:pPr>
            <w:r>
              <w:rPr>
                <w:bCs/>
                <w:color w:val="auto"/>
                <w:sz w:val="24"/>
              </w:rPr>
              <w:t>期环</w:t>
            </w:r>
          </w:p>
          <w:p w14:paraId="75B85970">
            <w:pPr>
              <w:adjustRightInd w:val="0"/>
              <w:snapToGrid w:val="0"/>
              <w:jc w:val="center"/>
              <w:rPr>
                <w:bCs/>
                <w:color w:val="auto"/>
                <w:sz w:val="24"/>
              </w:rPr>
            </w:pPr>
            <w:r>
              <w:rPr>
                <w:bCs/>
                <w:color w:val="auto"/>
                <w:sz w:val="24"/>
              </w:rPr>
              <w:t>境影</w:t>
            </w:r>
          </w:p>
          <w:p w14:paraId="543C43D7">
            <w:pPr>
              <w:adjustRightInd w:val="0"/>
              <w:snapToGrid w:val="0"/>
              <w:jc w:val="center"/>
              <w:rPr>
                <w:bCs/>
                <w:color w:val="auto"/>
                <w:sz w:val="24"/>
              </w:rPr>
            </w:pPr>
            <w:r>
              <w:rPr>
                <w:bCs/>
                <w:color w:val="auto"/>
                <w:sz w:val="24"/>
              </w:rPr>
              <w:t>响和</w:t>
            </w:r>
          </w:p>
          <w:p w14:paraId="3DCEEF5A">
            <w:pPr>
              <w:adjustRightInd w:val="0"/>
              <w:snapToGrid w:val="0"/>
              <w:jc w:val="center"/>
              <w:rPr>
                <w:bCs/>
                <w:color w:val="auto"/>
                <w:sz w:val="24"/>
              </w:rPr>
            </w:pPr>
            <w:r>
              <w:rPr>
                <w:bCs/>
                <w:color w:val="auto"/>
                <w:sz w:val="24"/>
              </w:rPr>
              <w:t>保护</w:t>
            </w:r>
          </w:p>
          <w:p w14:paraId="60EBEF38">
            <w:pPr>
              <w:adjustRightInd w:val="0"/>
              <w:snapToGrid w:val="0"/>
              <w:jc w:val="center"/>
              <w:rPr>
                <w:bCs/>
                <w:color w:val="auto"/>
                <w:szCs w:val="21"/>
              </w:rPr>
            </w:pPr>
            <w:r>
              <w:rPr>
                <w:bCs/>
                <w:color w:val="auto"/>
                <w:sz w:val="24"/>
              </w:rPr>
              <w:t>措施</w:t>
            </w:r>
          </w:p>
        </w:tc>
        <w:tc>
          <w:tcPr>
            <w:tcW w:w="8471" w:type="dxa"/>
            <w:vAlign w:val="center"/>
          </w:tcPr>
          <w:p w14:paraId="3C1EA5D9">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一、废气影响分析及保护措施</w:t>
            </w:r>
          </w:p>
          <w:p w14:paraId="2BE6C149">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default" w:ascii="Times New Roman" w:hAnsi="Times New Roman" w:eastAsia="宋体" w:cs="Times New Roman"/>
                <w:b/>
                <w:bCs/>
                <w:color w:val="auto"/>
                <w:lang w:val="en-US" w:eastAsia="zh-CN"/>
              </w:rPr>
            </w:pPr>
            <w:r>
              <w:rPr>
                <w:rFonts w:hint="eastAsia" w:cs="Times New Roman"/>
                <w:b/>
                <w:bCs/>
                <w:color w:val="auto"/>
                <w:lang w:val="en-US" w:eastAsia="zh-CN"/>
              </w:rPr>
              <w:t>（一）污水处理系统废气</w:t>
            </w:r>
          </w:p>
          <w:p w14:paraId="61D2D069">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1、废气污染源源强核算</w:t>
            </w:r>
          </w:p>
          <w:p w14:paraId="2529481F">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u w:val="single"/>
                <w:lang w:val="en-US" w:eastAsia="zh-CN"/>
              </w:rPr>
            </w:pPr>
            <w:r>
              <w:rPr>
                <w:rFonts w:hint="eastAsia" w:ascii="Times New Roman" w:hAnsi="Times New Roman" w:eastAsia="宋体" w:cs="Times New Roman"/>
                <w:b w:val="0"/>
                <w:bCs w:val="0"/>
                <w:color w:val="auto"/>
                <w:u w:val="single"/>
                <w:lang w:val="en-US" w:eastAsia="zh-CN"/>
              </w:rPr>
              <w:t>本污水处理厂处理规模为</w:t>
            </w:r>
            <w:r>
              <w:rPr>
                <w:rFonts w:hint="eastAsia" w:cs="Times New Roman"/>
                <w:b w:val="0"/>
                <w:bCs w:val="0"/>
                <w:color w:val="auto"/>
                <w:u w:val="single"/>
                <w:lang w:val="en-US" w:eastAsia="zh-CN"/>
              </w:rPr>
              <w:t>15000</w:t>
            </w:r>
            <w:r>
              <w:rPr>
                <w:rFonts w:hint="eastAsia" w:ascii="Times New Roman" w:hAnsi="Times New Roman" w:eastAsia="宋体" w:cs="Times New Roman"/>
                <w:b w:val="0"/>
                <w:bCs w:val="0"/>
                <w:color w:val="auto"/>
                <w:u w:val="single"/>
                <w:lang w:val="en-US" w:eastAsia="zh-CN"/>
              </w:rPr>
              <w:t>m</w:t>
            </w:r>
            <w:r>
              <w:rPr>
                <w:rFonts w:hint="eastAsia" w:ascii="Times New Roman" w:hAnsi="Times New Roman" w:eastAsia="宋体" w:cs="Times New Roman"/>
                <w:b w:val="0"/>
                <w:bCs w:val="0"/>
                <w:color w:val="auto"/>
                <w:u w:val="single"/>
                <w:vertAlign w:val="superscript"/>
                <w:lang w:val="en-US" w:eastAsia="zh-CN"/>
              </w:rPr>
              <w:t>3</w:t>
            </w:r>
            <w:r>
              <w:rPr>
                <w:rFonts w:hint="eastAsia" w:ascii="Times New Roman" w:hAnsi="Times New Roman" w:eastAsia="宋体" w:cs="Times New Roman"/>
                <w:b w:val="0"/>
                <w:bCs w:val="0"/>
                <w:color w:val="auto"/>
                <w:u w:val="single"/>
                <w:lang w:val="en-US" w:eastAsia="zh-CN"/>
              </w:rPr>
              <w:t>/d，</w:t>
            </w:r>
            <w:r>
              <w:rPr>
                <w:rFonts w:hint="eastAsia"/>
                <w:color w:val="auto"/>
                <w:u w:val="single"/>
                <w:lang w:val="en-US" w:eastAsia="zh-CN"/>
              </w:rPr>
              <w:t>本项目废气主要为污水处理系统运行产生的恶臭，产生恶臭的环节较多，本项目共设置1套臭气处理系统。主要针对粗格栅及提升泵站、细格栅及旋流沉砂池、水解酸化池、生化区域的厌氧区、缺氧区、污泥泵站、污泥浓缩池、污泥均衡池、污泥脱水机房的臭气收集管路系统和处理系统进行设计。各区域臭气收集后统一输送至除臭设备中，每个除臭单体均应设置不少于一个风阀。污泥构筑物排出的臭气采用生物滤池方法除臭。</w:t>
            </w:r>
          </w:p>
          <w:p w14:paraId="27FC2C5A">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根据美国EPA对城市污水处理厂恶臭污染物产生情况的研究，每处理1g的BOD</w:t>
            </w:r>
            <w:r>
              <w:rPr>
                <w:rFonts w:hint="eastAsia" w:ascii="Times New Roman" w:hAnsi="Times New Roman" w:eastAsia="宋体" w:cs="Times New Roman"/>
                <w:b w:val="0"/>
                <w:bCs w:val="0"/>
                <w:color w:val="auto"/>
                <w:vertAlign w:val="subscript"/>
                <w:lang w:val="en-US" w:eastAsia="zh-CN"/>
              </w:rPr>
              <w:t>5</w:t>
            </w:r>
            <w:r>
              <w:rPr>
                <w:rFonts w:hint="eastAsia" w:ascii="Times New Roman" w:hAnsi="Times New Roman" w:eastAsia="宋体" w:cs="Times New Roman"/>
                <w:b w:val="0"/>
                <w:bCs w:val="0"/>
                <w:color w:val="auto"/>
                <w:lang w:val="en-US" w:eastAsia="zh-CN"/>
              </w:rPr>
              <w:t>，可产生0.0031g的NH</w:t>
            </w:r>
            <w:r>
              <w:rPr>
                <w:rFonts w:hint="eastAsia" w:ascii="Times New Roman" w:hAnsi="Times New Roman" w:eastAsia="宋体" w:cs="Times New Roman"/>
                <w:b w:val="0"/>
                <w:bCs w:val="0"/>
                <w:color w:val="auto"/>
                <w:vertAlign w:val="subscript"/>
                <w:lang w:val="en-US" w:eastAsia="zh-CN"/>
              </w:rPr>
              <w:t>3</w:t>
            </w:r>
            <w:r>
              <w:rPr>
                <w:rFonts w:hint="eastAsia" w:ascii="Times New Roman" w:hAnsi="Times New Roman" w:eastAsia="宋体" w:cs="Times New Roman"/>
                <w:b w:val="0"/>
                <w:bCs w:val="0"/>
                <w:color w:val="auto"/>
                <w:lang w:val="en-US" w:eastAsia="zh-CN"/>
              </w:rPr>
              <w:t>和0.00012g的H</w:t>
            </w:r>
            <w:r>
              <w:rPr>
                <w:rFonts w:hint="eastAsia" w:ascii="Times New Roman" w:hAnsi="Times New Roman" w:eastAsia="宋体" w:cs="Times New Roman"/>
                <w:b w:val="0"/>
                <w:bCs w:val="0"/>
                <w:color w:val="auto"/>
                <w:vertAlign w:val="subscript"/>
                <w:lang w:val="en-US" w:eastAsia="zh-CN"/>
              </w:rPr>
              <w:t>2</w:t>
            </w:r>
            <w:r>
              <w:rPr>
                <w:rFonts w:hint="eastAsia" w:ascii="Times New Roman" w:hAnsi="Times New Roman" w:eastAsia="宋体" w:cs="Times New Roman"/>
                <w:b w:val="0"/>
                <w:bCs w:val="0"/>
                <w:color w:val="auto"/>
                <w:lang w:val="en-US" w:eastAsia="zh-CN"/>
              </w:rPr>
              <w:t>S。本项目NH</w:t>
            </w:r>
            <w:r>
              <w:rPr>
                <w:rFonts w:hint="eastAsia" w:ascii="Times New Roman" w:hAnsi="Times New Roman" w:eastAsia="宋体" w:cs="Times New Roman"/>
                <w:b w:val="0"/>
                <w:bCs w:val="0"/>
                <w:color w:val="auto"/>
                <w:vertAlign w:val="subscript"/>
                <w:lang w:val="en-US" w:eastAsia="zh-CN"/>
              </w:rPr>
              <w:t>3</w:t>
            </w:r>
            <w:r>
              <w:rPr>
                <w:rFonts w:hint="eastAsia" w:ascii="Times New Roman" w:hAnsi="Times New Roman" w:eastAsia="宋体" w:cs="Times New Roman"/>
                <w:b w:val="0"/>
                <w:bCs w:val="0"/>
                <w:color w:val="auto"/>
                <w:lang w:val="en-US" w:eastAsia="zh-CN"/>
              </w:rPr>
              <w:t>及H</w:t>
            </w:r>
            <w:r>
              <w:rPr>
                <w:rFonts w:hint="eastAsia" w:ascii="Times New Roman" w:hAnsi="Times New Roman" w:eastAsia="宋体" w:cs="Times New Roman"/>
                <w:b w:val="0"/>
                <w:bCs w:val="0"/>
                <w:color w:val="auto"/>
                <w:vertAlign w:val="subscript"/>
                <w:lang w:val="en-US" w:eastAsia="zh-CN"/>
              </w:rPr>
              <w:t>2</w:t>
            </w:r>
            <w:r>
              <w:rPr>
                <w:rFonts w:hint="eastAsia" w:ascii="Times New Roman" w:hAnsi="Times New Roman" w:eastAsia="宋体" w:cs="Times New Roman"/>
                <w:b w:val="0"/>
                <w:bCs w:val="0"/>
                <w:color w:val="auto"/>
                <w:lang w:val="en-US" w:eastAsia="zh-CN"/>
              </w:rPr>
              <w:t>S的产生情况见表4-1。</w:t>
            </w:r>
          </w:p>
          <w:p w14:paraId="60F08074">
            <w:pPr>
              <w:keepNext w:val="0"/>
              <w:keepLines w:val="0"/>
              <w:pageBreakBefore w:val="0"/>
              <w:widowControl w:val="0"/>
              <w:kinsoku/>
              <w:wordWrap/>
              <w:overflowPunct/>
              <w:topLinePunct w:val="0"/>
              <w:autoSpaceDE/>
              <w:autoSpaceDN/>
              <w:bidi w:val="0"/>
              <w:adjustRightInd/>
              <w:snapToGrid/>
              <w:spacing w:before="48" w:beforeLines="15" w:after="48" w:afterLines="15" w:line="240" w:lineRule="auto"/>
              <w:jc w:val="center"/>
              <w:textAlignment w:val="auto"/>
              <w:rPr>
                <w:rFonts w:hint="eastAsia"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表4-1  项目恶臭源强计算结果</w:t>
            </w:r>
          </w:p>
          <w:tbl>
            <w:tblPr>
              <w:tblStyle w:val="33"/>
              <w:tblW w:w="8177"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89"/>
              <w:gridCol w:w="2010"/>
              <w:gridCol w:w="1714"/>
              <w:gridCol w:w="1537"/>
              <w:gridCol w:w="1627"/>
            </w:tblGrid>
            <w:tr w14:paraId="7EE885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trPr>
              <w:tc>
                <w:tcPr>
                  <w:tcW w:w="1289" w:type="dxa"/>
                  <w:tcBorders>
                    <w:tl2br w:val="nil"/>
                    <w:tr2bl w:val="nil"/>
                  </w:tcBorders>
                  <w:vAlign w:val="center"/>
                </w:tcPr>
                <w:p w14:paraId="586B758D">
                  <w:pPr>
                    <w:pStyle w:val="78"/>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b/>
                      <w:bCs/>
                      <w:color w:val="auto"/>
                      <w:sz w:val="21"/>
                      <w:szCs w:val="21"/>
                      <w:highlight w:val="none"/>
                      <w:lang w:val="en-US" w:eastAsia="zh-CN"/>
                    </w:rPr>
                  </w:pPr>
                  <w:r>
                    <w:rPr>
                      <w:rFonts w:hint="eastAsia" w:ascii="Times New Roman" w:hAnsi="Times New Roman" w:eastAsia="宋体"/>
                      <w:b/>
                      <w:bCs/>
                      <w:color w:val="auto"/>
                      <w:sz w:val="21"/>
                      <w:szCs w:val="21"/>
                      <w:highlight w:val="none"/>
                      <w:lang w:val="en-US" w:eastAsia="zh-CN"/>
                    </w:rPr>
                    <w:t>污染因子</w:t>
                  </w:r>
                </w:p>
              </w:tc>
              <w:tc>
                <w:tcPr>
                  <w:tcW w:w="2010" w:type="dxa"/>
                  <w:tcBorders>
                    <w:tl2br w:val="nil"/>
                    <w:tr2bl w:val="nil"/>
                  </w:tcBorders>
                  <w:vAlign w:val="center"/>
                </w:tcPr>
                <w:p w14:paraId="58E86B7F">
                  <w:pPr>
                    <w:pStyle w:val="78"/>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b/>
                      <w:bCs/>
                      <w:color w:val="auto"/>
                      <w:sz w:val="21"/>
                      <w:szCs w:val="21"/>
                      <w:highlight w:val="none"/>
                      <w:lang w:val="en-US" w:eastAsia="zh-CN"/>
                    </w:rPr>
                  </w:pPr>
                  <w:r>
                    <w:rPr>
                      <w:rFonts w:hint="eastAsia" w:ascii="Times New Roman" w:hAnsi="Times New Roman" w:eastAsia="宋体"/>
                      <w:b/>
                      <w:bCs/>
                      <w:color w:val="auto"/>
                      <w:sz w:val="21"/>
                      <w:szCs w:val="21"/>
                      <w:highlight w:val="none"/>
                      <w:lang w:val="en-US" w:eastAsia="zh-CN"/>
                    </w:rPr>
                    <w:t>产生系数</w:t>
                  </w:r>
                </w:p>
              </w:tc>
              <w:tc>
                <w:tcPr>
                  <w:tcW w:w="1714" w:type="dxa"/>
                  <w:tcBorders>
                    <w:tl2br w:val="nil"/>
                    <w:tr2bl w:val="nil"/>
                  </w:tcBorders>
                  <w:vAlign w:val="center"/>
                </w:tcPr>
                <w:p w14:paraId="41F78921">
                  <w:pPr>
                    <w:pStyle w:val="78"/>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b/>
                      <w:bCs/>
                      <w:color w:val="auto"/>
                      <w:sz w:val="21"/>
                      <w:szCs w:val="21"/>
                      <w:highlight w:val="none"/>
                      <w:lang w:val="en-US" w:eastAsia="zh-CN"/>
                    </w:rPr>
                  </w:pPr>
                  <w:r>
                    <w:rPr>
                      <w:rFonts w:hint="eastAsia" w:ascii="Times New Roman" w:hAnsi="Times New Roman" w:eastAsia="宋体"/>
                      <w:b/>
                      <w:bCs/>
                      <w:color w:val="auto"/>
                      <w:sz w:val="21"/>
                      <w:szCs w:val="21"/>
                      <w:highlight w:val="none"/>
                      <w:lang w:val="en-US" w:eastAsia="zh-CN"/>
                    </w:rPr>
                    <w:t>BOD</w:t>
                  </w:r>
                  <w:r>
                    <w:rPr>
                      <w:rFonts w:hint="eastAsia" w:ascii="Times New Roman" w:hAnsi="Times New Roman" w:eastAsia="宋体"/>
                      <w:b/>
                      <w:bCs/>
                      <w:color w:val="auto"/>
                      <w:sz w:val="21"/>
                      <w:szCs w:val="21"/>
                      <w:highlight w:val="none"/>
                      <w:vertAlign w:val="subscript"/>
                      <w:lang w:val="en-US" w:eastAsia="zh-CN"/>
                    </w:rPr>
                    <w:t>5</w:t>
                  </w:r>
                  <w:r>
                    <w:rPr>
                      <w:rFonts w:hint="eastAsia" w:ascii="Times New Roman" w:hAnsi="Times New Roman" w:eastAsia="宋体"/>
                      <w:b/>
                      <w:bCs/>
                      <w:color w:val="auto"/>
                      <w:sz w:val="21"/>
                      <w:szCs w:val="21"/>
                      <w:highlight w:val="none"/>
                      <w:lang w:val="en-US" w:eastAsia="zh-CN"/>
                    </w:rPr>
                    <w:t>处理量</w:t>
                  </w:r>
                </w:p>
              </w:tc>
              <w:tc>
                <w:tcPr>
                  <w:tcW w:w="1537" w:type="dxa"/>
                  <w:tcBorders>
                    <w:tl2br w:val="nil"/>
                    <w:tr2bl w:val="nil"/>
                  </w:tcBorders>
                  <w:vAlign w:val="center"/>
                </w:tcPr>
                <w:p w14:paraId="2E4C7685">
                  <w:pPr>
                    <w:pStyle w:val="78"/>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b/>
                      <w:bCs/>
                      <w:color w:val="auto"/>
                      <w:sz w:val="21"/>
                      <w:szCs w:val="21"/>
                      <w:highlight w:val="none"/>
                      <w:lang w:val="en-US" w:eastAsia="zh-CN"/>
                    </w:rPr>
                  </w:pPr>
                  <w:r>
                    <w:rPr>
                      <w:rFonts w:hint="eastAsia" w:ascii="Times New Roman" w:hAnsi="Times New Roman" w:eastAsia="宋体"/>
                      <w:b/>
                      <w:bCs/>
                      <w:color w:val="auto"/>
                      <w:sz w:val="21"/>
                      <w:szCs w:val="21"/>
                      <w:highlight w:val="none"/>
                      <w:lang w:val="en-US" w:eastAsia="zh-CN"/>
                    </w:rPr>
                    <w:t>产生速率</w:t>
                  </w:r>
                </w:p>
              </w:tc>
              <w:tc>
                <w:tcPr>
                  <w:tcW w:w="1627" w:type="dxa"/>
                  <w:tcBorders>
                    <w:tl2br w:val="nil"/>
                    <w:tr2bl w:val="nil"/>
                  </w:tcBorders>
                  <w:vAlign w:val="center"/>
                </w:tcPr>
                <w:p w14:paraId="1B10E539">
                  <w:pPr>
                    <w:pStyle w:val="78"/>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b/>
                      <w:bCs/>
                      <w:color w:val="auto"/>
                      <w:sz w:val="21"/>
                      <w:szCs w:val="21"/>
                      <w:highlight w:val="none"/>
                      <w:lang w:val="en-US" w:eastAsia="zh-CN"/>
                    </w:rPr>
                  </w:pPr>
                  <w:r>
                    <w:rPr>
                      <w:rFonts w:hint="eastAsia" w:ascii="Times New Roman" w:hAnsi="Times New Roman" w:eastAsia="宋体"/>
                      <w:b/>
                      <w:bCs/>
                      <w:color w:val="auto"/>
                      <w:sz w:val="21"/>
                      <w:szCs w:val="21"/>
                      <w:highlight w:val="none"/>
                      <w:lang w:val="en-US" w:eastAsia="zh-CN"/>
                    </w:rPr>
                    <w:t>产生量</w:t>
                  </w:r>
                </w:p>
              </w:tc>
            </w:tr>
            <w:tr w14:paraId="3BC40E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1289" w:type="dxa"/>
                  <w:tcBorders>
                    <w:tl2br w:val="nil"/>
                    <w:tr2bl w:val="nil"/>
                  </w:tcBorders>
                  <w:vAlign w:val="center"/>
                </w:tcPr>
                <w:p w14:paraId="0BE5AB24">
                  <w:pPr>
                    <w:pStyle w:val="78"/>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NH</w:t>
                  </w:r>
                  <w:r>
                    <w:rPr>
                      <w:rFonts w:hint="eastAsia" w:ascii="Times New Roman" w:hAnsi="Times New Roman" w:eastAsia="宋体"/>
                      <w:color w:val="auto"/>
                      <w:sz w:val="21"/>
                      <w:szCs w:val="21"/>
                      <w:highlight w:val="none"/>
                      <w:vertAlign w:val="subscript"/>
                      <w:lang w:val="en-US" w:eastAsia="zh-CN"/>
                    </w:rPr>
                    <w:t>3</w:t>
                  </w:r>
                </w:p>
              </w:tc>
              <w:tc>
                <w:tcPr>
                  <w:tcW w:w="2010" w:type="dxa"/>
                  <w:tcBorders>
                    <w:tl2br w:val="nil"/>
                    <w:tr2bl w:val="nil"/>
                  </w:tcBorders>
                  <w:vAlign w:val="center"/>
                </w:tcPr>
                <w:p w14:paraId="5FAA455C">
                  <w:pPr>
                    <w:pStyle w:val="78"/>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0.0031g/gBOD</w:t>
                  </w:r>
                  <w:r>
                    <w:rPr>
                      <w:rFonts w:hint="eastAsia" w:ascii="Times New Roman" w:hAnsi="Times New Roman" w:eastAsia="宋体"/>
                      <w:color w:val="auto"/>
                      <w:sz w:val="21"/>
                      <w:szCs w:val="21"/>
                      <w:highlight w:val="none"/>
                      <w:vertAlign w:val="subscript"/>
                      <w:lang w:val="en-US" w:eastAsia="zh-CN"/>
                    </w:rPr>
                    <w:t>5</w:t>
                  </w:r>
                </w:p>
              </w:tc>
              <w:tc>
                <w:tcPr>
                  <w:tcW w:w="1714" w:type="dxa"/>
                  <w:vMerge w:val="restart"/>
                  <w:tcBorders>
                    <w:tl2br w:val="nil"/>
                    <w:tr2bl w:val="nil"/>
                  </w:tcBorders>
                  <w:vAlign w:val="center"/>
                </w:tcPr>
                <w:p w14:paraId="6488F586">
                  <w:pPr>
                    <w:pStyle w:val="78"/>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657t/a</w:t>
                  </w:r>
                </w:p>
              </w:tc>
              <w:tc>
                <w:tcPr>
                  <w:tcW w:w="1537" w:type="dxa"/>
                  <w:tcBorders>
                    <w:tl2br w:val="nil"/>
                    <w:tr2bl w:val="nil"/>
                  </w:tcBorders>
                  <w:vAlign w:val="center"/>
                </w:tcPr>
                <w:p w14:paraId="219C68B3">
                  <w:pPr>
                    <w:pStyle w:val="78"/>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0.2325kg/h</w:t>
                  </w:r>
                </w:p>
              </w:tc>
              <w:tc>
                <w:tcPr>
                  <w:tcW w:w="1627" w:type="dxa"/>
                  <w:tcBorders>
                    <w:tl2br w:val="nil"/>
                    <w:tr2bl w:val="nil"/>
                  </w:tcBorders>
                  <w:vAlign w:val="center"/>
                </w:tcPr>
                <w:p w14:paraId="7279E662">
                  <w:pPr>
                    <w:pStyle w:val="78"/>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2.04t</w:t>
                  </w:r>
                  <w:r>
                    <w:rPr>
                      <w:rFonts w:hint="eastAsia" w:ascii="Times New Roman" w:hAnsi="Times New Roman" w:eastAsia="宋体"/>
                      <w:color w:val="auto"/>
                      <w:sz w:val="21"/>
                      <w:szCs w:val="21"/>
                      <w:highlight w:val="none"/>
                      <w:lang w:val="en-US" w:eastAsia="zh-CN"/>
                    </w:rPr>
                    <w:t>/a</w:t>
                  </w:r>
                </w:p>
              </w:tc>
            </w:tr>
            <w:tr w14:paraId="32F787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1289" w:type="dxa"/>
                  <w:tcBorders>
                    <w:tl2br w:val="nil"/>
                    <w:tr2bl w:val="nil"/>
                  </w:tcBorders>
                  <w:vAlign w:val="center"/>
                </w:tcPr>
                <w:p w14:paraId="5A0AF613">
                  <w:pPr>
                    <w:pStyle w:val="78"/>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H</w:t>
                  </w:r>
                  <w:r>
                    <w:rPr>
                      <w:rFonts w:hint="eastAsia" w:ascii="Times New Roman" w:hAnsi="Times New Roman" w:eastAsia="宋体"/>
                      <w:color w:val="auto"/>
                      <w:sz w:val="21"/>
                      <w:szCs w:val="21"/>
                      <w:highlight w:val="none"/>
                      <w:vertAlign w:val="subscript"/>
                      <w:lang w:val="en-US" w:eastAsia="zh-CN"/>
                    </w:rPr>
                    <w:t>2</w:t>
                  </w:r>
                  <w:r>
                    <w:rPr>
                      <w:rFonts w:hint="eastAsia" w:ascii="Times New Roman" w:hAnsi="Times New Roman" w:eastAsia="宋体"/>
                      <w:color w:val="auto"/>
                      <w:sz w:val="21"/>
                      <w:szCs w:val="21"/>
                      <w:highlight w:val="none"/>
                      <w:lang w:val="en-US" w:eastAsia="zh-CN"/>
                    </w:rPr>
                    <w:t>S</w:t>
                  </w:r>
                </w:p>
              </w:tc>
              <w:tc>
                <w:tcPr>
                  <w:tcW w:w="2010" w:type="dxa"/>
                  <w:tcBorders>
                    <w:tl2br w:val="nil"/>
                    <w:tr2bl w:val="nil"/>
                  </w:tcBorders>
                  <w:vAlign w:val="center"/>
                </w:tcPr>
                <w:p w14:paraId="3CC1DE45">
                  <w:pPr>
                    <w:pStyle w:val="78"/>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0.00012g/gBOD</w:t>
                  </w:r>
                  <w:r>
                    <w:rPr>
                      <w:rFonts w:hint="eastAsia" w:ascii="Times New Roman" w:hAnsi="Times New Roman" w:eastAsia="宋体"/>
                      <w:color w:val="auto"/>
                      <w:sz w:val="21"/>
                      <w:szCs w:val="21"/>
                      <w:highlight w:val="none"/>
                      <w:vertAlign w:val="subscript"/>
                      <w:lang w:val="en-US" w:eastAsia="zh-CN"/>
                    </w:rPr>
                    <w:t>5</w:t>
                  </w:r>
                </w:p>
              </w:tc>
              <w:tc>
                <w:tcPr>
                  <w:tcW w:w="1714" w:type="dxa"/>
                  <w:vMerge w:val="continue"/>
                  <w:tcBorders>
                    <w:tl2br w:val="nil"/>
                    <w:tr2bl w:val="nil"/>
                  </w:tcBorders>
                  <w:vAlign w:val="center"/>
                </w:tcPr>
                <w:p w14:paraId="2246993E">
                  <w:pPr>
                    <w:pStyle w:val="78"/>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olor w:val="auto"/>
                      <w:sz w:val="21"/>
                      <w:szCs w:val="21"/>
                      <w:highlight w:val="none"/>
                      <w:lang w:val="en-US" w:eastAsia="zh-CN"/>
                    </w:rPr>
                  </w:pPr>
                </w:p>
              </w:tc>
              <w:tc>
                <w:tcPr>
                  <w:tcW w:w="1537" w:type="dxa"/>
                  <w:tcBorders>
                    <w:tl2br w:val="nil"/>
                    <w:tr2bl w:val="nil"/>
                  </w:tcBorders>
                  <w:vAlign w:val="center"/>
                </w:tcPr>
                <w:p w14:paraId="279963F3">
                  <w:pPr>
                    <w:pStyle w:val="78"/>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0.009k</w:t>
                  </w:r>
                  <w:r>
                    <w:rPr>
                      <w:rFonts w:hint="eastAsia" w:ascii="Times New Roman" w:hAnsi="Times New Roman" w:eastAsia="宋体"/>
                      <w:color w:val="auto"/>
                      <w:sz w:val="21"/>
                      <w:szCs w:val="21"/>
                      <w:highlight w:val="none"/>
                      <w:lang w:val="en-US" w:eastAsia="zh-CN"/>
                    </w:rPr>
                    <w:t>g/h</w:t>
                  </w:r>
                </w:p>
              </w:tc>
              <w:tc>
                <w:tcPr>
                  <w:tcW w:w="1627" w:type="dxa"/>
                  <w:tcBorders>
                    <w:tl2br w:val="nil"/>
                    <w:tr2bl w:val="nil"/>
                  </w:tcBorders>
                  <w:vAlign w:val="center"/>
                </w:tcPr>
                <w:p w14:paraId="5DA9B0B4">
                  <w:pPr>
                    <w:pStyle w:val="78"/>
                    <w:keepNext w:val="0"/>
                    <w:keepLines w:val="0"/>
                    <w:pageBreakBefore w:val="0"/>
                    <w:widowControl/>
                    <w:kinsoku/>
                    <w:wordWrap/>
                    <w:overflowPunct/>
                    <w:topLinePunct w:val="0"/>
                    <w:autoSpaceDE/>
                    <w:autoSpaceDN/>
                    <w:bidi w:val="0"/>
                    <w:adjustRightInd/>
                    <w:snapToGrid/>
                    <w:spacing w:before="0" w:beforeLines="0" w:after="0" w:afterLines="0" w:line="240" w:lineRule="auto"/>
                    <w:ind w:firstLine="0" w:firstLineChars="0"/>
                    <w:jc w:val="center"/>
                    <w:textAlignment w:val="auto"/>
                    <w:rPr>
                      <w:rFonts w:hint="eastAsia" w:ascii="Times New Roman" w:hAnsi="Times New Roman" w:eastAsia="宋体"/>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0.079t</w:t>
                  </w:r>
                  <w:r>
                    <w:rPr>
                      <w:rFonts w:hint="eastAsia" w:ascii="Times New Roman" w:hAnsi="Times New Roman" w:eastAsia="宋体"/>
                      <w:color w:val="auto"/>
                      <w:sz w:val="21"/>
                      <w:szCs w:val="21"/>
                      <w:highlight w:val="none"/>
                      <w:lang w:val="en-US" w:eastAsia="zh-CN"/>
                    </w:rPr>
                    <w:t>/a</w:t>
                  </w:r>
                </w:p>
              </w:tc>
            </w:tr>
          </w:tbl>
          <w:p w14:paraId="3E82FEF7">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从恶臭来源和恶臭气体源强可知，本工程污水处理厂规模较小，恶臭气体产生量较小、浓度较低。</w:t>
            </w:r>
          </w:p>
          <w:p w14:paraId="787DAD90">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2、治理措施</w:t>
            </w:r>
          </w:p>
          <w:p w14:paraId="305BC05F">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default" w:ascii="Times New Roman" w:hAnsi="Times New Roman" w:eastAsia="宋体" w:cs="Times New Roman"/>
                <w:b w:val="0"/>
                <w:bCs w:val="0"/>
                <w:color w:val="auto"/>
                <w:u w:val="single"/>
                <w:lang w:val="en-US" w:eastAsia="zh-CN"/>
              </w:rPr>
            </w:pPr>
            <w:r>
              <w:rPr>
                <w:rFonts w:hint="eastAsia" w:ascii="Times New Roman" w:hAnsi="Times New Roman" w:eastAsia="宋体" w:cs="Times New Roman"/>
                <w:b w:val="0"/>
                <w:bCs w:val="0"/>
                <w:color w:val="auto"/>
                <w:u w:val="single"/>
                <w:lang w:val="en-US" w:eastAsia="zh-CN"/>
              </w:rPr>
              <w:t>（1）</w:t>
            </w:r>
            <w:r>
              <w:rPr>
                <w:rFonts w:hint="eastAsia" w:cs="Times New Roman"/>
                <w:b w:val="0"/>
                <w:bCs w:val="0"/>
                <w:color w:val="auto"/>
                <w:u w:val="single"/>
                <w:lang w:val="en-US" w:eastAsia="zh-CN"/>
              </w:rPr>
              <w:t>设置生物除臭，负压收集进入生物滤池，经处理达标经15米高排气筒排放。本项目格栅、水解酸化、AAO、污泥池构筑物加盖（全封闭方式），设置出气孔，污泥构筑物排出的臭气采用生物滤池方法除臭。</w:t>
            </w:r>
          </w:p>
          <w:p w14:paraId="23A910C2">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lang w:val="en-US" w:eastAsia="zh-CN"/>
              </w:rPr>
            </w:pPr>
            <w:r>
              <w:rPr>
                <w:rFonts w:hint="eastAsia" w:cs="Times New Roman"/>
                <w:b w:val="0"/>
                <w:bCs w:val="0"/>
                <w:color w:val="auto"/>
                <w:lang w:val="en-US" w:eastAsia="zh-CN"/>
              </w:rPr>
              <w:t>（2）</w:t>
            </w:r>
            <w:r>
              <w:rPr>
                <w:rFonts w:hint="eastAsia" w:ascii="Times New Roman" w:hAnsi="Times New Roman" w:eastAsia="宋体" w:cs="Times New Roman"/>
                <w:b w:val="0"/>
                <w:bCs w:val="0"/>
                <w:color w:val="auto"/>
                <w:lang w:val="en-US" w:eastAsia="zh-CN"/>
              </w:rPr>
              <w:t>通过机械+自然通风相结合的方式加强通风，设置厂区绿化隔离带。</w:t>
            </w:r>
          </w:p>
          <w:p w14:paraId="30733E90">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2）加强处理站及厂界绿化。在道路、各构筑物四周、厂界及空地上实施绿化，选择种植不同系列的树种，特别是具有抗污染、吸收有害气体作用的灌乔木，组成防止恶臭的多层防护隔离带，尽量降低恶臭污染的影响。</w:t>
            </w:r>
          </w:p>
          <w:p w14:paraId="26941038">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（3）加强管理工作，做到栅渣、日产日清运，缩短其在厂内的停留时间，削减厂区内恶臭源强度及数量。</w:t>
            </w:r>
          </w:p>
          <w:p w14:paraId="10C8F892">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（4）污泥运输车辆密闭，避开运输高峰期。</w:t>
            </w:r>
          </w:p>
          <w:p w14:paraId="667533E5">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（5）厂界及厂内加强卫生防疫工作，定期进行消毒及杀灭蚊、蝇。加强厂内员工个人劳动卫生保护。</w:t>
            </w:r>
          </w:p>
          <w:p w14:paraId="77E86CBF">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恶臭是拟建项目的敏感环境影响因子，采取上述措施后，可以把项目运营后对周围环境的影响降至最低限度。</w:t>
            </w:r>
          </w:p>
          <w:p w14:paraId="06A0C14E">
            <w:pPr>
              <w:pStyle w:val="127"/>
              <w:keepNext w:val="0"/>
              <w:keepLines w:val="0"/>
              <w:pageBreakBefore w:val="0"/>
              <w:widowControl w:val="0"/>
              <w:numPr>
                <w:ilvl w:val="0"/>
                <w:numId w:val="1"/>
              </w:numPr>
              <w:kinsoku/>
              <w:wordWrap/>
              <w:overflowPunct/>
              <w:topLinePunct w:val="0"/>
              <w:autoSpaceDE/>
              <w:autoSpaceDN/>
              <w:bidi w:val="0"/>
              <w:adjustRightInd/>
              <w:snapToGrid/>
              <w:spacing w:before="0" w:beforeLines="0" w:line="360" w:lineRule="auto"/>
              <w:ind w:left="0" w:leftChars="0" w:firstLine="361" w:firstLineChars="150"/>
              <w:textAlignment w:val="auto"/>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污染物排放一览表</w:t>
            </w:r>
          </w:p>
          <w:p w14:paraId="661AE50D">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根据武汉练达检测技术有限公司的程小红编写的《湖北省污水处理厂常见恶臭气体治理技术的综述》可知，一般情况下，生物滤池处理恶臭气体的效率通常在90%以上。经上述措施治理后，污水处理厂臭气经1根15米高排气筒排放</w:t>
            </w:r>
            <w:r>
              <w:rPr>
                <w:rFonts w:hint="eastAsia" w:cs="Times New Roman"/>
                <w:b w:val="0"/>
                <w:bCs w:val="0"/>
                <w:color w:val="auto"/>
                <w:lang w:val="en-US" w:eastAsia="zh-CN"/>
              </w:rPr>
              <w:t>，根据项目可研报告可知，</w:t>
            </w:r>
            <w:r>
              <w:rPr>
                <w:rFonts w:hint="eastAsia" w:ascii="Times New Roman" w:hAnsi="Times New Roman" w:eastAsia="宋体" w:cs="Times New Roman"/>
                <w:b w:val="0"/>
                <w:bCs w:val="0"/>
                <w:color w:val="auto"/>
                <w:lang w:val="en-US" w:eastAsia="zh-CN"/>
              </w:rPr>
              <w:t>本项目设计风机量为28500m</w:t>
            </w:r>
            <w:r>
              <w:rPr>
                <w:rFonts w:hint="eastAsia" w:ascii="Times New Roman" w:hAnsi="Times New Roman" w:eastAsia="宋体" w:cs="Times New Roman"/>
                <w:b w:val="0"/>
                <w:bCs w:val="0"/>
                <w:color w:val="auto"/>
                <w:vertAlign w:val="superscript"/>
                <w:lang w:val="en-US" w:eastAsia="zh-CN"/>
              </w:rPr>
              <w:t>3</w:t>
            </w:r>
            <w:r>
              <w:rPr>
                <w:rFonts w:hint="eastAsia" w:ascii="Times New Roman" w:hAnsi="Times New Roman" w:eastAsia="宋体" w:cs="Times New Roman"/>
                <w:b w:val="0"/>
                <w:bCs w:val="0"/>
                <w:color w:val="auto"/>
                <w:lang w:val="en-US" w:eastAsia="zh-CN"/>
              </w:rPr>
              <w:t>/h。</w:t>
            </w:r>
          </w:p>
          <w:p w14:paraId="2D25F607">
            <w:pPr>
              <w:pStyle w:val="145"/>
              <w:keepNext w:val="0"/>
              <w:keepLines w:val="0"/>
              <w:pageBreakBefore w:val="0"/>
              <w:widowControl w:val="0"/>
              <w:tabs>
                <w:tab w:val="left" w:pos="2976"/>
              </w:tabs>
              <w:kinsoku/>
              <w:wordWrap/>
              <w:overflowPunct/>
              <w:topLinePunct w:val="0"/>
              <w:autoSpaceDE/>
              <w:autoSpaceDN/>
              <w:bidi w:val="0"/>
              <w:adjustRightInd w:val="0"/>
              <w:snapToGrid/>
              <w:spacing w:before="0" w:line="240" w:lineRule="auto"/>
              <w:ind w:firstLine="0" w:firstLineChars="0"/>
              <w:jc w:val="center"/>
              <w:textAlignment w:val="baseline"/>
              <w:rPr>
                <w:rFonts w:hint="eastAsia" w:ascii="Times New Roman" w:hAnsi="Times New Roman" w:eastAsia="宋体" w:cs="Times New Roman"/>
                <w:b/>
                <w:bCs/>
                <w:color w:val="auto"/>
                <w:spacing w:val="0"/>
                <w:w w:val="100"/>
                <w:kern w:val="0"/>
                <w:sz w:val="21"/>
                <w:szCs w:val="20"/>
                <w:u w:val="single"/>
                <w:lang w:val="zh-CN" w:eastAsia="zh-CN" w:bidi="ar-SA"/>
              </w:rPr>
            </w:pPr>
            <w:r>
              <w:rPr>
                <w:rFonts w:hint="eastAsia" w:ascii="Times New Roman" w:hAnsi="Times New Roman" w:eastAsia="宋体" w:cs="Times New Roman"/>
                <w:b/>
                <w:bCs/>
                <w:color w:val="auto"/>
                <w:spacing w:val="0"/>
                <w:w w:val="100"/>
                <w:kern w:val="0"/>
                <w:sz w:val="21"/>
                <w:szCs w:val="20"/>
                <w:u w:val="single"/>
                <w:lang w:val="zh-CN" w:eastAsia="zh-CN" w:bidi="ar-SA"/>
              </w:rPr>
              <w:t>表</w:t>
            </w:r>
            <w:r>
              <w:rPr>
                <w:rFonts w:hint="eastAsia" w:ascii="Times New Roman" w:hAnsi="Times New Roman" w:eastAsia="宋体" w:cs="Times New Roman"/>
                <w:b/>
                <w:bCs/>
                <w:color w:val="auto"/>
                <w:spacing w:val="0"/>
                <w:w w:val="100"/>
                <w:kern w:val="0"/>
                <w:sz w:val="21"/>
                <w:szCs w:val="20"/>
                <w:u w:val="single"/>
                <w:lang w:val="en-US" w:eastAsia="zh-CN" w:bidi="ar-SA"/>
              </w:rPr>
              <w:t>4</w:t>
            </w:r>
            <w:r>
              <w:rPr>
                <w:rFonts w:hint="eastAsia" w:ascii="Times New Roman" w:hAnsi="Times New Roman" w:eastAsia="宋体" w:cs="Times New Roman"/>
                <w:b/>
                <w:bCs/>
                <w:color w:val="auto"/>
                <w:spacing w:val="0"/>
                <w:w w:val="100"/>
                <w:kern w:val="0"/>
                <w:sz w:val="21"/>
                <w:szCs w:val="20"/>
                <w:u w:val="single"/>
                <w:lang w:val="zh-CN" w:eastAsia="zh-CN" w:bidi="ar-SA"/>
              </w:rPr>
              <w:t>-</w:t>
            </w:r>
            <w:r>
              <w:rPr>
                <w:rFonts w:hint="eastAsia" w:ascii="Times New Roman" w:hAnsi="Times New Roman" w:cs="Times New Roman"/>
                <w:b/>
                <w:bCs/>
                <w:color w:val="auto"/>
                <w:spacing w:val="0"/>
                <w:w w:val="100"/>
                <w:kern w:val="0"/>
                <w:sz w:val="21"/>
                <w:szCs w:val="20"/>
                <w:u w:val="single"/>
                <w:lang w:val="en-US" w:eastAsia="zh-CN" w:bidi="ar-SA"/>
              </w:rPr>
              <w:t>2</w:t>
            </w:r>
            <w:r>
              <w:rPr>
                <w:rFonts w:hint="eastAsia" w:ascii="Times New Roman" w:hAnsi="Times New Roman" w:eastAsia="宋体" w:cs="Times New Roman"/>
                <w:b/>
                <w:bCs/>
                <w:color w:val="auto"/>
                <w:spacing w:val="0"/>
                <w:w w:val="100"/>
                <w:kern w:val="0"/>
                <w:sz w:val="21"/>
                <w:szCs w:val="20"/>
                <w:u w:val="single"/>
                <w:lang w:val="zh-CN" w:eastAsia="zh-CN" w:bidi="ar-SA"/>
              </w:rPr>
              <w:t>污水处理</w:t>
            </w:r>
            <w:r>
              <w:rPr>
                <w:rFonts w:hint="eastAsia" w:ascii="Times New Roman" w:hAnsi="Times New Roman" w:cs="Times New Roman"/>
                <w:b/>
                <w:bCs/>
                <w:color w:val="auto"/>
                <w:spacing w:val="0"/>
                <w:w w:val="100"/>
                <w:kern w:val="0"/>
                <w:sz w:val="21"/>
                <w:szCs w:val="20"/>
                <w:u w:val="single"/>
                <w:lang w:val="en-US" w:eastAsia="zh-CN" w:bidi="ar-SA"/>
              </w:rPr>
              <w:t>厂</w:t>
            </w:r>
            <w:r>
              <w:rPr>
                <w:rFonts w:hint="eastAsia" w:ascii="Times New Roman" w:hAnsi="Times New Roman" w:eastAsia="宋体" w:cs="Times New Roman"/>
                <w:b/>
                <w:bCs/>
                <w:color w:val="auto"/>
                <w:spacing w:val="0"/>
                <w:w w:val="100"/>
                <w:kern w:val="0"/>
                <w:sz w:val="21"/>
                <w:szCs w:val="20"/>
                <w:u w:val="single"/>
                <w:lang w:val="zh-CN" w:eastAsia="zh-CN" w:bidi="ar-SA"/>
              </w:rPr>
              <w:t>恶臭气体产排情况一览表</w:t>
            </w:r>
          </w:p>
          <w:tbl>
            <w:tblPr>
              <w:tblStyle w:val="33"/>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2"/>
              <w:gridCol w:w="601"/>
              <w:gridCol w:w="1063"/>
              <w:gridCol w:w="588"/>
              <w:gridCol w:w="1398"/>
              <w:gridCol w:w="1022"/>
              <w:gridCol w:w="846"/>
              <w:gridCol w:w="1195"/>
              <w:gridCol w:w="1081"/>
            </w:tblGrid>
            <w:tr w14:paraId="6E71F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501" w:type="pct"/>
                  <w:vMerge w:val="restart"/>
                  <w:tcBorders>
                    <w:tl2br w:val="nil"/>
                    <w:tr2bl w:val="nil"/>
                  </w:tcBorders>
                  <w:vAlign w:val="center"/>
                </w:tcPr>
                <w:p w14:paraId="63623C48">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eastAsia="zh-CN"/>
                    </w:rPr>
                  </w:pPr>
                  <w:r>
                    <w:rPr>
                      <w:rFonts w:hint="default" w:ascii="Times New Roman" w:hAnsi="Times New Roman"/>
                      <w:bCs/>
                      <w:color w:val="auto"/>
                      <w:szCs w:val="21"/>
                      <w:u w:val="single"/>
                      <w:lang w:eastAsia="zh-CN"/>
                    </w:rPr>
                    <w:t>产污环节</w:t>
                  </w:r>
                </w:p>
              </w:tc>
              <w:tc>
                <w:tcPr>
                  <w:tcW w:w="367" w:type="pct"/>
                  <w:vMerge w:val="restart"/>
                  <w:tcBorders>
                    <w:tl2br w:val="nil"/>
                    <w:tr2bl w:val="nil"/>
                  </w:tcBorders>
                  <w:vAlign w:val="center"/>
                </w:tcPr>
                <w:p w14:paraId="5095C5A2">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eastAsia="zh-CN"/>
                    </w:rPr>
                  </w:pPr>
                  <w:r>
                    <w:rPr>
                      <w:rFonts w:hint="default" w:ascii="Times New Roman" w:hAnsi="Times New Roman"/>
                      <w:bCs/>
                      <w:color w:val="auto"/>
                      <w:szCs w:val="21"/>
                      <w:u w:val="single"/>
                      <w:lang w:eastAsia="zh-CN"/>
                    </w:rPr>
                    <w:t>污染物种类</w:t>
                  </w:r>
                </w:p>
              </w:tc>
              <w:tc>
                <w:tcPr>
                  <w:tcW w:w="635" w:type="pct"/>
                  <w:tcBorders>
                    <w:tl2br w:val="nil"/>
                    <w:tr2bl w:val="nil"/>
                  </w:tcBorders>
                  <w:vAlign w:val="center"/>
                </w:tcPr>
                <w:p w14:paraId="72837F4E">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rPr>
                  </w:pPr>
                  <w:r>
                    <w:rPr>
                      <w:rFonts w:hint="default" w:ascii="Times New Roman" w:hAnsi="Times New Roman"/>
                      <w:bCs/>
                      <w:color w:val="auto"/>
                      <w:szCs w:val="21"/>
                      <w:u w:val="single"/>
                      <w:lang w:eastAsia="zh-CN"/>
                    </w:rPr>
                    <w:t>污染物产生</w:t>
                  </w:r>
                </w:p>
              </w:tc>
              <w:tc>
                <w:tcPr>
                  <w:tcW w:w="360" w:type="pct"/>
                  <w:vMerge w:val="restart"/>
                  <w:tcBorders>
                    <w:tl2br w:val="nil"/>
                    <w:tr2bl w:val="nil"/>
                  </w:tcBorders>
                  <w:vAlign w:val="center"/>
                </w:tcPr>
                <w:p w14:paraId="01BEDA45">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eastAsia="zh-CN"/>
                    </w:rPr>
                  </w:pPr>
                  <w:r>
                    <w:rPr>
                      <w:rFonts w:hint="default" w:ascii="Times New Roman" w:hAnsi="Times New Roman"/>
                      <w:bCs/>
                      <w:color w:val="auto"/>
                      <w:szCs w:val="21"/>
                      <w:u w:val="single"/>
                      <w:lang w:eastAsia="zh-CN"/>
                    </w:rPr>
                    <w:t>排放方式</w:t>
                  </w:r>
                </w:p>
              </w:tc>
              <w:tc>
                <w:tcPr>
                  <w:tcW w:w="1440" w:type="pct"/>
                  <w:gridSpan w:val="2"/>
                  <w:tcBorders>
                    <w:tl2br w:val="nil"/>
                    <w:tr2bl w:val="nil"/>
                  </w:tcBorders>
                  <w:vAlign w:val="center"/>
                </w:tcPr>
                <w:p w14:paraId="69F217CC">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eastAsia="zh-CN"/>
                    </w:rPr>
                  </w:pPr>
                  <w:r>
                    <w:rPr>
                      <w:rFonts w:hint="default" w:ascii="Times New Roman" w:hAnsi="Times New Roman"/>
                      <w:bCs/>
                      <w:color w:val="auto"/>
                      <w:szCs w:val="21"/>
                      <w:u w:val="single"/>
                      <w:lang w:eastAsia="zh-CN"/>
                    </w:rPr>
                    <w:t>治理措施</w:t>
                  </w:r>
                </w:p>
              </w:tc>
              <w:tc>
                <w:tcPr>
                  <w:tcW w:w="1049" w:type="pct"/>
                  <w:gridSpan w:val="2"/>
                  <w:tcBorders>
                    <w:tl2br w:val="nil"/>
                    <w:tr2bl w:val="nil"/>
                  </w:tcBorders>
                  <w:vAlign w:val="center"/>
                </w:tcPr>
                <w:p w14:paraId="68456F72">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eastAsia="zh-CN"/>
                    </w:rPr>
                  </w:pPr>
                  <w:r>
                    <w:rPr>
                      <w:rFonts w:hint="default" w:ascii="Times New Roman" w:hAnsi="Times New Roman"/>
                      <w:bCs/>
                      <w:color w:val="auto"/>
                      <w:szCs w:val="21"/>
                      <w:u w:val="single"/>
                      <w:lang w:eastAsia="zh-CN"/>
                    </w:rPr>
                    <w:t>污染物排放</w:t>
                  </w:r>
                </w:p>
              </w:tc>
              <w:tc>
                <w:tcPr>
                  <w:tcW w:w="645" w:type="pct"/>
                  <w:vMerge w:val="restart"/>
                  <w:tcBorders>
                    <w:tl2br w:val="nil"/>
                    <w:tr2bl w:val="nil"/>
                  </w:tcBorders>
                  <w:vAlign w:val="center"/>
                </w:tcPr>
                <w:p w14:paraId="2C2AB671">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eastAsia="zh-CN"/>
                    </w:rPr>
                  </w:pPr>
                  <w:r>
                    <w:rPr>
                      <w:rFonts w:hint="default" w:ascii="Times New Roman" w:hAnsi="Times New Roman"/>
                      <w:bCs/>
                      <w:color w:val="auto"/>
                      <w:szCs w:val="21"/>
                      <w:u w:val="single"/>
                      <w:lang w:eastAsia="zh-CN"/>
                    </w:rPr>
                    <w:t>排放标准</w:t>
                  </w:r>
                </w:p>
              </w:tc>
            </w:tr>
            <w:tr w14:paraId="0CD73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501" w:type="pct"/>
                  <w:vMerge w:val="continue"/>
                  <w:tcBorders>
                    <w:tl2br w:val="nil"/>
                    <w:tr2bl w:val="nil"/>
                  </w:tcBorders>
                  <w:vAlign w:val="center"/>
                </w:tcPr>
                <w:p w14:paraId="4E65D2A6">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rPr>
                  </w:pPr>
                </w:p>
              </w:tc>
              <w:tc>
                <w:tcPr>
                  <w:tcW w:w="367" w:type="pct"/>
                  <w:vMerge w:val="continue"/>
                  <w:tcBorders>
                    <w:tl2br w:val="nil"/>
                    <w:tr2bl w:val="nil"/>
                  </w:tcBorders>
                  <w:vAlign w:val="center"/>
                </w:tcPr>
                <w:p w14:paraId="22385B43">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rPr>
                  </w:pPr>
                </w:p>
              </w:tc>
              <w:tc>
                <w:tcPr>
                  <w:tcW w:w="635" w:type="pct"/>
                  <w:tcBorders>
                    <w:tl2br w:val="nil"/>
                    <w:tr2bl w:val="nil"/>
                  </w:tcBorders>
                  <w:vAlign w:val="center"/>
                </w:tcPr>
                <w:p w14:paraId="304CFC07">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eastAsia="zh-CN"/>
                    </w:rPr>
                  </w:pPr>
                  <w:r>
                    <w:rPr>
                      <w:rFonts w:hint="default" w:ascii="Times New Roman" w:hAnsi="Times New Roman"/>
                      <w:bCs/>
                      <w:color w:val="auto"/>
                      <w:szCs w:val="21"/>
                      <w:u w:val="single"/>
                      <w:lang w:eastAsia="zh-CN"/>
                    </w:rPr>
                    <w:t>产生量（</w:t>
                  </w:r>
                  <w:r>
                    <w:rPr>
                      <w:rFonts w:hint="default" w:ascii="Times New Roman" w:hAnsi="Times New Roman"/>
                      <w:bCs/>
                      <w:color w:val="auto"/>
                      <w:szCs w:val="21"/>
                      <w:u w:val="single"/>
                      <w:lang w:val="en-US" w:eastAsia="zh-CN"/>
                    </w:rPr>
                    <w:t>t/a</w:t>
                  </w:r>
                  <w:r>
                    <w:rPr>
                      <w:rFonts w:hint="default" w:ascii="Times New Roman" w:hAnsi="Times New Roman"/>
                      <w:bCs/>
                      <w:color w:val="auto"/>
                      <w:szCs w:val="21"/>
                      <w:u w:val="single"/>
                      <w:lang w:eastAsia="zh-CN"/>
                    </w:rPr>
                    <w:t>）</w:t>
                  </w:r>
                </w:p>
              </w:tc>
              <w:tc>
                <w:tcPr>
                  <w:tcW w:w="360" w:type="pct"/>
                  <w:vMerge w:val="continue"/>
                  <w:tcBorders>
                    <w:tl2br w:val="nil"/>
                    <w:tr2bl w:val="nil"/>
                  </w:tcBorders>
                  <w:vAlign w:val="center"/>
                </w:tcPr>
                <w:p w14:paraId="4AA3CC72">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rPr>
                  </w:pPr>
                </w:p>
              </w:tc>
              <w:tc>
                <w:tcPr>
                  <w:tcW w:w="829" w:type="pct"/>
                  <w:tcBorders>
                    <w:tl2br w:val="nil"/>
                    <w:tr2bl w:val="nil"/>
                  </w:tcBorders>
                  <w:vAlign w:val="center"/>
                </w:tcPr>
                <w:p w14:paraId="311D3C8E">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eastAsia="zh-CN"/>
                    </w:rPr>
                  </w:pPr>
                  <w:r>
                    <w:rPr>
                      <w:rFonts w:hint="default" w:ascii="Times New Roman" w:hAnsi="Times New Roman"/>
                      <w:bCs/>
                      <w:color w:val="auto"/>
                      <w:szCs w:val="21"/>
                      <w:u w:val="single"/>
                      <w:lang w:eastAsia="zh-CN"/>
                    </w:rPr>
                    <w:t>处理方式</w:t>
                  </w:r>
                </w:p>
              </w:tc>
              <w:tc>
                <w:tcPr>
                  <w:tcW w:w="610" w:type="pct"/>
                  <w:tcBorders>
                    <w:tl2br w:val="nil"/>
                    <w:tr2bl w:val="nil"/>
                  </w:tcBorders>
                  <w:vAlign w:val="center"/>
                </w:tcPr>
                <w:p w14:paraId="47236501">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eastAsia="zh-CN"/>
                    </w:rPr>
                  </w:pPr>
                  <w:r>
                    <w:rPr>
                      <w:rFonts w:hint="default" w:ascii="Times New Roman" w:hAnsi="Times New Roman"/>
                      <w:bCs/>
                      <w:color w:val="auto"/>
                      <w:szCs w:val="21"/>
                      <w:u w:val="single"/>
                      <w:lang w:eastAsia="zh-CN"/>
                    </w:rPr>
                    <w:t>治理工艺去除率</w:t>
                  </w:r>
                </w:p>
              </w:tc>
              <w:tc>
                <w:tcPr>
                  <w:tcW w:w="490" w:type="pct"/>
                  <w:tcBorders>
                    <w:tl2br w:val="nil"/>
                    <w:tr2bl w:val="nil"/>
                  </w:tcBorders>
                  <w:vAlign w:val="center"/>
                </w:tcPr>
                <w:p w14:paraId="0DDB364B">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eastAsia="zh-CN"/>
                    </w:rPr>
                  </w:pPr>
                  <w:r>
                    <w:rPr>
                      <w:rFonts w:hint="default" w:ascii="Times New Roman" w:hAnsi="Times New Roman"/>
                      <w:bCs/>
                      <w:color w:val="auto"/>
                      <w:szCs w:val="21"/>
                      <w:u w:val="single"/>
                      <w:lang w:eastAsia="zh-CN"/>
                    </w:rPr>
                    <w:t>排放量（</w:t>
                  </w:r>
                  <w:r>
                    <w:rPr>
                      <w:rFonts w:hint="default" w:ascii="Times New Roman" w:hAnsi="Times New Roman"/>
                      <w:bCs/>
                      <w:color w:val="auto"/>
                      <w:szCs w:val="21"/>
                      <w:u w:val="single"/>
                      <w:lang w:val="en-US" w:eastAsia="zh-CN"/>
                    </w:rPr>
                    <w:t>t/a</w:t>
                  </w:r>
                  <w:r>
                    <w:rPr>
                      <w:rFonts w:hint="default" w:ascii="Times New Roman" w:hAnsi="Times New Roman"/>
                      <w:bCs/>
                      <w:color w:val="auto"/>
                      <w:szCs w:val="21"/>
                      <w:u w:val="single"/>
                      <w:lang w:eastAsia="zh-CN"/>
                    </w:rPr>
                    <w:t>）</w:t>
                  </w:r>
                </w:p>
              </w:tc>
              <w:tc>
                <w:tcPr>
                  <w:tcW w:w="559" w:type="pct"/>
                  <w:tcBorders>
                    <w:tl2br w:val="nil"/>
                    <w:tr2bl w:val="nil"/>
                  </w:tcBorders>
                  <w:vAlign w:val="center"/>
                </w:tcPr>
                <w:p w14:paraId="539156F7">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eastAsia="zh-CN"/>
                    </w:rPr>
                  </w:pPr>
                  <w:r>
                    <w:rPr>
                      <w:rFonts w:hint="default" w:ascii="Times New Roman" w:hAnsi="Times New Roman"/>
                      <w:bCs/>
                      <w:color w:val="auto"/>
                      <w:szCs w:val="21"/>
                      <w:u w:val="single"/>
                      <w:lang w:eastAsia="zh-CN"/>
                    </w:rPr>
                    <w:t>排放浓度（</w:t>
                  </w:r>
                  <w:r>
                    <w:rPr>
                      <w:rFonts w:hint="default" w:ascii="Times New Roman" w:hAnsi="Times New Roman"/>
                      <w:bCs/>
                      <w:color w:val="auto"/>
                      <w:szCs w:val="21"/>
                      <w:u w:val="single"/>
                      <w:lang w:val="en-US" w:eastAsia="zh-CN"/>
                    </w:rPr>
                    <w:t>mg/m</w:t>
                  </w:r>
                  <w:r>
                    <w:rPr>
                      <w:rFonts w:hint="default" w:ascii="Times New Roman" w:hAnsi="Times New Roman"/>
                      <w:bCs/>
                      <w:color w:val="auto"/>
                      <w:szCs w:val="21"/>
                      <w:u w:val="single"/>
                      <w:vertAlign w:val="superscript"/>
                      <w:lang w:val="en-US" w:eastAsia="zh-CN"/>
                    </w:rPr>
                    <w:t>3</w:t>
                  </w:r>
                  <w:r>
                    <w:rPr>
                      <w:rFonts w:hint="default" w:ascii="Times New Roman" w:hAnsi="Times New Roman"/>
                      <w:bCs/>
                      <w:color w:val="auto"/>
                      <w:szCs w:val="21"/>
                      <w:u w:val="single"/>
                      <w:lang w:eastAsia="zh-CN"/>
                    </w:rPr>
                    <w:t>）</w:t>
                  </w:r>
                </w:p>
              </w:tc>
              <w:tc>
                <w:tcPr>
                  <w:tcW w:w="645" w:type="pct"/>
                  <w:vMerge w:val="continue"/>
                  <w:tcBorders>
                    <w:tl2br w:val="nil"/>
                    <w:tr2bl w:val="nil"/>
                  </w:tcBorders>
                  <w:vAlign w:val="center"/>
                </w:tcPr>
                <w:p w14:paraId="4905AA80">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rPr>
                  </w:pPr>
                </w:p>
              </w:tc>
            </w:tr>
            <w:tr w14:paraId="0E79E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1" w:hRule="atLeast"/>
                <w:jc w:val="center"/>
              </w:trPr>
              <w:tc>
                <w:tcPr>
                  <w:tcW w:w="501" w:type="pct"/>
                  <w:vMerge w:val="restart"/>
                  <w:tcBorders>
                    <w:tl2br w:val="nil"/>
                    <w:tr2bl w:val="nil"/>
                  </w:tcBorders>
                  <w:vAlign w:val="center"/>
                </w:tcPr>
                <w:p w14:paraId="76BCBB51">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细格栅间、</w:t>
                  </w:r>
                  <w:r>
                    <w:rPr>
                      <w:rFonts w:hint="eastAsia"/>
                      <w:bCs/>
                      <w:color w:val="auto"/>
                      <w:szCs w:val="21"/>
                      <w:u w:val="single"/>
                      <w:lang w:val="en-US" w:eastAsia="zh-CN"/>
                    </w:rPr>
                    <w:t>配水井、</w:t>
                  </w:r>
                  <w:r>
                    <w:rPr>
                      <w:rFonts w:hint="default" w:ascii="Times New Roman" w:hAnsi="Times New Roman"/>
                      <w:bCs/>
                      <w:color w:val="auto"/>
                      <w:szCs w:val="21"/>
                      <w:u w:val="single"/>
                      <w:lang w:val="en-US" w:eastAsia="zh-CN"/>
                    </w:rPr>
                    <w:t>A2/O池、二沉池、高效沉淀池、污泥泵站、浓缩池、调节池、污泥脱水间</w:t>
                  </w:r>
                </w:p>
              </w:tc>
              <w:tc>
                <w:tcPr>
                  <w:tcW w:w="367" w:type="pct"/>
                  <w:tcBorders>
                    <w:tl2br w:val="nil"/>
                    <w:tr2bl w:val="nil"/>
                  </w:tcBorders>
                  <w:vAlign w:val="center"/>
                </w:tcPr>
                <w:p w14:paraId="151F9C23">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氨气</w:t>
                  </w:r>
                </w:p>
              </w:tc>
              <w:tc>
                <w:tcPr>
                  <w:tcW w:w="635" w:type="pct"/>
                  <w:tcBorders>
                    <w:tl2br w:val="nil"/>
                    <w:tr2bl w:val="nil"/>
                  </w:tcBorders>
                  <w:vAlign w:val="center"/>
                </w:tcPr>
                <w:p w14:paraId="0BEB7B03">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val="en-US" w:eastAsia="zh-CN"/>
                    </w:rPr>
                  </w:pPr>
                  <w:r>
                    <w:rPr>
                      <w:rFonts w:hint="eastAsia"/>
                      <w:bCs/>
                      <w:color w:val="auto"/>
                      <w:szCs w:val="21"/>
                      <w:u w:val="single"/>
                      <w:lang w:val="en-US" w:eastAsia="zh-CN"/>
                    </w:rPr>
                    <w:t>0.135</w:t>
                  </w:r>
                </w:p>
              </w:tc>
              <w:tc>
                <w:tcPr>
                  <w:tcW w:w="360" w:type="pct"/>
                  <w:vMerge w:val="restart"/>
                  <w:tcBorders>
                    <w:tl2br w:val="nil"/>
                    <w:tr2bl w:val="nil"/>
                  </w:tcBorders>
                  <w:vAlign w:val="center"/>
                </w:tcPr>
                <w:p w14:paraId="62C76DFE">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eastAsia="zh-CN"/>
                    </w:rPr>
                  </w:pPr>
                  <w:r>
                    <w:rPr>
                      <w:rFonts w:hint="default" w:ascii="Times New Roman" w:hAnsi="Times New Roman"/>
                      <w:bCs/>
                      <w:color w:val="auto"/>
                      <w:szCs w:val="21"/>
                      <w:u w:val="single"/>
                      <w:lang w:eastAsia="zh-CN"/>
                    </w:rPr>
                    <w:t>有组织</w:t>
                  </w:r>
                </w:p>
                <w:p w14:paraId="517710B8">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排放</w:t>
                  </w:r>
                </w:p>
                <w:p w14:paraId="27190BE1">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eastAsia="zh-CN"/>
                    </w:rPr>
                  </w:pPr>
                </w:p>
              </w:tc>
              <w:tc>
                <w:tcPr>
                  <w:tcW w:w="829" w:type="pct"/>
                  <w:vMerge w:val="restart"/>
                  <w:tcBorders>
                    <w:tl2br w:val="nil"/>
                    <w:tr2bl w:val="nil"/>
                  </w:tcBorders>
                  <w:vAlign w:val="center"/>
                </w:tcPr>
                <w:p w14:paraId="585E7C44">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eastAsia="zh-CN"/>
                    </w:rPr>
                    <w:t>使用全封闭方式，设置出气孔，统一收集后使用</w:t>
                  </w:r>
                  <w:r>
                    <w:rPr>
                      <w:rFonts w:hint="eastAsia" w:ascii="Times New Roman" w:hAnsi="Times New Roman"/>
                      <w:bCs/>
                      <w:color w:val="auto"/>
                      <w:szCs w:val="21"/>
                      <w:u w:val="single"/>
                      <w:lang w:val="en-US" w:eastAsia="zh-CN"/>
                    </w:rPr>
                    <w:t>生物滤池</w:t>
                  </w:r>
                  <w:r>
                    <w:rPr>
                      <w:rFonts w:hint="default" w:ascii="Times New Roman" w:hAnsi="Times New Roman"/>
                      <w:bCs/>
                      <w:color w:val="auto"/>
                      <w:szCs w:val="21"/>
                      <w:u w:val="single"/>
                      <w:lang w:eastAsia="zh-CN"/>
                    </w:rPr>
                    <w:t>除臭后经</w:t>
                  </w:r>
                  <w:r>
                    <w:rPr>
                      <w:rFonts w:hint="default" w:ascii="Times New Roman" w:hAnsi="Times New Roman"/>
                      <w:bCs/>
                      <w:color w:val="auto"/>
                      <w:szCs w:val="21"/>
                      <w:u w:val="single"/>
                      <w:lang w:val="en-US" w:eastAsia="zh-CN"/>
                    </w:rPr>
                    <w:t>1根15米高排气筒排放</w:t>
                  </w:r>
                </w:p>
              </w:tc>
              <w:tc>
                <w:tcPr>
                  <w:tcW w:w="610" w:type="pct"/>
                  <w:vMerge w:val="restart"/>
                  <w:tcBorders>
                    <w:tl2br w:val="nil"/>
                    <w:tr2bl w:val="nil"/>
                  </w:tcBorders>
                  <w:vAlign w:val="center"/>
                </w:tcPr>
                <w:p w14:paraId="0F166AB0">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val="en-US" w:eastAsia="zh-CN"/>
                    </w:rPr>
                  </w:pPr>
                  <w:r>
                    <w:rPr>
                      <w:rFonts w:hint="eastAsia" w:ascii="Times New Roman" w:hAnsi="Times New Roman"/>
                      <w:bCs/>
                      <w:color w:val="auto"/>
                      <w:szCs w:val="21"/>
                      <w:u w:val="single"/>
                      <w:lang w:val="en-US" w:eastAsia="zh-CN"/>
                    </w:rPr>
                    <w:t>90</w:t>
                  </w:r>
                  <w:r>
                    <w:rPr>
                      <w:rFonts w:hint="default" w:ascii="Times New Roman" w:hAnsi="Times New Roman"/>
                      <w:bCs/>
                      <w:color w:val="auto"/>
                      <w:szCs w:val="21"/>
                      <w:u w:val="single"/>
                      <w:lang w:val="en-US" w:eastAsia="zh-CN"/>
                    </w:rPr>
                    <w:t>%</w:t>
                  </w:r>
                </w:p>
              </w:tc>
              <w:tc>
                <w:tcPr>
                  <w:tcW w:w="490" w:type="pct"/>
                  <w:tcBorders>
                    <w:tl2br w:val="nil"/>
                    <w:tr2bl w:val="nil"/>
                  </w:tcBorders>
                  <w:vAlign w:val="center"/>
                </w:tcPr>
                <w:p w14:paraId="6BE82415">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0.</w:t>
                  </w:r>
                  <w:r>
                    <w:rPr>
                      <w:rFonts w:hint="eastAsia"/>
                      <w:bCs/>
                      <w:color w:val="auto"/>
                      <w:szCs w:val="21"/>
                      <w:u w:val="single"/>
                      <w:lang w:val="en-US" w:eastAsia="zh-CN"/>
                    </w:rPr>
                    <w:t>0135</w:t>
                  </w:r>
                </w:p>
              </w:tc>
              <w:tc>
                <w:tcPr>
                  <w:tcW w:w="559" w:type="pct"/>
                  <w:tcBorders>
                    <w:tl2br w:val="nil"/>
                    <w:tr2bl w:val="nil"/>
                  </w:tcBorders>
                  <w:vAlign w:val="center"/>
                </w:tcPr>
                <w:p w14:paraId="031B5D37">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val="en-US" w:eastAsia="zh-CN"/>
                    </w:rPr>
                  </w:pPr>
                  <w:r>
                    <w:rPr>
                      <w:rFonts w:hint="eastAsia"/>
                      <w:bCs/>
                      <w:color w:val="auto"/>
                      <w:szCs w:val="21"/>
                      <w:u w:val="single"/>
                      <w:lang w:val="en-US" w:eastAsia="zh-CN"/>
                    </w:rPr>
                    <w:t>0.054</w:t>
                  </w:r>
                </w:p>
              </w:tc>
              <w:tc>
                <w:tcPr>
                  <w:tcW w:w="645" w:type="pct"/>
                  <w:vMerge w:val="restart"/>
                  <w:tcBorders>
                    <w:tl2br w:val="nil"/>
                    <w:tr2bl w:val="nil"/>
                  </w:tcBorders>
                  <w:vAlign w:val="center"/>
                </w:tcPr>
                <w:p w14:paraId="3BEA87E3">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《城镇污水处理厂污染物排放标准》及修改单</w:t>
                  </w:r>
                </w:p>
              </w:tc>
            </w:tr>
            <w:tr w14:paraId="57961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501" w:type="pct"/>
                  <w:vMerge w:val="continue"/>
                  <w:tcBorders>
                    <w:tl2br w:val="nil"/>
                    <w:tr2bl w:val="nil"/>
                  </w:tcBorders>
                  <w:vAlign w:val="center"/>
                </w:tcPr>
                <w:p w14:paraId="2B4ED0F2">
                  <w:pPr>
                    <w:pStyle w:val="145"/>
                    <w:keepNext w:val="0"/>
                    <w:keepLines w:val="0"/>
                    <w:pageBreakBefore w:val="0"/>
                    <w:widowControl w:val="0"/>
                    <w:tabs>
                      <w:tab w:val="left" w:pos="2976"/>
                    </w:tabs>
                    <w:kinsoku/>
                    <w:wordWrap/>
                    <w:overflowPunct w:val="0"/>
                    <w:topLinePunct w:val="0"/>
                    <w:autoSpaceDE w:val="0"/>
                    <w:autoSpaceDN w:val="0"/>
                    <w:bidi w:val="0"/>
                    <w:adjustRightInd w:val="0"/>
                    <w:spacing w:before="0" w:line="240" w:lineRule="auto"/>
                    <w:ind w:firstLine="0" w:firstLineChars="0"/>
                    <w:jc w:val="center"/>
                    <w:rPr>
                      <w:rFonts w:hint="default" w:ascii="Times New Roman" w:hAnsi="Times New Roman" w:cs="Times New Roman"/>
                      <w:color w:val="auto"/>
                      <w:u w:val="single"/>
                    </w:rPr>
                  </w:pPr>
                </w:p>
              </w:tc>
              <w:tc>
                <w:tcPr>
                  <w:tcW w:w="367" w:type="pct"/>
                  <w:tcBorders>
                    <w:tl2br w:val="nil"/>
                    <w:tr2bl w:val="nil"/>
                  </w:tcBorders>
                  <w:vAlign w:val="center"/>
                </w:tcPr>
                <w:p w14:paraId="030C5A6A">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硫化氢</w:t>
                  </w:r>
                </w:p>
              </w:tc>
              <w:tc>
                <w:tcPr>
                  <w:tcW w:w="635" w:type="pct"/>
                  <w:tcBorders>
                    <w:tl2br w:val="nil"/>
                    <w:tr2bl w:val="nil"/>
                  </w:tcBorders>
                  <w:vAlign w:val="center"/>
                </w:tcPr>
                <w:p w14:paraId="2E3B2EDB">
                  <w:pPr>
                    <w:keepNext w:val="0"/>
                    <w:keepLines w:val="0"/>
                    <w:pageBreakBefore w:val="0"/>
                    <w:widowControl w:val="0"/>
                    <w:kinsoku/>
                    <w:wordWrap/>
                    <w:topLinePunct w:val="0"/>
                    <w:bidi w:val="0"/>
                    <w:adjustRightInd w:val="0"/>
                    <w:snapToGrid w:val="0"/>
                    <w:spacing w:line="240" w:lineRule="auto"/>
                    <w:ind w:firstLine="0" w:firstLineChars="0"/>
                    <w:jc w:val="center"/>
                    <w:rPr>
                      <w:rFonts w:hint="default" w:ascii="Times New Roman" w:hAnsi="Times New Roman"/>
                      <w:bCs/>
                      <w:color w:val="auto"/>
                      <w:szCs w:val="21"/>
                      <w:u w:val="single"/>
                      <w:lang w:val="en-US" w:eastAsia="zh-CN"/>
                    </w:rPr>
                  </w:pPr>
                  <w:r>
                    <w:rPr>
                      <w:rFonts w:hint="eastAsia"/>
                      <w:bCs/>
                      <w:color w:val="auto"/>
                      <w:szCs w:val="21"/>
                      <w:u w:val="single"/>
                      <w:lang w:val="en-US" w:eastAsia="zh-CN"/>
                    </w:rPr>
                    <w:t>0.005</w:t>
                  </w:r>
                </w:p>
              </w:tc>
              <w:tc>
                <w:tcPr>
                  <w:tcW w:w="360" w:type="pct"/>
                  <w:vMerge w:val="continue"/>
                  <w:tcBorders>
                    <w:tl2br w:val="nil"/>
                    <w:tr2bl w:val="nil"/>
                  </w:tcBorders>
                  <w:vAlign w:val="center"/>
                </w:tcPr>
                <w:p w14:paraId="5DFC1723">
                  <w:pPr>
                    <w:pStyle w:val="145"/>
                    <w:keepNext w:val="0"/>
                    <w:keepLines w:val="0"/>
                    <w:pageBreakBefore w:val="0"/>
                    <w:widowControl w:val="0"/>
                    <w:tabs>
                      <w:tab w:val="left" w:pos="2976"/>
                    </w:tabs>
                    <w:kinsoku/>
                    <w:wordWrap/>
                    <w:overflowPunct w:val="0"/>
                    <w:topLinePunct w:val="0"/>
                    <w:autoSpaceDE w:val="0"/>
                    <w:autoSpaceDN w:val="0"/>
                    <w:bidi w:val="0"/>
                    <w:adjustRightInd w:val="0"/>
                    <w:spacing w:before="0" w:line="240" w:lineRule="auto"/>
                    <w:ind w:firstLine="0" w:firstLineChars="0"/>
                    <w:jc w:val="center"/>
                    <w:rPr>
                      <w:rFonts w:hint="default" w:ascii="Times New Roman" w:hAnsi="Times New Roman" w:cs="Times New Roman"/>
                      <w:color w:val="auto"/>
                      <w:u w:val="single"/>
                      <w:lang w:eastAsia="zh-CN"/>
                    </w:rPr>
                  </w:pPr>
                </w:p>
              </w:tc>
              <w:tc>
                <w:tcPr>
                  <w:tcW w:w="829" w:type="pct"/>
                  <w:vMerge w:val="continue"/>
                  <w:tcBorders>
                    <w:tl2br w:val="nil"/>
                    <w:tr2bl w:val="nil"/>
                  </w:tcBorders>
                  <w:vAlign w:val="center"/>
                </w:tcPr>
                <w:p w14:paraId="75EA8652">
                  <w:pPr>
                    <w:pStyle w:val="145"/>
                    <w:keepNext w:val="0"/>
                    <w:keepLines w:val="0"/>
                    <w:pageBreakBefore w:val="0"/>
                    <w:widowControl w:val="0"/>
                    <w:tabs>
                      <w:tab w:val="left" w:pos="2976"/>
                    </w:tabs>
                    <w:kinsoku/>
                    <w:wordWrap/>
                    <w:overflowPunct w:val="0"/>
                    <w:topLinePunct w:val="0"/>
                    <w:autoSpaceDE w:val="0"/>
                    <w:autoSpaceDN w:val="0"/>
                    <w:bidi w:val="0"/>
                    <w:adjustRightInd w:val="0"/>
                    <w:spacing w:before="0" w:line="240" w:lineRule="auto"/>
                    <w:ind w:firstLine="0" w:firstLineChars="0"/>
                    <w:jc w:val="center"/>
                    <w:rPr>
                      <w:rFonts w:hint="default" w:ascii="Times New Roman" w:hAnsi="Times New Roman" w:cs="Times New Roman"/>
                      <w:color w:val="auto"/>
                      <w:u w:val="single"/>
                    </w:rPr>
                  </w:pPr>
                </w:p>
              </w:tc>
              <w:tc>
                <w:tcPr>
                  <w:tcW w:w="610" w:type="pct"/>
                  <w:vMerge w:val="continue"/>
                  <w:tcBorders>
                    <w:tl2br w:val="nil"/>
                    <w:tr2bl w:val="nil"/>
                  </w:tcBorders>
                  <w:vAlign w:val="center"/>
                </w:tcPr>
                <w:p w14:paraId="1104A0B4">
                  <w:pPr>
                    <w:pStyle w:val="145"/>
                    <w:keepNext w:val="0"/>
                    <w:keepLines w:val="0"/>
                    <w:pageBreakBefore w:val="0"/>
                    <w:widowControl w:val="0"/>
                    <w:tabs>
                      <w:tab w:val="left" w:pos="2976"/>
                    </w:tabs>
                    <w:kinsoku/>
                    <w:wordWrap/>
                    <w:overflowPunct w:val="0"/>
                    <w:topLinePunct w:val="0"/>
                    <w:autoSpaceDE w:val="0"/>
                    <w:autoSpaceDN w:val="0"/>
                    <w:bidi w:val="0"/>
                    <w:adjustRightInd w:val="0"/>
                    <w:spacing w:before="0" w:line="240" w:lineRule="auto"/>
                    <w:ind w:firstLine="0" w:firstLineChars="0"/>
                    <w:jc w:val="center"/>
                    <w:rPr>
                      <w:rFonts w:hint="default" w:ascii="Times New Roman" w:hAnsi="Times New Roman" w:cs="Times New Roman"/>
                      <w:color w:val="auto"/>
                      <w:u w:val="single"/>
                    </w:rPr>
                  </w:pPr>
                </w:p>
              </w:tc>
              <w:tc>
                <w:tcPr>
                  <w:tcW w:w="490" w:type="pct"/>
                  <w:tcBorders>
                    <w:tl2br w:val="nil"/>
                    <w:tr2bl w:val="nil"/>
                  </w:tcBorders>
                  <w:vAlign w:val="center"/>
                </w:tcPr>
                <w:p w14:paraId="1E9A7579">
                  <w:pPr>
                    <w:pStyle w:val="145"/>
                    <w:keepNext w:val="0"/>
                    <w:keepLines w:val="0"/>
                    <w:pageBreakBefore w:val="0"/>
                    <w:widowControl w:val="0"/>
                    <w:tabs>
                      <w:tab w:val="left" w:pos="2976"/>
                    </w:tabs>
                    <w:kinsoku/>
                    <w:wordWrap/>
                    <w:overflowPunct w:val="0"/>
                    <w:topLinePunct w:val="0"/>
                    <w:autoSpaceDE w:val="0"/>
                    <w:autoSpaceDN w:val="0"/>
                    <w:bidi w:val="0"/>
                    <w:adjustRightInd w:val="0"/>
                    <w:spacing w:before="0" w:line="240" w:lineRule="auto"/>
                    <w:ind w:firstLine="0" w:firstLineChars="0"/>
                    <w:jc w:val="center"/>
                    <w:rPr>
                      <w:rFonts w:hint="default" w:ascii="Times New Roman" w:hAnsi="Times New Roman" w:cs="Times New Roman"/>
                      <w:color w:val="auto"/>
                      <w:u w:val="single"/>
                      <w:lang w:val="en-US" w:eastAsia="zh-CN"/>
                    </w:rPr>
                  </w:pPr>
                  <w:r>
                    <w:rPr>
                      <w:rFonts w:hint="default" w:ascii="Times New Roman" w:hAnsi="Times New Roman" w:cs="Times New Roman"/>
                      <w:color w:val="auto"/>
                      <w:u w:val="single"/>
                      <w:lang w:val="en-US" w:eastAsia="zh-CN"/>
                    </w:rPr>
                    <w:t>0.0</w:t>
                  </w:r>
                  <w:r>
                    <w:rPr>
                      <w:rFonts w:hint="eastAsia" w:ascii="Times New Roman" w:hAnsi="Times New Roman" w:cs="Times New Roman"/>
                      <w:color w:val="auto"/>
                      <w:u w:val="single"/>
                      <w:lang w:val="en-US" w:eastAsia="zh-CN"/>
                    </w:rPr>
                    <w:t>005</w:t>
                  </w:r>
                </w:p>
              </w:tc>
              <w:tc>
                <w:tcPr>
                  <w:tcW w:w="559" w:type="pct"/>
                  <w:tcBorders>
                    <w:tl2br w:val="nil"/>
                    <w:tr2bl w:val="nil"/>
                  </w:tcBorders>
                  <w:vAlign w:val="center"/>
                </w:tcPr>
                <w:p w14:paraId="36EB753D">
                  <w:pPr>
                    <w:pStyle w:val="145"/>
                    <w:keepNext w:val="0"/>
                    <w:keepLines w:val="0"/>
                    <w:pageBreakBefore w:val="0"/>
                    <w:widowControl w:val="0"/>
                    <w:tabs>
                      <w:tab w:val="left" w:pos="2976"/>
                    </w:tabs>
                    <w:kinsoku/>
                    <w:wordWrap/>
                    <w:overflowPunct w:val="0"/>
                    <w:topLinePunct w:val="0"/>
                    <w:autoSpaceDE w:val="0"/>
                    <w:autoSpaceDN w:val="0"/>
                    <w:bidi w:val="0"/>
                    <w:adjustRightInd w:val="0"/>
                    <w:spacing w:before="0" w:line="240" w:lineRule="auto"/>
                    <w:ind w:firstLine="0" w:firstLineChars="0"/>
                    <w:jc w:val="center"/>
                    <w:rPr>
                      <w:rFonts w:hint="default" w:ascii="Times New Roman" w:hAnsi="Times New Roman" w:cs="Times New Roman"/>
                      <w:color w:val="auto"/>
                      <w:u w:val="single"/>
                      <w:lang w:val="en-US" w:eastAsia="zh-CN"/>
                    </w:rPr>
                  </w:pPr>
                  <w:r>
                    <w:rPr>
                      <w:rFonts w:hint="eastAsia" w:ascii="Times New Roman" w:hAnsi="Times New Roman" w:cs="Times New Roman"/>
                      <w:color w:val="auto"/>
                      <w:u w:val="single"/>
                      <w:lang w:val="en-US" w:eastAsia="zh-CN"/>
                    </w:rPr>
                    <w:t>0.002</w:t>
                  </w:r>
                </w:p>
              </w:tc>
              <w:tc>
                <w:tcPr>
                  <w:tcW w:w="645" w:type="pct"/>
                  <w:vMerge w:val="continue"/>
                  <w:tcBorders>
                    <w:tl2br w:val="nil"/>
                    <w:tr2bl w:val="nil"/>
                  </w:tcBorders>
                  <w:vAlign w:val="center"/>
                </w:tcPr>
                <w:p w14:paraId="411BCA1B">
                  <w:pPr>
                    <w:pStyle w:val="145"/>
                    <w:keepNext w:val="0"/>
                    <w:keepLines w:val="0"/>
                    <w:pageBreakBefore w:val="0"/>
                    <w:widowControl w:val="0"/>
                    <w:tabs>
                      <w:tab w:val="left" w:pos="2976"/>
                    </w:tabs>
                    <w:kinsoku/>
                    <w:wordWrap/>
                    <w:overflowPunct w:val="0"/>
                    <w:topLinePunct w:val="0"/>
                    <w:autoSpaceDE w:val="0"/>
                    <w:autoSpaceDN w:val="0"/>
                    <w:bidi w:val="0"/>
                    <w:adjustRightInd w:val="0"/>
                    <w:spacing w:before="0" w:line="240" w:lineRule="auto"/>
                    <w:ind w:firstLine="0" w:firstLineChars="0"/>
                    <w:jc w:val="center"/>
                    <w:rPr>
                      <w:rFonts w:hint="default" w:ascii="Times New Roman" w:hAnsi="Times New Roman" w:cs="Times New Roman"/>
                      <w:color w:val="auto"/>
                      <w:u w:val="single"/>
                    </w:rPr>
                  </w:pPr>
                </w:p>
              </w:tc>
            </w:tr>
          </w:tbl>
          <w:p w14:paraId="69F80A12">
            <w:pPr>
              <w:pStyle w:val="145"/>
              <w:keepNext w:val="0"/>
              <w:keepLines w:val="0"/>
              <w:pageBreakBefore w:val="0"/>
              <w:widowControl w:val="0"/>
              <w:tabs>
                <w:tab w:val="left" w:pos="2976"/>
              </w:tabs>
              <w:kinsoku/>
              <w:wordWrap/>
              <w:overflowPunct/>
              <w:topLinePunct w:val="0"/>
              <w:autoSpaceDE/>
              <w:autoSpaceDN/>
              <w:bidi w:val="0"/>
              <w:adjustRightInd w:val="0"/>
              <w:snapToGrid/>
              <w:spacing w:before="0" w:line="240" w:lineRule="auto"/>
              <w:ind w:firstLine="0" w:firstLineChars="0"/>
              <w:jc w:val="center"/>
              <w:textAlignment w:val="baseline"/>
              <w:rPr>
                <w:rFonts w:hint="eastAsia" w:ascii="Times New Roman" w:hAnsi="Times New Roman" w:eastAsia="宋体" w:cs="Times New Roman"/>
                <w:b/>
                <w:bCs/>
                <w:color w:val="auto"/>
                <w:spacing w:val="0"/>
                <w:w w:val="100"/>
                <w:kern w:val="0"/>
                <w:sz w:val="21"/>
                <w:szCs w:val="20"/>
                <w:u w:val="single"/>
                <w:lang w:val="zh-CN" w:eastAsia="zh-CN" w:bidi="ar-SA"/>
              </w:rPr>
            </w:pPr>
            <w:r>
              <w:rPr>
                <w:rFonts w:hint="default" w:ascii="Times New Roman" w:hAnsi="Times New Roman" w:eastAsia="宋体" w:cs="Times New Roman"/>
                <w:b/>
                <w:bCs/>
                <w:color w:val="auto"/>
                <w:spacing w:val="0"/>
                <w:w w:val="100"/>
                <w:kern w:val="0"/>
                <w:sz w:val="21"/>
                <w:szCs w:val="20"/>
                <w:u w:val="single"/>
                <w:lang w:val="zh-CN" w:eastAsia="zh-CN" w:bidi="ar-SA"/>
              </w:rPr>
              <w:t>表</w:t>
            </w:r>
            <w:r>
              <w:rPr>
                <w:rFonts w:hint="eastAsia" w:ascii="Times New Roman" w:hAnsi="Times New Roman" w:eastAsia="宋体" w:cs="Times New Roman"/>
                <w:b/>
                <w:bCs/>
                <w:color w:val="auto"/>
                <w:spacing w:val="0"/>
                <w:w w:val="100"/>
                <w:kern w:val="0"/>
                <w:sz w:val="21"/>
                <w:szCs w:val="20"/>
                <w:u w:val="single"/>
                <w:lang w:val="en-US" w:eastAsia="zh-CN" w:bidi="ar-SA"/>
              </w:rPr>
              <w:t>4-</w:t>
            </w:r>
            <w:r>
              <w:rPr>
                <w:rFonts w:hint="eastAsia" w:ascii="Times New Roman" w:hAnsi="Times New Roman" w:cs="Times New Roman"/>
                <w:b/>
                <w:bCs/>
                <w:color w:val="auto"/>
                <w:spacing w:val="0"/>
                <w:w w:val="100"/>
                <w:kern w:val="0"/>
                <w:sz w:val="21"/>
                <w:szCs w:val="20"/>
                <w:u w:val="single"/>
                <w:lang w:val="en-US" w:eastAsia="zh-CN" w:bidi="ar-SA"/>
              </w:rPr>
              <w:t>3</w:t>
            </w:r>
            <w:r>
              <w:rPr>
                <w:rFonts w:hint="default" w:ascii="Times New Roman" w:hAnsi="Times New Roman" w:eastAsia="宋体" w:cs="Times New Roman"/>
                <w:b/>
                <w:bCs/>
                <w:color w:val="auto"/>
                <w:spacing w:val="0"/>
                <w:w w:val="100"/>
                <w:kern w:val="0"/>
                <w:sz w:val="21"/>
                <w:szCs w:val="20"/>
                <w:u w:val="single"/>
                <w:lang w:val="zh-CN" w:eastAsia="zh-CN" w:bidi="ar-SA"/>
              </w:rPr>
              <w:t>废气处理效果一览表</w:t>
            </w:r>
          </w:p>
          <w:tbl>
            <w:tblPr>
              <w:tblStyle w:val="32"/>
              <w:tblW w:w="86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1"/>
              <w:gridCol w:w="451"/>
              <w:gridCol w:w="1074"/>
              <w:gridCol w:w="1269"/>
              <w:gridCol w:w="451"/>
              <w:gridCol w:w="1369"/>
              <w:gridCol w:w="1074"/>
              <w:gridCol w:w="1269"/>
              <w:gridCol w:w="775"/>
              <w:gridCol w:w="452"/>
            </w:tblGrid>
            <w:tr w14:paraId="1ACB6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8" w:hRule="atLeast"/>
                <w:jc w:val="center"/>
              </w:trPr>
              <w:tc>
                <w:tcPr>
                  <w:tcW w:w="261" w:type="pct"/>
                  <w:tcBorders>
                    <w:tl2br w:val="nil"/>
                    <w:tr2bl w:val="nil"/>
                  </w:tcBorders>
                  <w:noWrap w:val="0"/>
                  <w:vAlign w:val="center"/>
                </w:tcPr>
                <w:p w14:paraId="3F74FB42">
                  <w:pPr>
                    <w:adjustRightInd w:val="0"/>
                    <w:snapToGrid w:val="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排放类型</w:t>
                  </w:r>
                </w:p>
              </w:tc>
              <w:tc>
                <w:tcPr>
                  <w:tcW w:w="261" w:type="pct"/>
                  <w:tcBorders>
                    <w:tl2br w:val="nil"/>
                    <w:tr2bl w:val="nil"/>
                  </w:tcBorders>
                  <w:noWrap w:val="0"/>
                  <w:vAlign w:val="center"/>
                </w:tcPr>
                <w:p w14:paraId="5F9339B3">
                  <w:pPr>
                    <w:adjustRightInd w:val="0"/>
                    <w:snapToGrid w:val="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浓度物</w:t>
                  </w:r>
                </w:p>
              </w:tc>
              <w:tc>
                <w:tcPr>
                  <w:tcW w:w="621" w:type="pct"/>
                  <w:tcBorders>
                    <w:tl2br w:val="nil"/>
                    <w:tr2bl w:val="nil"/>
                  </w:tcBorders>
                  <w:noWrap w:val="0"/>
                  <w:vAlign w:val="center"/>
                </w:tcPr>
                <w:p w14:paraId="3661FA0B">
                  <w:pPr>
                    <w:adjustRightInd w:val="0"/>
                    <w:snapToGrid w:val="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产生速率（kg/h）</w:t>
                  </w:r>
                </w:p>
              </w:tc>
              <w:tc>
                <w:tcPr>
                  <w:tcW w:w="734" w:type="pct"/>
                  <w:tcBorders>
                    <w:tl2br w:val="nil"/>
                    <w:tr2bl w:val="nil"/>
                  </w:tcBorders>
                  <w:noWrap w:val="0"/>
                  <w:vAlign w:val="center"/>
                </w:tcPr>
                <w:p w14:paraId="28AFBEFE">
                  <w:pPr>
                    <w:adjustRightInd w:val="0"/>
                    <w:snapToGrid w:val="0"/>
                    <w:jc w:val="center"/>
                    <w:rPr>
                      <w:rFonts w:hint="default" w:ascii="Times New Roman" w:hAnsi="Times New Roman"/>
                      <w:bCs/>
                      <w:color w:val="auto"/>
                      <w:szCs w:val="21"/>
                      <w:u w:val="single"/>
                      <w:lang w:val="en-US" w:eastAsia="zh-CN"/>
                    </w:rPr>
                  </w:pPr>
                  <w:r>
                    <w:rPr>
                      <w:rFonts w:hint="eastAsia" w:ascii="Times New Roman" w:hAnsi="Times New Roman"/>
                      <w:bCs/>
                      <w:color w:val="auto"/>
                      <w:szCs w:val="21"/>
                      <w:u w:val="single"/>
                      <w:lang w:val="en-US" w:eastAsia="zh-CN"/>
                    </w:rPr>
                    <w:t>产生浓度</w:t>
                  </w:r>
                  <w:r>
                    <w:rPr>
                      <w:rFonts w:hint="default" w:ascii="Times New Roman" w:hAnsi="Times New Roman"/>
                      <w:bCs/>
                      <w:color w:val="auto"/>
                      <w:szCs w:val="21"/>
                      <w:u w:val="single"/>
                      <w:lang w:eastAsia="zh-CN"/>
                    </w:rPr>
                    <w:t>（</w:t>
                  </w:r>
                  <w:r>
                    <w:rPr>
                      <w:rFonts w:hint="default" w:ascii="Times New Roman" w:hAnsi="Times New Roman"/>
                      <w:bCs/>
                      <w:color w:val="auto"/>
                      <w:szCs w:val="21"/>
                      <w:u w:val="single"/>
                      <w:lang w:val="en-US" w:eastAsia="zh-CN"/>
                    </w:rPr>
                    <w:t>mg/m</w:t>
                  </w:r>
                  <w:r>
                    <w:rPr>
                      <w:rFonts w:hint="default" w:ascii="Times New Roman" w:hAnsi="Times New Roman"/>
                      <w:bCs/>
                      <w:color w:val="auto"/>
                      <w:szCs w:val="21"/>
                      <w:u w:val="single"/>
                      <w:vertAlign w:val="superscript"/>
                      <w:lang w:val="en-US" w:eastAsia="zh-CN"/>
                    </w:rPr>
                    <w:t>3</w:t>
                  </w:r>
                  <w:r>
                    <w:rPr>
                      <w:rFonts w:hint="default" w:ascii="Times New Roman" w:hAnsi="Times New Roman"/>
                      <w:bCs/>
                      <w:color w:val="auto"/>
                      <w:szCs w:val="21"/>
                      <w:u w:val="single"/>
                      <w:lang w:eastAsia="zh-CN"/>
                    </w:rPr>
                    <w:t>）</w:t>
                  </w:r>
                </w:p>
              </w:tc>
              <w:tc>
                <w:tcPr>
                  <w:tcW w:w="261" w:type="pct"/>
                  <w:tcBorders>
                    <w:tl2br w:val="nil"/>
                    <w:tr2bl w:val="nil"/>
                  </w:tcBorders>
                  <w:noWrap w:val="0"/>
                  <w:vAlign w:val="center"/>
                </w:tcPr>
                <w:p w14:paraId="1910D834">
                  <w:pPr>
                    <w:adjustRightInd w:val="0"/>
                    <w:snapToGrid w:val="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处理措施</w:t>
                  </w:r>
                </w:p>
              </w:tc>
              <w:tc>
                <w:tcPr>
                  <w:tcW w:w="792" w:type="pct"/>
                  <w:tcBorders>
                    <w:tl2br w:val="nil"/>
                    <w:tr2bl w:val="nil"/>
                  </w:tcBorders>
                  <w:noWrap w:val="0"/>
                  <w:vAlign w:val="center"/>
                </w:tcPr>
                <w:p w14:paraId="39146047">
                  <w:pPr>
                    <w:adjustRightInd w:val="0"/>
                    <w:snapToGrid w:val="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排气量(m</w:t>
                  </w:r>
                  <w:r>
                    <w:rPr>
                      <w:rFonts w:hint="default" w:ascii="Times New Roman" w:hAnsi="Times New Roman"/>
                      <w:bCs/>
                      <w:color w:val="auto"/>
                      <w:szCs w:val="21"/>
                      <w:u w:val="single"/>
                      <w:vertAlign w:val="superscript"/>
                      <w:lang w:val="en-US" w:eastAsia="zh-CN"/>
                    </w:rPr>
                    <w:t>3</w:t>
                  </w:r>
                  <w:r>
                    <w:rPr>
                      <w:rFonts w:hint="default" w:ascii="Times New Roman" w:hAnsi="Times New Roman"/>
                      <w:bCs/>
                      <w:color w:val="auto"/>
                      <w:szCs w:val="21"/>
                      <w:u w:val="single"/>
                      <w:lang w:val="en-US" w:eastAsia="zh-CN"/>
                    </w:rPr>
                    <w:t>/h)</w:t>
                  </w:r>
                </w:p>
              </w:tc>
              <w:tc>
                <w:tcPr>
                  <w:tcW w:w="621" w:type="pct"/>
                  <w:tcBorders>
                    <w:tl2br w:val="nil"/>
                    <w:tr2bl w:val="nil"/>
                  </w:tcBorders>
                  <w:noWrap w:val="0"/>
                  <w:vAlign w:val="center"/>
                </w:tcPr>
                <w:p w14:paraId="112B3A85">
                  <w:pPr>
                    <w:adjustRightInd w:val="0"/>
                    <w:snapToGrid w:val="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排放速率（kg/h）</w:t>
                  </w:r>
                </w:p>
              </w:tc>
              <w:tc>
                <w:tcPr>
                  <w:tcW w:w="734" w:type="pct"/>
                  <w:tcBorders>
                    <w:tl2br w:val="nil"/>
                    <w:tr2bl w:val="nil"/>
                  </w:tcBorders>
                  <w:noWrap w:val="0"/>
                  <w:vAlign w:val="center"/>
                </w:tcPr>
                <w:p w14:paraId="4DE43EE7">
                  <w:pPr>
                    <w:adjustRightInd w:val="0"/>
                    <w:snapToGrid w:val="0"/>
                    <w:jc w:val="center"/>
                    <w:rPr>
                      <w:rFonts w:hint="default" w:ascii="Times New Roman" w:hAnsi="Times New Roman"/>
                      <w:bCs/>
                      <w:color w:val="auto"/>
                      <w:szCs w:val="21"/>
                      <w:u w:val="single"/>
                      <w:lang w:val="en-US" w:eastAsia="zh-CN"/>
                    </w:rPr>
                  </w:pPr>
                  <w:r>
                    <w:rPr>
                      <w:rFonts w:hint="eastAsia"/>
                      <w:bCs/>
                      <w:color w:val="auto"/>
                      <w:szCs w:val="21"/>
                      <w:u w:val="single"/>
                      <w:lang w:val="en-US" w:eastAsia="zh-CN"/>
                    </w:rPr>
                    <w:t>排放</w:t>
                  </w:r>
                  <w:r>
                    <w:rPr>
                      <w:rFonts w:hint="eastAsia" w:ascii="Times New Roman" w:hAnsi="Times New Roman"/>
                      <w:bCs/>
                      <w:color w:val="auto"/>
                      <w:szCs w:val="21"/>
                      <w:u w:val="single"/>
                      <w:lang w:val="en-US" w:eastAsia="zh-CN"/>
                    </w:rPr>
                    <w:t>浓度</w:t>
                  </w:r>
                  <w:r>
                    <w:rPr>
                      <w:rFonts w:hint="default" w:ascii="Times New Roman" w:hAnsi="Times New Roman"/>
                      <w:bCs/>
                      <w:color w:val="auto"/>
                      <w:szCs w:val="21"/>
                      <w:u w:val="single"/>
                      <w:lang w:eastAsia="zh-CN"/>
                    </w:rPr>
                    <w:t>（</w:t>
                  </w:r>
                  <w:r>
                    <w:rPr>
                      <w:rFonts w:hint="default" w:ascii="Times New Roman" w:hAnsi="Times New Roman"/>
                      <w:bCs/>
                      <w:color w:val="auto"/>
                      <w:szCs w:val="21"/>
                      <w:u w:val="single"/>
                      <w:lang w:val="en-US" w:eastAsia="zh-CN"/>
                    </w:rPr>
                    <w:t>mg/m</w:t>
                  </w:r>
                  <w:r>
                    <w:rPr>
                      <w:rFonts w:hint="default" w:ascii="Times New Roman" w:hAnsi="Times New Roman"/>
                      <w:bCs/>
                      <w:color w:val="auto"/>
                      <w:szCs w:val="21"/>
                      <w:u w:val="single"/>
                      <w:vertAlign w:val="superscript"/>
                      <w:lang w:val="en-US" w:eastAsia="zh-CN"/>
                    </w:rPr>
                    <w:t>3</w:t>
                  </w:r>
                  <w:r>
                    <w:rPr>
                      <w:rFonts w:hint="default" w:ascii="Times New Roman" w:hAnsi="Times New Roman"/>
                      <w:bCs/>
                      <w:color w:val="auto"/>
                      <w:szCs w:val="21"/>
                      <w:u w:val="single"/>
                      <w:lang w:eastAsia="zh-CN"/>
                    </w:rPr>
                    <w:t>）</w:t>
                  </w:r>
                </w:p>
              </w:tc>
              <w:tc>
                <w:tcPr>
                  <w:tcW w:w="448" w:type="pct"/>
                  <w:tcBorders>
                    <w:tl2br w:val="nil"/>
                    <w:tr2bl w:val="nil"/>
                  </w:tcBorders>
                  <w:noWrap w:val="0"/>
                  <w:vAlign w:val="center"/>
                </w:tcPr>
                <w:p w14:paraId="024E3771">
                  <w:pPr>
                    <w:adjustRightInd w:val="0"/>
                    <w:snapToGrid w:val="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执行</w:t>
                  </w:r>
                </w:p>
                <w:p w14:paraId="28B3CF00">
                  <w:pPr>
                    <w:adjustRightInd w:val="0"/>
                    <w:snapToGrid w:val="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标准</w:t>
                  </w:r>
                </w:p>
                <w:p w14:paraId="29018868">
                  <w:pPr>
                    <w:adjustRightInd w:val="0"/>
                    <w:snapToGrid w:val="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(kg/h)</w:t>
                  </w:r>
                </w:p>
              </w:tc>
              <w:tc>
                <w:tcPr>
                  <w:tcW w:w="261" w:type="pct"/>
                  <w:tcBorders>
                    <w:tl2br w:val="nil"/>
                    <w:tr2bl w:val="nil"/>
                  </w:tcBorders>
                  <w:noWrap w:val="0"/>
                  <w:vAlign w:val="center"/>
                </w:tcPr>
                <w:p w14:paraId="1157E945">
                  <w:pPr>
                    <w:adjustRightInd w:val="0"/>
                    <w:snapToGrid w:val="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是否达标</w:t>
                  </w:r>
                </w:p>
              </w:tc>
            </w:tr>
            <w:tr w14:paraId="04F37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261" w:type="pct"/>
                  <w:vMerge w:val="restart"/>
                  <w:tcBorders>
                    <w:tl2br w:val="nil"/>
                    <w:tr2bl w:val="nil"/>
                  </w:tcBorders>
                  <w:noWrap w:val="0"/>
                  <w:vAlign w:val="center"/>
                </w:tcPr>
                <w:p w14:paraId="42E8977F">
                  <w:pPr>
                    <w:adjustRightInd w:val="0"/>
                    <w:snapToGrid w:val="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有组织</w:t>
                  </w:r>
                </w:p>
              </w:tc>
              <w:tc>
                <w:tcPr>
                  <w:tcW w:w="261" w:type="pct"/>
                  <w:tcBorders>
                    <w:tl2br w:val="nil"/>
                    <w:tr2bl w:val="nil"/>
                  </w:tcBorders>
                  <w:noWrap w:val="0"/>
                  <w:vAlign w:val="center"/>
                </w:tcPr>
                <w:p w14:paraId="5481F20A">
                  <w:pPr>
                    <w:adjustRightInd w:val="0"/>
                    <w:snapToGrid w:val="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氨</w:t>
                  </w:r>
                </w:p>
              </w:tc>
              <w:tc>
                <w:tcPr>
                  <w:tcW w:w="621" w:type="pct"/>
                  <w:tcBorders>
                    <w:tl2br w:val="nil"/>
                    <w:tr2bl w:val="nil"/>
                  </w:tcBorders>
                  <w:noWrap w:val="0"/>
                  <w:vAlign w:val="center"/>
                </w:tcPr>
                <w:p w14:paraId="487132D1">
                  <w:pPr>
                    <w:adjustRightInd w:val="0"/>
                    <w:snapToGrid w:val="0"/>
                    <w:jc w:val="center"/>
                    <w:rPr>
                      <w:rFonts w:hint="default" w:ascii="Times New Roman" w:hAnsi="Times New Roman"/>
                      <w:bCs/>
                      <w:color w:val="auto"/>
                      <w:szCs w:val="21"/>
                      <w:u w:val="single"/>
                      <w:lang w:val="en-US" w:eastAsia="zh-CN"/>
                    </w:rPr>
                  </w:pPr>
                  <w:r>
                    <w:rPr>
                      <w:rFonts w:hint="eastAsia" w:ascii="Times New Roman" w:hAnsi="Times New Roman"/>
                      <w:bCs/>
                      <w:color w:val="auto"/>
                      <w:szCs w:val="21"/>
                      <w:u w:val="single"/>
                      <w:lang w:val="en-US" w:eastAsia="zh-CN"/>
                    </w:rPr>
                    <w:t>0.</w:t>
                  </w:r>
                  <w:r>
                    <w:rPr>
                      <w:rFonts w:hint="eastAsia"/>
                      <w:bCs/>
                      <w:color w:val="auto"/>
                      <w:szCs w:val="21"/>
                      <w:u w:val="single"/>
                      <w:lang w:val="en-US" w:eastAsia="zh-CN"/>
                    </w:rPr>
                    <w:t>0155</w:t>
                  </w:r>
                </w:p>
              </w:tc>
              <w:tc>
                <w:tcPr>
                  <w:tcW w:w="734" w:type="pct"/>
                  <w:tcBorders>
                    <w:tl2br w:val="nil"/>
                    <w:tr2bl w:val="nil"/>
                  </w:tcBorders>
                  <w:noWrap w:val="0"/>
                  <w:vAlign w:val="center"/>
                </w:tcPr>
                <w:p w14:paraId="3B1BC77E">
                  <w:pPr>
                    <w:adjustRightInd w:val="0"/>
                    <w:snapToGrid w:val="0"/>
                    <w:jc w:val="center"/>
                    <w:rPr>
                      <w:rFonts w:hint="default" w:ascii="Times New Roman" w:hAnsi="Times New Roman"/>
                      <w:bCs/>
                      <w:color w:val="auto"/>
                      <w:szCs w:val="21"/>
                      <w:u w:val="single"/>
                      <w:lang w:val="en-US" w:eastAsia="zh-CN"/>
                    </w:rPr>
                  </w:pPr>
                  <w:r>
                    <w:rPr>
                      <w:rFonts w:hint="eastAsia"/>
                      <w:bCs/>
                      <w:color w:val="auto"/>
                      <w:szCs w:val="21"/>
                      <w:u w:val="single"/>
                      <w:lang w:val="en-US" w:eastAsia="zh-CN"/>
                    </w:rPr>
                    <w:t>0.54</w:t>
                  </w:r>
                </w:p>
              </w:tc>
              <w:tc>
                <w:tcPr>
                  <w:tcW w:w="261" w:type="pct"/>
                  <w:vMerge w:val="restart"/>
                  <w:tcBorders>
                    <w:tl2br w:val="nil"/>
                    <w:tr2bl w:val="nil"/>
                  </w:tcBorders>
                  <w:noWrap w:val="0"/>
                  <w:vAlign w:val="center"/>
                </w:tcPr>
                <w:p w14:paraId="58D30E06">
                  <w:pPr>
                    <w:adjustRightInd w:val="0"/>
                    <w:snapToGrid w:val="0"/>
                    <w:jc w:val="center"/>
                    <w:rPr>
                      <w:rFonts w:hint="default" w:ascii="Times New Roman" w:hAnsi="Times New Roman"/>
                      <w:bCs/>
                      <w:color w:val="auto"/>
                      <w:szCs w:val="21"/>
                      <w:u w:val="single"/>
                      <w:lang w:val="en-US" w:eastAsia="zh-CN"/>
                    </w:rPr>
                  </w:pPr>
                  <w:r>
                    <w:rPr>
                      <w:rFonts w:hint="eastAsia" w:ascii="Times New Roman" w:hAnsi="Times New Roman"/>
                      <w:bCs/>
                      <w:color w:val="auto"/>
                      <w:szCs w:val="21"/>
                      <w:u w:val="single"/>
                      <w:lang w:val="en-US" w:eastAsia="zh-CN"/>
                    </w:rPr>
                    <w:t>生物滤池</w:t>
                  </w:r>
                </w:p>
              </w:tc>
              <w:tc>
                <w:tcPr>
                  <w:tcW w:w="792" w:type="pct"/>
                  <w:vMerge w:val="restart"/>
                  <w:tcBorders>
                    <w:tl2br w:val="nil"/>
                    <w:tr2bl w:val="nil"/>
                  </w:tcBorders>
                  <w:noWrap w:val="0"/>
                  <w:vAlign w:val="center"/>
                </w:tcPr>
                <w:p w14:paraId="38C785A0">
                  <w:pPr>
                    <w:adjustRightInd w:val="0"/>
                    <w:snapToGrid w:val="0"/>
                    <w:jc w:val="center"/>
                    <w:rPr>
                      <w:rFonts w:hint="default" w:ascii="Times New Roman" w:hAnsi="Times New Roman"/>
                      <w:bCs/>
                      <w:color w:val="auto"/>
                      <w:szCs w:val="21"/>
                      <w:u w:val="single"/>
                      <w:lang w:val="en-US" w:eastAsia="zh-CN"/>
                    </w:rPr>
                  </w:pPr>
                  <w:r>
                    <w:rPr>
                      <w:rFonts w:hint="eastAsia"/>
                      <w:bCs/>
                      <w:color w:val="auto"/>
                      <w:szCs w:val="21"/>
                      <w:u w:val="single"/>
                      <w:lang w:val="en-US" w:eastAsia="zh-CN"/>
                    </w:rPr>
                    <w:t>28500</w:t>
                  </w:r>
                  <w:r>
                    <w:rPr>
                      <w:rFonts w:hint="default" w:ascii="Times New Roman" w:hAnsi="Times New Roman"/>
                      <w:bCs/>
                      <w:color w:val="auto"/>
                      <w:szCs w:val="21"/>
                      <w:u w:val="single"/>
                      <w:lang w:val="en-US" w:eastAsia="zh-CN"/>
                    </w:rPr>
                    <w:t>Nm</w:t>
                  </w:r>
                  <w:r>
                    <w:rPr>
                      <w:rFonts w:hint="default" w:ascii="Times New Roman" w:hAnsi="Times New Roman"/>
                      <w:bCs/>
                      <w:color w:val="auto"/>
                      <w:szCs w:val="21"/>
                      <w:u w:val="single"/>
                      <w:vertAlign w:val="superscript"/>
                      <w:lang w:val="en-US" w:eastAsia="zh-CN"/>
                    </w:rPr>
                    <w:t>3</w:t>
                  </w:r>
                  <w:r>
                    <w:rPr>
                      <w:rFonts w:hint="default" w:ascii="Times New Roman" w:hAnsi="Times New Roman"/>
                      <w:bCs/>
                      <w:color w:val="auto"/>
                      <w:szCs w:val="21"/>
                      <w:u w:val="single"/>
                      <w:lang w:val="en-US" w:eastAsia="zh-CN"/>
                    </w:rPr>
                    <w:t>/h</w:t>
                  </w:r>
                </w:p>
              </w:tc>
              <w:tc>
                <w:tcPr>
                  <w:tcW w:w="621" w:type="pct"/>
                  <w:tcBorders>
                    <w:tl2br w:val="nil"/>
                    <w:tr2bl w:val="nil"/>
                  </w:tcBorders>
                  <w:noWrap w:val="0"/>
                  <w:vAlign w:val="center"/>
                </w:tcPr>
                <w:p w14:paraId="42E54514">
                  <w:pPr>
                    <w:adjustRightInd w:val="0"/>
                    <w:snapToGrid w:val="0"/>
                    <w:jc w:val="center"/>
                    <w:rPr>
                      <w:rFonts w:hint="default" w:ascii="Times New Roman" w:hAnsi="Times New Roman"/>
                      <w:bCs/>
                      <w:color w:val="auto"/>
                      <w:szCs w:val="21"/>
                      <w:u w:val="single"/>
                      <w:lang w:val="en-US" w:eastAsia="zh-CN"/>
                    </w:rPr>
                  </w:pPr>
                  <w:r>
                    <w:rPr>
                      <w:rFonts w:hint="eastAsia" w:ascii="Times New Roman" w:hAnsi="Times New Roman"/>
                      <w:bCs/>
                      <w:color w:val="auto"/>
                      <w:szCs w:val="21"/>
                      <w:u w:val="single"/>
                      <w:lang w:val="en-US" w:eastAsia="zh-CN"/>
                    </w:rPr>
                    <w:t>0.0</w:t>
                  </w:r>
                  <w:r>
                    <w:rPr>
                      <w:rFonts w:hint="eastAsia"/>
                      <w:bCs/>
                      <w:color w:val="auto"/>
                      <w:szCs w:val="21"/>
                      <w:u w:val="single"/>
                      <w:lang w:val="en-US" w:eastAsia="zh-CN"/>
                    </w:rPr>
                    <w:t>0155</w:t>
                  </w:r>
                </w:p>
              </w:tc>
              <w:tc>
                <w:tcPr>
                  <w:tcW w:w="734" w:type="pct"/>
                  <w:tcBorders>
                    <w:tl2br w:val="nil"/>
                    <w:tr2bl w:val="nil"/>
                  </w:tcBorders>
                  <w:noWrap w:val="0"/>
                  <w:vAlign w:val="center"/>
                </w:tcPr>
                <w:p w14:paraId="3E72EC05">
                  <w:pPr>
                    <w:adjustRightInd w:val="0"/>
                    <w:snapToGrid w:val="0"/>
                    <w:jc w:val="center"/>
                    <w:rPr>
                      <w:rFonts w:hint="default" w:ascii="Times New Roman" w:hAnsi="Times New Roman"/>
                      <w:bCs/>
                      <w:color w:val="auto"/>
                      <w:szCs w:val="21"/>
                      <w:u w:val="single"/>
                      <w:lang w:val="en-US" w:eastAsia="zh-CN"/>
                    </w:rPr>
                  </w:pPr>
                  <w:r>
                    <w:rPr>
                      <w:rFonts w:hint="eastAsia"/>
                      <w:bCs/>
                      <w:color w:val="auto"/>
                      <w:szCs w:val="21"/>
                      <w:u w:val="single"/>
                      <w:lang w:val="en-US" w:eastAsia="zh-CN"/>
                    </w:rPr>
                    <w:t>0.054</w:t>
                  </w:r>
                </w:p>
              </w:tc>
              <w:tc>
                <w:tcPr>
                  <w:tcW w:w="448" w:type="pct"/>
                  <w:tcBorders>
                    <w:tl2br w:val="nil"/>
                    <w:tr2bl w:val="nil"/>
                  </w:tcBorders>
                  <w:noWrap w:val="0"/>
                  <w:vAlign w:val="center"/>
                </w:tcPr>
                <w:p w14:paraId="43D6BB3A">
                  <w:pPr>
                    <w:adjustRightInd w:val="0"/>
                    <w:snapToGrid w:val="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4.9</w:t>
                  </w:r>
                </w:p>
              </w:tc>
              <w:tc>
                <w:tcPr>
                  <w:tcW w:w="261" w:type="pct"/>
                  <w:tcBorders>
                    <w:tl2br w:val="nil"/>
                    <w:tr2bl w:val="nil"/>
                  </w:tcBorders>
                  <w:noWrap w:val="0"/>
                  <w:vAlign w:val="center"/>
                </w:tcPr>
                <w:p w14:paraId="6F0AFBCD">
                  <w:pPr>
                    <w:adjustRightInd w:val="0"/>
                    <w:snapToGrid w:val="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达标</w:t>
                  </w:r>
                </w:p>
              </w:tc>
            </w:tr>
            <w:tr w14:paraId="791DD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261" w:type="pct"/>
                  <w:vMerge w:val="continue"/>
                  <w:tcBorders>
                    <w:tl2br w:val="nil"/>
                    <w:tr2bl w:val="nil"/>
                  </w:tcBorders>
                  <w:noWrap w:val="0"/>
                  <w:vAlign w:val="center"/>
                </w:tcPr>
                <w:p w14:paraId="7DF49F48">
                  <w:pPr>
                    <w:adjustRightInd w:val="0"/>
                    <w:snapToGrid w:val="0"/>
                    <w:jc w:val="center"/>
                    <w:rPr>
                      <w:rFonts w:hint="default" w:ascii="Times New Roman" w:hAnsi="Times New Roman"/>
                      <w:bCs/>
                      <w:color w:val="auto"/>
                      <w:szCs w:val="21"/>
                      <w:u w:val="single"/>
                      <w:lang w:val="en-US" w:eastAsia="zh-CN"/>
                    </w:rPr>
                  </w:pPr>
                </w:p>
              </w:tc>
              <w:tc>
                <w:tcPr>
                  <w:tcW w:w="261" w:type="pct"/>
                  <w:tcBorders>
                    <w:tl2br w:val="nil"/>
                    <w:tr2bl w:val="nil"/>
                  </w:tcBorders>
                  <w:noWrap w:val="0"/>
                  <w:vAlign w:val="center"/>
                </w:tcPr>
                <w:p w14:paraId="2D7766A9">
                  <w:pPr>
                    <w:adjustRightInd w:val="0"/>
                    <w:snapToGrid w:val="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硫化氢</w:t>
                  </w:r>
                </w:p>
              </w:tc>
              <w:tc>
                <w:tcPr>
                  <w:tcW w:w="621" w:type="pct"/>
                  <w:tcBorders>
                    <w:tl2br w:val="nil"/>
                    <w:tr2bl w:val="nil"/>
                  </w:tcBorders>
                  <w:noWrap w:val="0"/>
                  <w:vAlign w:val="center"/>
                </w:tcPr>
                <w:p w14:paraId="2D0AC9CB">
                  <w:pPr>
                    <w:adjustRightInd w:val="0"/>
                    <w:snapToGrid w:val="0"/>
                    <w:jc w:val="center"/>
                    <w:rPr>
                      <w:rFonts w:hint="default" w:ascii="Times New Roman" w:hAnsi="Times New Roman"/>
                      <w:bCs/>
                      <w:color w:val="auto"/>
                      <w:szCs w:val="21"/>
                      <w:u w:val="single"/>
                      <w:lang w:val="en-US" w:eastAsia="zh-CN"/>
                    </w:rPr>
                  </w:pPr>
                  <w:r>
                    <w:rPr>
                      <w:rFonts w:hint="eastAsia" w:ascii="Times New Roman" w:hAnsi="Times New Roman"/>
                      <w:bCs/>
                      <w:color w:val="auto"/>
                      <w:szCs w:val="21"/>
                      <w:u w:val="single"/>
                      <w:lang w:val="en-US" w:eastAsia="zh-CN"/>
                    </w:rPr>
                    <w:t>0.0</w:t>
                  </w:r>
                  <w:r>
                    <w:rPr>
                      <w:rFonts w:hint="eastAsia"/>
                      <w:bCs/>
                      <w:color w:val="auto"/>
                      <w:szCs w:val="21"/>
                      <w:u w:val="single"/>
                      <w:lang w:val="en-US" w:eastAsia="zh-CN"/>
                    </w:rPr>
                    <w:t>006</w:t>
                  </w:r>
                </w:p>
              </w:tc>
              <w:tc>
                <w:tcPr>
                  <w:tcW w:w="734" w:type="pct"/>
                  <w:tcBorders>
                    <w:tl2br w:val="nil"/>
                    <w:tr2bl w:val="nil"/>
                  </w:tcBorders>
                  <w:noWrap w:val="0"/>
                  <w:vAlign w:val="center"/>
                </w:tcPr>
                <w:p w14:paraId="3A2C2666">
                  <w:pPr>
                    <w:adjustRightInd w:val="0"/>
                    <w:snapToGrid w:val="0"/>
                    <w:jc w:val="center"/>
                    <w:rPr>
                      <w:rFonts w:hint="default" w:ascii="Times New Roman" w:hAnsi="Times New Roman"/>
                      <w:bCs/>
                      <w:color w:val="auto"/>
                      <w:szCs w:val="21"/>
                      <w:u w:val="single"/>
                      <w:lang w:val="en-US" w:eastAsia="zh-CN"/>
                    </w:rPr>
                  </w:pPr>
                  <w:r>
                    <w:rPr>
                      <w:rFonts w:hint="eastAsia"/>
                      <w:bCs/>
                      <w:color w:val="auto"/>
                      <w:szCs w:val="21"/>
                      <w:u w:val="single"/>
                      <w:lang w:val="en-US" w:eastAsia="zh-CN"/>
                    </w:rPr>
                    <w:t>0.02</w:t>
                  </w:r>
                </w:p>
              </w:tc>
              <w:tc>
                <w:tcPr>
                  <w:tcW w:w="261" w:type="pct"/>
                  <w:vMerge w:val="continue"/>
                  <w:tcBorders>
                    <w:tl2br w:val="nil"/>
                    <w:tr2bl w:val="nil"/>
                  </w:tcBorders>
                  <w:noWrap w:val="0"/>
                  <w:vAlign w:val="center"/>
                </w:tcPr>
                <w:p w14:paraId="1C2FC855">
                  <w:pPr>
                    <w:adjustRightInd w:val="0"/>
                    <w:snapToGrid w:val="0"/>
                    <w:jc w:val="center"/>
                    <w:rPr>
                      <w:rFonts w:hint="default" w:ascii="Times New Roman" w:hAnsi="Times New Roman"/>
                      <w:bCs/>
                      <w:color w:val="auto"/>
                      <w:szCs w:val="21"/>
                      <w:u w:val="single"/>
                      <w:lang w:val="en-US" w:eastAsia="zh-CN"/>
                    </w:rPr>
                  </w:pPr>
                </w:p>
              </w:tc>
              <w:tc>
                <w:tcPr>
                  <w:tcW w:w="792" w:type="pct"/>
                  <w:vMerge w:val="continue"/>
                  <w:tcBorders>
                    <w:tl2br w:val="nil"/>
                    <w:tr2bl w:val="nil"/>
                  </w:tcBorders>
                  <w:noWrap w:val="0"/>
                  <w:vAlign w:val="center"/>
                </w:tcPr>
                <w:p w14:paraId="3A7E1CE0">
                  <w:pPr>
                    <w:adjustRightInd w:val="0"/>
                    <w:snapToGrid w:val="0"/>
                    <w:jc w:val="center"/>
                    <w:rPr>
                      <w:rFonts w:hint="default" w:ascii="Times New Roman" w:hAnsi="Times New Roman"/>
                      <w:bCs/>
                      <w:color w:val="auto"/>
                      <w:szCs w:val="21"/>
                      <w:u w:val="single"/>
                      <w:lang w:val="en-US" w:eastAsia="zh-CN"/>
                    </w:rPr>
                  </w:pPr>
                </w:p>
              </w:tc>
              <w:tc>
                <w:tcPr>
                  <w:tcW w:w="621" w:type="pct"/>
                  <w:tcBorders>
                    <w:tl2br w:val="nil"/>
                    <w:tr2bl w:val="nil"/>
                  </w:tcBorders>
                  <w:noWrap w:val="0"/>
                  <w:vAlign w:val="center"/>
                </w:tcPr>
                <w:p w14:paraId="47F3811D">
                  <w:pPr>
                    <w:adjustRightInd w:val="0"/>
                    <w:snapToGrid w:val="0"/>
                    <w:jc w:val="center"/>
                    <w:rPr>
                      <w:rFonts w:hint="default" w:ascii="Times New Roman" w:hAnsi="Times New Roman"/>
                      <w:bCs/>
                      <w:color w:val="auto"/>
                      <w:szCs w:val="21"/>
                      <w:u w:val="single"/>
                      <w:lang w:val="en-US" w:eastAsia="zh-CN"/>
                    </w:rPr>
                  </w:pPr>
                  <w:r>
                    <w:rPr>
                      <w:rFonts w:hint="eastAsia" w:ascii="Times New Roman" w:hAnsi="Times New Roman"/>
                      <w:bCs/>
                      <w:color w:val="auto"/>
                      <w:szCs w:val="21"/>
                      <w:u w:val="single"/>
                      <w:lang w:val="en-US" w:eastAsia="zh-CN"/>
                    </w:rPr>
                    <w:t>0.00</w:t>
                  </w:r>
                  <w:r>
                    <w:rPr>
                      <w:rFonts w:hint="eastAsia"/>
                      <w:bCs/>
                      <w:color w:val="auto"/>
                      <w:szCs w:val="21"/>
                      <w:u w:val="single"/>
                      <w:lang w:val="en-US" w:eastAsia="zh-CN"/>
                    </w:rPr>
                    <w:t>006</w:t>
                  </w:r>
                </w:p>
              </w:tc>
              <w:tc>
                <w:tcPr>
                  <w:tcW w:w="734" w:type="pct"/>
                  <w:tcBorders>
                    <w:tl2br w:val="nil"/>
                    <w:tr2bl w:val="nil"/>
                  </w:tcBorders>
                  <w:noWrap w:val="0"/>
                  <w:vAlign w:val="center"/>
                </w:tcPr>
                <w:p w14:paraId="3E0B7BA1">
                  <w:pPr>
                    <w:adjustRightInd w:val="0"/>
                    <w:snapToGrid w:val="0"/>
                    <w:jc w:val="center"/>
                    <w:rPr>
                      <w:rFonts w:hint="default" w:ascii="Times New Roman" w:hAnsi="Times New Roman"/>
                      <w:bCs/>
                      <w:color w:val="auto"/>
                      <w:szCs w:val="21"/>
                      <w:u w:val="single"/>
                      <w:lang w:val="en-US" w:eastAsia="zh-CN"/>
                    </w:rPr>
                  </w:pPr>
                  <w:r>
                    <w:rPr>
                      <w:rFonts w:hint="eastAsia" w:ascii="Times New Roman" w:hAnsi="Times New Roman"/>
                      <w:bCs/>
                      <w:color w:val="auto"/>
                      <w:szCs w:val="21"/>
                      <w:u w:val="single"/>
                      <w:lang w:val="en-US" w:eastAsia="zh-CN"/>
                    </w:rPr>
                    <w:t>0.</w:t>
                  </w:r>
                  <w:r>
                    <w:rPr>
                      <w:rFonts w:hint="eastAsia"/>
                      <w:bCs/>
                      <w:color w:val="auto"/>
                      <w:szCs w:val="21"/>
                      <w:u w:val="single"/>
                      <w:lang w:val="en-US" w:eastAsia="zh-CN"/>
                    </w:rPr>
                    <w:t>002</w:t>
                  </w:r>
                </w:p>
              </w:tc>
              <w:tc>
                <w:tcPr>
                  <w:tcW w:w="448" w:type="pct"/>
                  <w:tcBorders>
                    <w:tl2br w:val="nil"/>
                    <w:tr2bl w:val="nil"/>
                  </w:tcBorders>
                  <w:noWrap w:val="0"/>
                  <w:vAlign w:val="center"/>
                </w:tcPr>
                <w:p w14:paraId="36A6DC94">
                  <w:pPr>
                    <w:adjustRightInd w:val="0"/>
                    <w:snapToGrid w:val="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0.33</w:t>
                  </w:r>
                </w:p>
              </w:tc>
              <w:tc>
                <w:tcPr>
                  <w:tcW w:w="261" w:type="pct"/>
                  <w:tcBorders>
                    <w:tl2br w:val="nil"/>
                    <w:tr2bl w:val="nil"/>
                  </w:tcBorders>
                  <w:noWrap w:val="0"/>
                  <w:vAlign w:val="center"/>
                </w:tcPr>
                <w:p w14:paraId="13E1EA69">
                  <w:pPr>
                    <w:adjustRightInd w:val="0"/>
                    <w:snapToGrid w:val="0"/>
                    <w:jc w:val="center"/>
                    <w:rPr>
                      <w:rFonts w:hint="default" w:ascii="Times New Roman" w:hAnsi="Times New Roman"/>
                      <w:bCs/>
                      <w:color w:val="auto"/>
                      <w:szCs w:val="21"/>
                      <w:u w:val="single"/>
                      <w:lang w:val="en-US" w:eastAsia="zh-CN"/>
                    </w:rPr>
                  </w:pPr>
                  <w:r>
                    <w:rPr>
                      <w:rFonts w:hint="default" w:ascii="Times New Roman" w:hAnsi="Times New Roman"/>
                      <w:bCs/>
                      <w:color w:val="auto"/>
                      <w:szCs w:val="21"/>
                      <w:u w:val="single"/>
                      <w:lang w:val="en-US" w:eastAsia="zh-CN"/>
                    </w:rPr>
                    <w:t>达标</w:t>
                  </w:r>
                </w:p>
              </w:tc>
            </w:tr>
          </w:tbl>
          <w:p w14:paraId="34D4BB44">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综上所述，环评提出的恶臭防治措施具有较好的可行性和保障性。采取以上恶臭控制措施后，</w:t>
            </w:r>
            <w:r>
              <w:rPr>
                <w:rFonts w:hint="eastAsia" w:cs="Times New Roman"/>
                <w:b w:val="0"/>
                <w:bCs w:val="0"/>
                <w:color w:val="auto"/>
                <w:lang w:val="en-US" w:eastAsia="zh-CN"/>
              </w:rPr>
              <w:t>能达标排放，</w:t>
            </w:r>
            <w:r>
              <w:rPr>
                <w:rFonts w:hint="eastAsia" w:ascii="Times New Roman" w:hAnsi="Times New Roman" w:eastAsia="宋体" w:cs="Times New Roman"/>
                <w:b w:val="0"/>
                <w:bCs w:val="0"/>
                <w:color w:val="auto"/>
                <w:lang w:val="en-US" w:eastAsia="zh-CN"/>
              </w:rPr>
              <w:t>确保将其影响将降至最低，不会对周围环境敏感点产生明显影响，同时对区域大气环境影响也较小。</w:t>
            </w:r>
          </w:p>
          <w:p w14:paraId="62C6DD24">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default" w:cs="Times New Roman"/>
                <w:b/>
                <w:bCs/>
                <w:color w:val="auto"/>
                <w:u w:val="none"/>
                <w:lang w:val="en-US" w:eastAsia="zh-CN"/>
              </w:rPr>
            </w:pPr>
            <w:r>
              <w:rPr>
                <w:rFonts w:hint="eastAsia" w:cs="Times New Roman"/>
                <w:b/>
                <w:bCs/>
                <w:color w:val="auto"/>
                <w:u w:val="none"/>
                <w:lang w:val="en-US" w:eastAsia="zh-CN"/>
              </w:rPr>
              <w:t>4、废气治理措施可行性分析</w:t>
            </w:r>
          </w:p>
          <w:p w14:paraId="4109611E">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cs="Times New Roman"/>
                <w:b w:val="0"/>
                <w:bCs w:val="0"/>
                <w:color w:val="auto"/>
                <w:u w:val="single"/>
                <w:lang w:val="en-US" w:eastAsia="zh-CN"/>
              </w:rPr>
            </w:pPr>
            <w:r>
              <w:rPr>
                <w:rFonts w:hint="eastAsia" w:cs="Times New Roman"/>
                <w:b w:val="0"/>
                <w:bCs w:val="0"/>
                <w:color w:val="auto"/>
                <w:u w:val="single"/>
                <w:lang w:val="en-US" w:eastAsia="zh-CN"/>
              </w:rPr>
              <w:t>生物滤池主要利用微生物去除及氧化气体中的致臭成份，气体流经生物活性滤料，滤料上面的细菌就会分解致臭物质，产生二氧化碳及水气。生物脱臭原理主要为微生物寄生在潮湿的滤料上生长出一层薄薄的生物膜，当致臭物质流经滤料时，被吸附并被氧化从表中内容分析，生物除臭法从经济、技术、管理等各方面最适用于城市生活污水处理厂，也是国内污水厂除臭的主流工艺。该工艺主要利用微生物去除及氧化气体中的致臭成份，气体流经生物活性滤料，滤料上面的细菌就会分解致臭物质，产生二氧化碳及水气。生物脱臭原理主要为微生物寄生在潮湿的滤料上生长出一层薄薄的生物膜，当致臭物质流经滤料时，被吸附并被氧化。</w:t>
            </w:r>
          </w:p>
          <w:p w14:paraId="487C3078">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cs="Times New Roman"/>
                <w:b w:val="0"/>
                <w:bCs w:val="0"/>
                <w:color w:val="auto"/>
                <w:u w:val="single"/>
                <w:lang w:val="en-US" w:eastAsia="zh-CN"/>
              </w:rPr>
            </w:pPr>
            <w:r>
              <w:rPr>
                <w:rFonts w:hint="eastAsia" w:cs="Times New Roman"/>
                <w:b w:val="0"/>
                <w:bCs w:val="0"/>
                <w:color w:val="auto"/>
                <w:u w:val="single"/>
                <w:lang w:val="en-US" w:eastAsia="zh-CN"/>
              </w:rPr>
              <w:t xml:space="preserve">主要为以下三个过程 </w:t>
            </w:r>
          </w:p>
          <w:p w14:paraId="446A10B9">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cs="Times New Roman"/>
                <w:b w:val="0"/>
                <w:bCs w:val="0"/>
                <w:color w:val="auto"/>
                <w:u w:val="single"/>
                <w:lang w:val="en-US" w:eastAsia="zh-CN"/>
              </w:rPr>
            </w:pPr>
            <w:r>
              <w:rPr>
                <w:rFonts w:hint="eastAsia" w:cs="Times New Roman"/>
                <w:b w:val="0"/>
                <w:bCs w:val="0"/>
                <w:color w:val="auto"/>
                <w:u w:val="single"/>
                <w:lang w:val="en-US" w:eastAsia="zh-CN"/>
              </w:rPr>
              <w:t xml:space="preserve">去除有机碳化物R-CH3→CO2+H2O→富营养物 </w:t>
            </w:r>
          </w:p>
          <w:p w14:paraId="0C6A960C">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cs="Times New Roman"/>
                <w:b w:val="0"/>
                <w:bCs w:val="0"/>
                <w:color w:val="auto"/>
                <w:u w:val="single"/>
                <w:lang w:val="en-US" w:eastAsia="zh-CN"/>
              </w:rPr>
            </w:pPr>
            <w:r>
              <w:rPr>
                <w:rFonts w:hint="eastAsia" w:cs="Times New Roman"/>
                <w:b w:val="0"/>
                <w:bCs w:val="0"/>
                <w:color w:val="auto"/>
                <w:u w:val="single"/>
                <w:lang w:val="en-US" w:eastAsia="zh-CN"/>
              </w:rPr>
              <w:t xml:space="preserve">去除有机硫化物 R-SH→SO4+富营养物 </w:t>
            </w:r>
          </w:p>
          <w:p w14:paraId="5EBCD308">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cs="Times New Roman"/>
                <w:b w:val="0"/>
                <w:bCs w:val="0"/>
                <w:color w:val="auto"/>
                <w:u w:val="single"/>
                <w:lang w:val="en-US" w:eastAsia="zh-CN"/>
              </w:rPr>
            </w:pPr>
            <w:r>
              <w:rPr>
                <w:rFonts w:hint="eastAsia" w:cs="Times New Roman"/>
                <w:b w:val="0"/>
                <w:bCs w:val="0"/>
                <w:color w:val="auto"/>
                <w:u w:val="single"/>
                <w:lang w:val="en-US" w:eastAsia="zh-CN"/>
              </w:rPr>
              <w:t xml:space="preserve">去除有机氮 R-NH2→NO3-+富营养物 </w:t>
            </w:r>
          </w:p>
          <w:p w14:paraId="2E0E084D">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cs="Times New Roman"/>
                <w:b w:val="0"/>
                <w:bCs w:val="0"/>
                <w:color w:val="auto"/>
                <w:u w:val="single"/>
                <w:lang w:val="en-US" w:eastAsia="zh-CN"/>
              </w:rPr>
            </w:pPr>
            <w:r>
              <w:rPr>
                <w:rFonts w:hint="eastAsia" w:cs="Times New Roman"/>
                <w:b w:val="0"/>
                <w:bCs w:val="0"/>
                <w:color w:val="auto"/>
                <w:u w:val="single"/>
                <w:lang w:val="en-US" w:eastAsia="zh-CN"/>
              </w:rPr>
              <w:t>该方法除臭效率达80%-95%，具有处理效果好、运行成本低、缓冲容量大、维护管理简单等优点，在污水处理领域得到广泛应用。</w:t>
            </w:r>
          </w:p>
          <w:p w14:paraId="4F694B36">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cs="Times New Roman"/>
                <w:b w:val="0"/>
                <w:bCs w:val="0"/>
                <w:color w:val="auto"/>
                <w:u w:val="none"/>
                <w:lang w:val="en-US" w:eastAsia="zh-CN"/>
              </w:rPr>
            </w:pPr>
            <w:r>
              <w:rPr>
                <w:rFonts w:hint="eastAsia" w:cs="Times New Roman"/>
                <w:b w:val="0"/>
                <w:bCs w:val="0"/>
                <w:color w:val="auto"/>
                <w:u w:val="none"/>
                <w:lang w:val="en-US" w:eastAsia="zh-CN"/>
              </w:rPr>
              <w:t>根据《排污许可申请与核发技术规范 水处理（试行）》（HJ978-2018）中“表5：废气污理可行技术参照表中可行工艺”推荐的可行技术为生物过滤、化学洗涤、活性炭吸附，本项目采用属于推荐的可行技术。项目采取目前的废气处理措施可以做到达标排放，采取措施可行。</w:t>
            </w:r>
          </w:p>
          <w:p w14:paraId="3B537D66">
            <w:pPr>
              <w:pStyle w:val="153"/>
              <w:keepNext w:val="0"/>
              <w:keepLines w:val="0"/>
              <w:pageBreakBefore w:val="0"/>
              <w:widowControl/>
              <w:kinsoku/>
              <w:wordWrap w:val="0"/>
              <w:overflowPunct/>
              <w:topLinePunct/>
              <w:autoSpaceDE/>
              <w:autoSpaceDN/>
              <w:bidi w:val="0"/>
              <w:adjustRightInd w:val="0"/>
              <w:snapToGrid w:val="0"/>
              <w:spacing w:before="157" w:beforeLines="50"/>
              <w:ind w:firstLine="422" w:firstLineChars="200"/>
              <w:textAlignment w:val="auto"/>
              <w:rPr>
                <w:rFonts w:hint="eastAsia"/>
                <w:color w:val="auto"/>
                <w:lang w:val="en-US" w:eastAsia="zh-CN"/>
              </w:rPr>
            </w:pPr>
            <w:r>
              <w:rPr>
                <w:rFonts w:hint="eastAsia"/>
                <w:color w:val="auto"/>
                <w:lang w:val="en-US" w:eastAsia="zh-CN"/>
              </w:rPr>
              <w:t>（二）发电机废气</w:t>
            </w:r>
          </w:p>
          <w:p w14:paraId="71A7DD26">
            <w:pPr>
              <w:pStyle w:val="26"/>
              <w:keepNext w:val="0"/>
              <w:keepLines w:val="0"/>
              <w:pageBreakBefore w:val="0"/>
              <w:widowControl w:val="0"/>
              <w:tabs>
                <w:tab w:val="right" w:leader="dot" w:pos="8820"/>
              </w:tabs>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cs="Times New Roman"/>
                <w:color w:val="auto"/>
                <w:kern w:val="2"/>
                <w:sz w:val="24"/>
                <w:szCs w:val="24"/>
                <w:lang w:val="en-US" w:eastAsia="zh-CN" w:bidi="ar-SA"/>
              </w:rPr>
            </w:pPr>
            <w:r>
              <w:rPr>
                <w:rFonts w:hint="default" w:ascii="Times New Roman" w:hAnsi="Times New Roman"/>
                <w:bCs/>
                <w:color w:val="auto"/>
                <w:kern w:val="2"/>
                <w:sz w:val="24"/>
                <w:szCs w:val="24"/>
                <w:lang w:val="en-US" w:eastAsia="zh-CN" w:bidi="ar-SA"/>
              </w:rPr>
              <w:t>根据项目规划，本项目在</w:t>
            </w:r>
            <w:r>
              <w:rPr>
                <w:rFonts w:hint="eastAsia" w:ascii="Times New Roman" w:hAnsi="Times New Roman"/>
                <w:bCs/>
                <w:color w:val="auto"/>
                <w:kern w:val="2"/>
                <w:sz w:val="24"/>
                <w:szCs w:val="24"/>
                <w:lang w:val="en-US" w:eastAsia="zh-CN" w:bidi="ar-SA"/>
              </w:rPr>
              <w:t>发电机房</w:t>
            </w:r>
            <w:r>
              <w:rPr>
                <w:rFonts w:hint="default" w:ascii="Times New Roman" w:hAnsi="Times New Roman"/>
                <w:bCs/>
                <w:color w:val="auto"/>
                <w:kern w:val="2"/>
                <w:sz w:val="24"/>
                <w:szCs w:val="24"/>
                <w:lang w:val="en-US" w:eastAsia="zh-CN" w:bidi="ar-SA"/>
              </w:rPr>
              <w:t>设置一台</w:t>
            </w:r>
            <w:r>
              <w:rPr>
                <w:rFonts w:hint="eastAsia" w:ascii="Times New Roman" w:hAnsi="Times New Roman"/>
                <w:bCs/>
                <w:color w:val="auto"/>
                <w:kern w:val="2"/>
                <w:sz w:val="24"/>
                <w:szCs w:val="24"/>
                <w:lang w:val="en-US" w:eastAsia="zh-CN" w:bidi="ar-SA"/>
              </w:rPr>
              <w:t>1</w:t>
            </w:r>
            <w:r>
              <w:rPr>
                <w:rFonts w:hint="default" w:ascii="Times New Roman" w:hAnsi="Times New Roman"/>
                <w:bCs/>
                <w:color w:val="auto"/>
                <w:kern w:val="2"/>
                <w:sz w:val="24"/>
                <w:szCs w:val="24"/>
                <w:lang w:val="en-US" w:eastAsia="zh-CN" w:bidi="ar-SA"/>
              </w:rPr>
              <w:t>00KW的备用发电机作为应急用电使用。使用柴油为0#柴油（含硫率≤0.2%）。存放地点为项目</w:t>
            </w:r>
            <w:r>
              <w:rPr>
                <w:rFonts w:hint="eastAsia" w:ascii="Times New Roman" w:hAnsi="Times New Roman"/>
                <w:bCs/>
                <w:color w:val="auto"/>
                <w:kern w:val="2"/>
                <w:sz w:val="24"/>
                <w:szCs w:val="24"/>
                <w:lang w:val="en-US" w:eastAsia="zh-CN" w:bidi="ar-SA"/>
              </w:rPr>
              <w:t>备用发电机房</w:t>
            </w:r>
            <w:r>
              <w:rPr>
                <w:rFonts w:hint="default" w:ascii="Times New Roman" w:hAnsi="Times New Roman"/>
                <w:bCs/>
                <w:color w:val="auto"/>
                <w:kern w:val="2"/>
                <w:sz w:val="24"/>
                <w:szCs w:val="24"/>
                <w:lang w:val="en-US" w:eastAsia="zh-CN" w:bidi="ar-SA"/>
              </w:rPr>
              <w:t>。按单位耗油量150g/Kw•h计，备用发电机的含油量为</w:t>
            </w:r>
            <w:r>
              <w:rPr>
                <w:rFonts w:hint="eastAsia" w:ascii="Times New Roman" w:hAnsi="Times New Roman"/>
                <w:bCs/>
                <w:color w:val="auto"/>
                <w:kern w:val="2"/>
                <w:sz w:val="24"/>
                <w:szCs w:val="24"/>
                <w:lang w:val="en-US" w:eastAsia="zh-CN" w:bidi="ar-SA"/>
              </w:rPr>
              <w:t>15</w:t>
            </w:r>
            <w:r>
              <w:rPr>
                <w:rFonts w:hint="default" w:ascii="Times New Roman" w:hAnsi="Times New Roman"/>
                <w:bCs/>
                <w:color w:val="auto"/>
                <w:kern w:val="2"/>
                <w:sz w:val="24"/>
                <w:szCs w:val="24"/>
                <w:lang w:val="en-US" w:eastAsia="zh-CN" w:bidi="ar-SA"/>
              </w:rPr>
              <w:t>kg/h。由于目前</w:t>
            </w:r>
            <w:r>
              <w:rPr>
                <w:rFonts w:hint="eastAsia" w:ascii="Times New Roman" w:hAnsi="Times New Roman"/>
                <w:bCs/>
                <w:color w:val="auto"/>
                <w:kern w:val="2"/>
                <w:sz w:val="24"/>
                <w:szCs w:val="24"/>
                <w:lang w:val="en-US" w:eastAsia="zh-CN" w:bidi="ar-SA"/>
              </w:rPr>
              <w:t>龙山县</w:t>
            </w:r>
            <w:r>
              <w:rPr>
                <w:rFonts w:hint="default" w:ascii="Times New Roman" w:hAnsi="Times New Roman"/>
                <w:bCs/>
                <w:color w:val="auto"/>
                <w:kern w:val="2"/>
                <w:sz w:val="24"/>
                <w:szCs w:val="24"/>
                <w:lang w:val="en-US" w:eastAsia="zh-CN" w:bidi="ar-SA"/>
              </w:rPr>
              <w:t>供电较为正常，故发电机组使用的频率较为有限，</w:t>
            </w:r>
            <w:r>
              <w:rPr>
                <w:rFonts w:hint="eastAsia" w:ascii="Times New Roman" w:hAnsi="Times New Roman"/>
                <w:bCs/>
                <w:color w:val="auto"/>
                <w:kern w:val="2"/>
                <w:sz w:val="24"/>
                <w:szCs w:val="24"/>
                <w:lang w:val="en-US" w:eastAsia="zh-CN" w:bidi="ar-SA"/>
              </w:rPr>
              <w:t>根据建设单位经验，为维护其正常使用，每三月启动一次，每次启动运行时间为1h，</w:t>
            </w:r>
            <w:r>
              <w:rPr>
                <w:rFonts w:hint="default" w:ascii="Times New Roman" w:hAnsi="Times New Roman"/>
                <w:bCs/>
                <w:color w:val="auto"/>
                <w:kern w:val="2"/>
                <w:sz w:val="24"/>
                <w:szCs w:val="24"/>
                <w:lang w:val="en-US" w:eastAsia="zh-CN" w:bidi="ar-SA"/>
              </w:rPr>
              <w:t>每</w:t>
            </w:r>
            <w:r>
              <w:rPr>
                <w:rFonts w:hint="eastAsia" w:ascii="Times New Roman" w:hAnsi="Times New Roman"/>
                <w:bCs/>
                <w:color w:val="auto"/>
                <w:kern w:val="2"/>
                <w:sz w:val="24"/>
                <w:szCs w:val="24"/>
                <w:lang w:val="en-US" w:eastAsia="zh-CN" w:bidi="ar-SA"/>
              </w:rPr>
              <w:t>年启动4次，</w:t>
            </w:r>
            <w:r>
              <w:rPr>
                <w:rFonts w:hint="default" w:ascii="Times New Roman" w:hAnsi="Times New Roman"/>
                <w:bCs/>
                <w:color w:val="auto"/>
                <w:kern w:val="2"/>
                <w:sz w:val="24"/>
                <w:szCs w:val="24"/>
                <w:lang w:val="en-US" w:eastAsia="zh-CN" w:bidi="ar-SA"/>
              </w:rPr>
              <w:t>使用时间约</w:t>
            </w:r>
            <w:r>
              <w:rPr>
                <w:rFonts w:hint="eastAsia" w:ascii="Times New Roman" w:hAnsi="Times New Roman"/>
                <w:bCs/>
                <w:color w:val="auto"/>
                <w:kern w:val="2"/>
                <w:sz w:val="24"/>
                <w:szCs w:val="24"/>
                <w:lang w:val="en-US" w:eastAsia="zh-CN" w:bidi="ar-SA"/>
              </w:rPr>
              <w:t>4</w:t>
            </w:r>
            <w:r>
              <w:rPr>
                <w:rFonts w:hint="default" w:ascii="Times New Roman" w:hAnsi="Times New Roman"/>
                <w:bCs/>
                <w:color w:val="auto"/>
                <w:kern w:val="2"/>
                <w:sz w:val="24"/>
                <w:szCs w:val="24"/>
                <w:lang w:val="en-US" w:eastAsia="zh-CN" w:bidi="ar-SA"/>
              </w:rPr>
              <w:t>小时左右，</w:t>
            </w:r>
            <w:r>
              <w:rPr>
                <w:rFonts w:hint="eastAsia" w:ascii="Times New Roman" w:hAnsi="Times New Roman"/>
                <w:bCs/>
                <w:color w:val="auto"/>
                <w:kern w:val="2"/>
                <w:sz w:val="24"/>
                <w:szCs w:val="24"/>
                <w:lang w:val="en-US" w:eastAsia="zh-CN" w:bidi="ar-SA"/>
              </w:rPr>
              <w:t>每年线路检修停电时间不会超过8小时，</w:t>
            </w:r>
            <w:r>
              <w:rPr>
                <w:rFonts w:hint="default" w:ascii="Times New Roman" w:hAnsi="Times New Roman"/>
                <w:bCs/>
                <w:color w:val="auto"/>
                <w:kern w:val="2"/>
                <w:sz w:val="24"/>
                <w:szCs w:val="24"/>
                <w:lang w:val="en-US" w:eastAsia="zh-CN" w:bidi="ar-SA"/>
              </w:rPr>
              <w:t>全年工作时间不超过</w:t>
            </w:r>
            <w:r>
              <w:rPr>
                <w:rFonts w:hint="eastAsia" w:ascii="Times New Roman" w:hAnsi="Times New Roman"/>
                <w:bCs/>
                <w:color w:val="auto"/>
                <w:kern w:val="2"/>
                <w:sz w:val="24"/>
                <w:szCs w:val="24"/>
                <w:lang w:val="en-US" w:eastAsia="zh-CN" w:bidi="ar-SA"/>
              </w:rPr>
              <w:t>12</w:t>
            </w:r>
            <w:r>
              <w:rPr>
                <w:rFonts w:hint="default" w:ascii="Times New Roman" w:hAnsi="Times New Roman"/>
                <w:bCs/>
                <w:color w:val="auto"/>
                <w:kern w:val="2"/>
                <w:sz w:val="24"/>
                <w:szCs w:val="24"/>
                <w:lang w:val="en-US" w:eastAsia="zh-CN" w:bidi="ar-SA"/>
              </w:rPr>
              <w:t>小时，</w:t>
            </w:r>
            <w:r>
              <w:rPr>
                <w:rFonts w:hint="eastAsia" w:ascii="Times New Roman" w:hAnsi="Times New Roman"/>
                <w:bCs/>
                <w:color w:val="auto"/>
                <w:kern w:val="2"/>
                <w:sz w:val="24"/>
                <w:szCs w:val="24"/>
                <w:lang w:val="en-US" w:eastAsia="zh-CN" w:bidi="ar-SA"/>
              </w:rPr>
              <w:t>本次评价取年最大工作时间12小时计算，</w:t>
            </w:r>
            <w:r>
              <w:rPr>
                <w:rFonts w:hint="default" w:ascii="Times New Roman" w:hAnsi="Times New Roman"/>
                <w:bCs/>
                <w:color w:val="auto"/>
                <w:kern w:val="2"/>
                <w:sz w:val="24"/>
                <w:szCs w:val="24"/>
                <w:lang w:val="en-US" w:eastAsia="zh-CN" w:bidi="ar-SA"/>
              </w:rPr>
              <w:t>年耗油量</w:t>
            </w:r>
            <w:r>
              <w:rPr>
                <w:rFonts w:hint="eastAsia" w:ascii="Times New Roman" w:hAnsi="Times New Roman"/>
                <w:bCs/>
                <w:color w:val="auto"/>
                <w:kern w:val="2"/>
                <w:sz w:val="24"/>
                <w:szCs w:val="24"/>
                <w:lang w:val="en-US" w:eastAsia="zh-CN" w:bidi="ar-SA"/>
              </w:rPr>
              <w:t>最大</w:t>
            </w:r>
            <w:r>
              <w:rPr>
                <w:rFonts w:hint="default" w:ascii="Times New Roman" w:hAnsi="Times New Roman"/>
                <w:bCs/>
                <w:color w:val="auto"/>
                <w:kern w:val="2"/>
                <w:sz w:val="24"/>
                <w:szCs w:val="24"/>
                <w:lang w:val="en-US" w:eastAsia="zh-CN" w:bidi="ar-SA"/>
              </w:rPr>
              <w:t>为</w:t>
            </w:r>
            <w:r>
              <w:rPr>
                <w:rFonts w:hint="eastAsia" w:ascii="Times New Roman" w:hAnsi="Times New Roman"/>
                <w:bCs/>
                <w:color w:val="auto"/>
                <w:kern w:val="2"/>
                <w:sz w:val="24"/>
                <w:szCs w:val="24"/>
                <w:lang w:val="en-US" w:eastAsia="zh-CN" w:bidi="ar-SA"/>
              </w:rPr>
              <w:t>180kg/a</w:t>
            </w:r>
            <w:r>
              <w:rPr>
                <w:rFonts w:hint="default" w:ascii="Times New Roman" w:hAnsi="Times New Roman"/>
                <w:bCs/>
                <w:color w:val="auto"/>
                <w:kern w:val="2"/>
                <w:sz w:val="24"/>
                <w:szCs w:val="24"/>
                <w:lang w:val="en-US" w:eastAsia="zh-CN" w:bidi="ar-SA"/>
              </w:rPr>
              <w:t>。</w:t>
            </w:r>
            <w:r>
              <w:rPr>
                <w:rFonts w:hint="default" w:ascii="Times New Roman" w:hAnsi="Times New Roman"/>
                <w:bCs/>
                <w:color w:val="auto"/>
                <w:kern w:val="2"/>
                <w:sz w:val="24"/>
                <w:szCs w:val="24"/>
                <w:lang w:val="en-US" w:eastAsia="zh-CN" w:bidi="ar-SA"/>
              </w:rPr>
              <w:br w:type="textWrapping"/>
            </w:r>
            <w:r>
              <w:rPr>
                <w:rFonts w:hint="eastAsia" w:ascii="Times New Roman" w:hAnsi="Times New Roman"/>
                <w:bCs/>
                <w:color w:val="auto"/>
                <w:kern w:val="2"/>
                <w:sz w:val="24"/>
                <w:szCs w:val="24"/>
                <w:lang w:val="en-US" w:eastAsia="zh-CN" w:bidi="ar-SA"/>
              </w:rPr>
              <w:t xml:space="preserve">    </w:t>
            </w:r>
            <w:r>
              <w:rPr>
                <w:rFonts w:hint="default" w:ascii="Times New Roman" w:hAnsi="Times New Roman"/>
                <w:bCs/>
                <w:color w:val="auto"/>
                <w:kern w:val="2"/>
                <w:sz w:val="24"/>
                <w:szCs w:val="24"/>
                <w:lang w:val="en-US" w:eastAsia="zh-CN" w:bidi="ar-SA"/>
              </w:rPr>
              <w:t>根据《大气污染工程师手册》，柴油发电机空气过剩系数取1.8，1kg柴油产生的烟气量约为11m</w:t>
            </w:r>
            <w:r>
              <w:rPr>
                <w:rFonts w:hint="default" w:ascii="Times New Roman" w:hAnsi="Times New Roman"/>
                <w:bCs/>
                <w:color w:val="auto"/>
                <w:kern w:val="2"/>
                <w:sz w:val="24"/>
                <w:szCs w:val="24"/>
                <w:vertAlign w:val="superscript"/>
                <w:lang w:val="en-US" w:eastAsia="zh-CN" w:bidi="ar-SA"/>
              </w:rPr>
              <w:t>3</w:t>
            </w:r>
            <w:r>
              <w:rPr>
                <w:rFonts w:hint="default" w:ascii="Times New Roman" w:hAnsi="Times New Roman"/>
                <w:bCs/>
                <w:color w:val="auto"/>
                <w:kern w:val="2"/>
                <w:sz w:val="24"/>
                <w:szCs w:val="24"/>
                <w:lang w:val="en-US" w:eastAsia="zh-CN" w:bidi="ar-SA"/>
              </w:rPr>
              <w:t>。本项目柴油发电机废气及其污染排放情况见表</w:t>
            </w:r>
            <w:r>
              <w:rPr>
                <w:rFonts w:hint="eastAsia" w:ascii="Times New Roman" w:hAnsi="Times New Roman"/>
                <w:bCs/>
                <w:color w:val="auto"/>
                <w:kern w:val="2"/>
                <w:sz w:val="24"/>
                <w:szCs w:val="24"/>
                <w:lang w:val="en-US" w:eastAsia="zh-CN" w:bidi="ar-SA"/>
              </w:rPr>
              <w:t>4-4</w:t>
            </w:r>
            <w:r>
              <w:rPr>
                <w:rFonts w:hint="default" w:ascii="Times New Roman" w:hAnsi="Times New Roman"/>
                <w:bCs/>
                <w:color w:val="auto"/>
                <w:kern w:val="2"/>
                <w:sz w:val="24"/>
                <w:szCs w:val="24"/>
                <w:lang w:val="en-US" w:eastAsia="zh-CN" w:bidi="ar-SA"/>
              </w:rPr>
              <w:t>所示。</w:t>
            </w:r>
            <w:r>
              <w:rPr>
                <w:rFonts w:hint="default" w:ascii="Times New Roman" w:hAnsi="Times New Roman" w:cs="Times New Roman"/>
                <w:color w:val="auto"/>
                <w:kern w:val="2"/>
                <w:sz w:val="24"/>
                <w:szCs w:val="24"/>
                <w:lang w:val="en-US" w:eastAsia="zh-CN" w:bidi="ar-SA"/>
              </w:rPr>
              <w:br w:type="textWrapping"/>
            </w:r>
            <w:r>
              <w:rPr>
                <w:rFonts w:hint="eastAsia" w:ascii="Times New Roman" w:hAnsi="Times New Roman" w:cs="Times New Roman"/>
                <w:color w:val="auto"/>
                <w:kern w:val="2"/>
                <w:sz w:val="24"/>
                <w:szCs w:val="24"/>
                <w:lang w:val="en-US" w:eastAsia="zh-CN" w:bidi="ar-SA"/>
              </w:rPr>
              <w:t xml:space="preserve">   </w:t>
            </w:r>
            <w:r>
              <w:rPr>
                <w:rFonts w:hint="eastAsia" w:ascii="Times New Roman" w:hAnsi="Times New Roman" w:eastAsia="宋体" w:cs="Times New Roman"/>
                <w:b/>
                <w:bCs/>
                <w:color w:val="auto"/>
                <w:spacing w:val="0"/>
                <w:w w:val="100"/>
                <w:kern w:val="0"/>
                <w:sz w:val="21"/>
                <w:szCs w:val="20"/>
                <w:lang w:val="en-US" w:eastAsia="zh-CN" w:bidi="ar-SA"/>
              </w:rPr>
              <w:t xml:space="preserve">                </w:t>
            </w:r>
            <w:r>
              <w:rPr>
                <w:rFonts w:hint="default" w:ascii="Times New Roman" w:hAnsi="Times New Roman" w:eastAsia="宋体" w:cs="Times New Roman"/>
                <w:b/>
                <w:bCs/>
                <w:color w:val="auto"/>
                <w:spacing w:val="0"/>
                <w:w w:val="100"/>
                <w:kern w:val="0"/>
                <w:sz w:val="21"/>
                <w:szCs w:val="20"/>
                <w:lang w:val="en-US" w:eastAsia="zh-CN" w:bidi="ar-SA"/>
              </w:rPr>
              <w:t>表</w:t>
            </w:r>
            <w:r>
              <w:rPr>
                <w:rFonts w:hint="eastAsia" w:ascii="Times New Roman" w:hAnsi="Times New Roman" w:eastAsia="宋体" w:cs="Times New Roman"/>
                <w:b/>
                <w:bCs/>
                <w:color w:val="auto"/>
                <w:spacing w:val="0"/>
                <w:w w:val="100"/>
                <w:kern w:val="0"/>
                <w:sz w:val="21"/>
                <w:szCs w:val="20"/>
                <w:lang w:val="en-US" w:eastAsia="zh-CN" w:bidi="ar-SA"/>
              </w:rPr>
              <w:t>4-</w:t>
            </w:r>
            <w:r>
              <w:rPr>
                <w:rFonts w:hint="eastAsia" w:ascii="Times New Roman" w:hAnsi="Times New Roman" w:cs="Times New Roman"/>
                <w:b/>
                <w:bCs/>
                <w:color w:val="auto"/>
                <w:spacing w:val="0"/>
                <w:w w:val="100"/>
                <w:kern w:val="0"/>
                <w:sz w:val="21"/>
                <w:szCs w:val="20"/>
                <w:lang w:val="en-US" w:eastAsia="zh-CN" w:bidi="ar-SA"/>
              </w:rPr>
              <w:t>4</w:t>
            </w:r>
            <w:r>
              <w:rPr>
                <w:rFonts w:hint="default" w:ascii="Times New Roman" w:hAnsi="Times New Roman" w:eastAsia="宋体" w:cs="Times New Roman"/>
                <w:b/>
                <w:bCs/>
                <w:color w:val="auto"/>
                <w:spacing w:val="0"/>
                <w:w w:val="100"/>
                <w:kern w:val="0"/>
                <w:sz w:val="21"/>
                <w:szCs w:val="20"/>
                <w:lang w:val="en-US" w:eastAsia="zh-CN" w:bidi="ar-SA"/>
              </w:rPr>
              <w:t xml:space="preserve">  柴油发电机废气及污染物排放情况</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5"/>
              <w:gridCol w:w="1203"/>
              <w:gridCol w:w="2250"/>
              <w:gridCol w:w="1726"/>
              <w:gridCol w:w="1728"/>
            </w:tblGrid>
            <w:tr w14:paraId="1E14B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9" w:type="pct"/>
                  <w:noWrap w:val="0"/>
                  <w:vAlign w:val="center"/>
                </w:tcPr>
                <w:p w14:paraId="6252862E">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lang w:val="en-US" w:eastAsia="zh-CN" w:bidi="ar-SA"/>
                    </w:rPr>
                    <w:t>序号</w:t>
                  </w:r>
                </w:p>
              </w:tc>
              <w:tc>
                <w:tcPr>
                  <w:tcW w:w="696" w:type="pct"/>
                  <w:noWrap w:val="0"/>
                  <w:vAlign w:val="center"/>
                </w:tcPr>
                <w:p w14:paraId="457E8DB3">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lang w:val="en-US" w:eastAsia="zh-CN" w:bidi="ar-SA"/>
                    </w:rPr>
                    <w:t>污染物</w:t>
                  </w:r>
                </w:p>
              </w:tc>
              <w:tc>
                <w:tcPr>
                  <w:tcW w:w="1302" w:type="pct"/>
                  <w:noWrap w:val="0"/>
                  <w:vAlign w:val="center"/>
                </w:tcPr>
                <w:p w14:paraId="10F34FD5">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lang w:val="en-US" w:eastAsia="zh-CN" w:bidi="ar-SA"/>
                    </w:rPr>
                    <w:t>产污系数</w:t>
                  </w:r>
                </w:p>
              </w:tc>
              <w:tc>
                <w:tcPr>
                  <w:tcW w:w="999" w:type="pct"/>
                  <w:noWrap w:val="0"/>
                  <w:vAlign w:val="center"/>
                </w:tcPr>
                <w:p w14:paraId="14C095D4">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lang w:val="en-US" w:eastAsia="zh-CN" w:bidi="ar-SA"/>
                    </w:rPr>
                    <w:t>污染物排放量</w:t>
                  </w:r>
                </w:p>
              </w:tc>
              <w:tc>
                <w:tcPr>
                  <w:tcW w:w="1000" w:type="pct"/>
                  <w:noWrap w:val="0"/>
                  <w:vAlign w:val="center"/>
                </w:tcPr>
                <w:p w14:paraId="0D4F5A74">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lang w:val="en-US" w:eastAsia="zh-CN" w:bidi="ar-SA"/>
                    </w:rPr>
                    <w:t>排放浓度</w:t>
                  </w:r>
                </w:p>
              </w:tc>
            </w:tr>
            <w:tr w14:paraId="2A479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9" w:type="pct"/>
                  <w:noWrap w:val="0"/>
                  <w:vAlign w:val="center"/>
                </w:tcPr>
                <w:p w14:paraId="6F2CC790">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lang w:val="en-US" w:eastAsia="zh-CN" w:bidi="ar-SA"/>
                    </w:rPr>
                    <w:t>1</w:t>
                  </w:r>
                </w:p>
              </w:tc>
              <w:tc>
                <w:tcPr>
                  <w:tcW w:w="696" w:type="pct"/>
                  <w:noWrap w:val="0"/>
                  <w:vAlign w:val="center"/>
                </w:tcPr>
                <w:p w14:paraId="2AF07259">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lang w:val="en-US" w:eastAsia="zh-CN" w:bidi="ar-SA"/>
                    </w:rPr>
                    <w:t>废气</w:t>
                  </w:r>
                </w:p>
              </w:tc>
              <w:tc>
                <w:tcPr>
                  <w:tcW w:w="1302" w:type="pct"/>
                  <w:noWrap w:val="0"/>
                  <w:vAlign w:val="center"/>
                </w:tcPr>
                <w:p w14:paraId="15691868">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lang w:val="en-US" w:eastAsia="zh-CN" w:bidi="ar-SA"/>
                    </w:rPr>
                    <w:t>19.8 m</w:t>
                  </w:r>
                  <w:r>
                    <w:rPr>
                      <w:rFonts w:hint="default" w:ascii="Times New Roman" w:hAnsi="Times New Roman" w:eastAsia="宋体" w:cs="Times New Roman"/>
                      <w:color w:val="auto"/>
                      <w:kern w:val="2"/>
                      <w:sz w:val="21"/>
                      <w:szCs w:val="21"/>
                      <w:vertAlign w:val="superscript"/>
                      <w:lang w:val="en-US" w:eastAsia="zh-CN" w:bidi="ar-SA"/>
                    </w:rPr>
                    <w:t>3</w:t>
                  </w:r>
                  <w:r>
                    <w:rPr>
                      <w:rFonts w:hint="default" w:ascii="Times New Roman" w:hAnsi="Times New Roman" w:eastAsia="宋体" w:cs="Times New Roman"/>
                      <w:color w:val="auto"/>
                      <w:kern w:val="2"/>
                      <w:sz w:val="21"/>
                      <w:szCs w:val="21"/>
                      <w:lang w:val="en-US" w:eastAsia="zh-CN" w:bidi="ar-SA"/>
                    </w:rPr>
                    <w:t>/kg</w:t>
                  </w:r>
                </w:p>
              </w:tc>
              <w:tc>
                <w:tcPr>
                  <w:tcW w:w="999" w:type="pct"/>
                  <w:noWrap w:val="0"/>
                  <w:vAlign w:val="center"/>
                </w:tcPr>
                <w:p w14:paraId="6520D46C">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lang w:val="en-US" w:eastAsia="zh-CN" w:bidi="ar-SA"/>
                    </w:rPr>
                    <w:t>3564</w:t>
                  </w:r>
                  <w:r>
                    <w:rPr>
                      <w:rFonts w:hint="default" w:ascii="Times New Roman" w:hAnsi="Times New Roman" w:eastAsia="宋体" w:cs="Times New Roman"/>
                      <w:color w:val="auto"/>
                      <w:kern w:val="2"/>
                      <w:sz w:val="21"/>
                      <w:szCs w:val="21"/>
                      <w:lang w:val="en-US" w:eastAsia="zh-CN" w:bidi="ar-SA"/>
                    </w:rPr>
                    <w:t>m</w:t>
                  </w:r>
                  <w:r>
                    <w:rPr>
                      <w:rFonts w:hint="default" w:ascii="Times New Roman" w:hAnsi="Times New Roman" w:eastAsia="宋体" w:cs="Times New Roman"/>
                      <w:color w:val="auto"/>
                      <w:kern w:val="2"/>
                      <w:sz w:val="21"/>
                      <w:szCs w:val="21"/>
                      <w:vertAlign w:val="superscript"/>
                      <w:lang w:val="en-US" w:eastAsia="zh-CN" w:bidi="ar-SA"/>
                    </w:rPr>
                    <w:t>3</w:t>
                  </w:r>
                  <w:r>
                    <w:rPr>
                      <w:rFonts w:hint="default" w:ascii="Times New Roman" w:hAnsi="Times New Roman" w:eastAsia="宋体" w:cs="Times New Roman"/>
                      <w:color w:val="auto"/>
                      <w:kern w:val="2"/>
                      <w:sz w:val="21"/>
                      <w:szCs w:val="21"/>
                      <w:lang w:val="en-US" w:eastAsia="zh-CN" w:bidi="ar-SA"/>
                    </w:rPr>
                    <w:t>/a</w:t>
                  </w:r>
                </w:p>
              </w:tc>
              <w:tc>
                <w:tcPr>
                  <w:tcW w:w="1000" w:type="pct"/>
                  <w:noWrap w:val="0"/>
                  <w:vAlign w:val="center"/>
                </w:tcPr>
                <w:p w14:paraId="0E3AE803">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lang w:val="en-US" w:eastAsia="zh-CN" w:bidi="ar-SA"/>
                    </w:rPr>
                    <w:t>/</w:t>
                  </w:r>
                </w:p>
              </w:tc>
            </w:tr>
            <w:tr w14:paraId="201A7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9" w:type="pct"/>
                  <w:noWrap w:val="0"/>
                  <w:vAlign w:val="center"/>
                </w:tcPr>
                <w:p w14:paraId="7D7ED63B">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lang w:val="en-US" w:eastAsia="zh-CN" w:bidi="ar-SA"/>
                    </w:rPr>
                    <w:t>2</w:t>
                  </w:r>
                </w:p>
              </w:tc>
              <w:tc>
                <w:tcPr>
                  <w:tcW w:w="696" w:type="pct"/>
                  <w:noWrap w:val="0"/>
                  <w:vAlign w:val="center"/>
                </w:tcPr>
                <w:p w14:paraId="49000B31">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lang w:val="en-US" w:eastAsia="zh-CN" w:bidi="ar-SA"/>
                    </w:rPr>
                    <w:t>SO</w:t>
                  </w:r>
                  <w:r>
                    <w:rPr>
                      <w:rFonts w:hint="default" w:ascii="Times New Roman" w:hAnsi="Times New Roman" w:eastAsia="宋体" w:cs="Times New Roman"/>
                      <w:color w:val="auto"/>
                      <w:kern w:val="2"/>
                      <w:sz w:val="21"/>
                      <w:szCs w:val="21"/>
                      <w:vertAlign w:val="subscript"/>
                      <w:lang w:val="en-US" w:eastAsia="zh-CN" w:bidi="ar-SA"/>
                    </w:rPr>
                    <w:t>2</w:t>
                  </w:r>
                </w:p>
              </w:tc>
              <w:tc>
                <w:tcPr>
                  <w:tcW w:w="1302" w:type="pct"/>
                  <w:noWrap w:val="0"/>
                  <w:vAlign w:val="center"/>
                </w:tcPr>
                <w:p w14:paraId="1191AB5F">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lang w:val="en-US" w:eastAsia="zh-CN" w:bidi="ar-SA"/>
                    </w:rPr>
                    <w:t>20S kg/t油</w:t>
                  </w:r>
                </w:p>
              </w:tc>
              <w:tc>
                <w:tcPr>
                  <w:tcW w:w="999" w:type="pct"/>
                  <w:noWrap w:val="0"/>
                  <w:vAlign w:val="center"/>
                </w:tcPr>
                <w:p w14:paraId="5383754B">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lang w:val="en-US" w:eastAsia="zh-CN" w:bidi="ar-SA"/>
                    </w:rPr>
                    <w:t>0.72</w:t>
                  </w:r>
                  <w:r>
                    <w:rPr>
                      <w:rFonts w:hint="default" w:ascii="Times New Roman" w:hAnsi="Times New Roman" w:eastAsia="宋体" w:cs="Times New Roman"/>
                      <w:color w:val="auto"/>
                      <w:kern w:val="2"/>
                      <w:sz w:val="21"/>
                      <w:szCs w:val="21"/>
                      <w:lang w:val="en-US" w:eastAsia="zh-CN" w:bidi="ar-SA"/>
                    </w:rPr>
                    <w:t>kg/a</w:t>
                  </w:r>
                </w:p>
              </w:tc>
              <w:tc>
                <w:tcPr>
                  <w:tcW w:w="1000" w:type="pct"/>
                  <w:noWrap w:val="0"/>
                  <w:vAlign w:val="center"/>
                </w:tcPr>
                <w:p w14:paraId="73E36DA8">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lang w:val="en-US" w:eastAsia="zh-CN" w:bidi="ar-SA"/>
                    </w:rPr>
                    <w:t>202 mg/m</w:t>
                  </w:r>
                  <w:r>
                    <w:rPr>
                      <w:rFonts w:hint="default" w:ascii="Times New Roman" w:hAnsi="Times New Roman" w:eastAsia="宋体" w:cs="Times New Roman"/>
                      <w:color w:val="auto"/>
                      <w:kern w:val="2"/>
                      <w:sz w:val="21"/>
                      <w:szCs w:val="21"/>
                      <w:vertAlign w:val="superscript"/>
                      <w:lang w:val="en-US" w:eastAsia="zh-CN" w:bidi="ar-SA"/>
                    </w:rPr>
                    <w:t>3</w:t>
                  </w:r>
                </w:p>
              </w:tc>
            </w:tr>
            <w:tr w14:paraId="6FCAD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9" w:type="pct"/>
                  <w:noWrap w:val="0"/>
                  <w:vAlign w:val="center"/>
                </w:tcPr>
                <w:p w14:paraId="43CDB0B3">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lang w:val="en-US" w:eastAsia="zh-CN" w:bidi="ar-SA"/>
                    </w:rPr>
                    <w:t>3</w:t>
                  </w:r>
                </w:p>
              </w:tc>
              <w:tc>
                <w:tcPr>
                  <w:tcW w:w="696" w:type="pct"/>
                  <w:noWrap w:val="0"/>
                  <w:vAlign w:val="center"/>
                </w:tcPr>
                <w:p w14:paraId="6C19BA35">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lang w:val="en-US" w:eastAsia="zh-CN" w:bidi="ar-SA"/>
                    </w:rPr>
                    <w:t>NO</w:t>
                  </w:r>
                  <w:r>
                    <w:rPr>
                      <w:rFonts w:hint="default" w:ascii="Times New Roman" w:hAnsi="Times New Roman" w:eastAsia="宋体" w:cs="Times New Roman"/>
                      <w:color w:val="auto"/>
                      <w:kern w:val="2"/>
                      <w:sz w:val="24"/>
                      <w:szCs w:val="24"/>
                      <w:vertAlign w:val="subscript"/>
                      <w:lang w:val="en-US" w:eastAsia="zh-CN" w:bidi="ar-SA"/>
                    </w:rPr>
                    <w:t>X</w:t>
                  </w:r>
                </w:p>
              </w:tc>
              <w:tc>
                <w:tcPr>
                  <w:tcW w:w="1302" w:type="pct"/>
                  <w:noWrap w:val="0"/>
                  <w:vAlign w:val="center"/>
                </w:tcPr>
                <w:p w14:paraId="746CBD3B">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lang w:val="en-US" w:eastAsia="zh-CN" w:bidi="ar-SA"/>
                    </w:rPr>
                    <w:t>3.36 kg/t油</w:t>
                  </w:r>
                </w:p>
              </w:tc>
              <w:tc>
                <w:tcPr>
                  <w:tcW w:w="999" w:type="pct"/>
                  <w:noWrap w:val="0"/>
                  <w:vAlign w:val="center"/>
                </w:tcPr>
                <w:p w14:paraId="074F01F0">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lang w:val="en-US" w:eastAsia="zh-CN" w:bidi="ar-SA"/>
                    </w:rPr>
                    <w:t>0.61</w:t>
                  </w:r>
                  <w:r>
                    <w:rPr>
                      <w:rFonts w:hint="default" w:ascii="Times New Roman" w:hAnsi="Times New Roman" w:eastAsia="宋体" w:cs="Times New Roman"/>
                      <w:color w:val="auto"/>
                      <w:kern w:val="2"/>
                      <w:sz w:val="21"/>
                      <w:szCs w:val="21"/>
                      <w:lang w:val="en-US" w:eastAsia="zh-CN" w:bidi="ar-SA"/>
                    </w:rPr>
                    <w:t>kg/a</w:t>
                  </w:r>
                </w:p>
              </w:tc>
              <w:tc>
                <w:tcPr>
                  <w:tcW w:w="1000" w:type="pct"/>
                  <w:noWrap w:val="0"/>
                  <w:vAlign w:val="center"/>
                </w:tcPr>
                <w:p w14:paraId="1B361D07">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lang w:val="en-US" w:eastAsia="zh-CN" w:bidi="ar-SA"/>
                    </w:rPr>
                    <w:t>169.7 mg/m</w:t>
                  </w:r>
                  <w:r>
                    <w:rPr>
                      <w:rFonts w:hint="default" w:ascii="Times New Roman" w:hAnsi="Times New Roman" w:eastAsia="宋体" w:cs="Times New Roman"/>
                      <w:color w:val="auto"/>
                      <w:kern w:val="2"/>
                      <w:sz w:val="21"/>
                      <w:szCs w:val="21"/>
                      <w:vertAlign w:val="superscript"/>
                      <w:lang w:val="en-US" w:eastAsia="zh-CN" w:bidi="ar-SA"/>
                    </w:rPr>
                    <w:t>3</w:t>
                  </w:r>
                </w:p>
              </w:tc>
            </w:tr>
            <w:tr w14:paraId="20A0D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9" w:type="pct"/>
                  <w:noWrap w:val="0"/>
                  <w:vAlign w:val="center"/>
                </w:tcPr>
                <w:p w14:paraId="6C2990E3">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lang w:val="en-US" w:eastAsia="zh-CN" w:bidi="ar-SA"/>
                    </w:rPr>
                    <w:t>4</w:t>
                  </w:r>
                </w:p>
              </w:tc>
              <w:tc>
                <w:tcPr>
                  <w:tcW w:w="696" w:type="pct"/>
                  <w:noWrap w:val="0"/>
                  <w:vAlign w:val="center"/>
                </w:tcPr>
                <w:p w14:paraId="32659E3C">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lang w:val="en-US" w:eastAsia="zh-CN" w:bidi="ar-SA"/>
                    </w:rPr>
                    <w:t>烟尘</w:t>
                  </w:r>
                </w:p>
              </w:tc>
              <w:tc>
                <w:tcPr>
                  <w:tcW w:w="1302" w:type="pct"/>
                  <w:noWrap w:val="0"/>
                  <w:vAlign w:val="center"/>
                </w:tcPr>
                <w:p w14:paraId="0C3736A2">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lang w:val="en-US" w:eastAsia="zh-CN" w:bidi="ar-SA"/>
                    </w:rPr>
                    <w:t>2.2 kg/t油</w:t>
                  </w:r>
                </w:p>
              </w:tc>
              <w:tc>
                <w:tcPr>
                  <w:tcW w:w="999" w:type="pct"/>
                  <w:noWrap w:val="0"/>
                  <w:vAlign w:val="center"/>
                </w:tcPr>
                <w:p w14:paraId="482CAE8B">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lang w:val="en-US" w:eastAsia="zh-CN" w:bidi="ar-SA"/>
                    </w:rPr>
                    <w:t>0.4</w:t>
                  </w:r>
                  <w:r>
                    <w:rPr>
                      <w:rFonts w:hint="default" w:ascii="Times New Roman" w:hAnsi="Times New Roman" w:eastAsia="宋体" w:cs="Times New Roman"/>
                      <w:color w:val="auto"/>
                      <w:kern w:val="2"/>
                      <w:sz w:val="21"/>
                      <w:szCs w:val="21"/>
                      <w:lang w:val="en-US" w:eastAsia="zh-CN" w:bidi="ar-SA"/>
                    </w:rPr>
                    <w:t>kg/a</w:t>
                  </w:r>
                </w:p>
              </w:tc>
              <w:tc>
                <w:tcPr>
                  <w:tcW w:w="1000" w:type="pct"/>
                  <w:noWrap w:val="0"/>
                  <w:vAlign w:val="center"/>
                </w:tcPr>
                <w:p w14:paraId="71D830ED">
                  <w:pPr>
                    <w:pStyle w:val="26"/>
                    <w:keepNext w:val="0"/>
                    <w:keepLines w:val="0"/>
                    <w:pageBreakBefore w:val="0"/>
                    <w:widowControl w:val="0"/>
                    <w:tabs>
                      <w:tab w:val="right" w:leader="dot" w:pos="8820"/>
                    </w:tabs>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lang w:val="en-US" w:eastAsia="zh-CN" w:bidi="ar-SA"/>
                    </w:rPr>
                    <w:t>111.1 mg/m</w:t>
                  </w:r>
                  <w:r>
                    <w:rPr>
                      <w:rFonts w:hint="default" w:ascii="Times New Roman" w:hAnsi="Times New Roman" w:eastAsia="宋体" w:cs="Times New Roman"/>
                      <w:color w:val="auto"/>
                      <w:kern w:val="2"/>
                      <w:sz w:val="21"/>
                      <w:szCs w:val="21"/>
                      <w:vertAlign w:val="superscript"/>
                      <w:lang w:val="en-US" w:eastAsia="zh-CN" w:bidi="ar-SA"/>
                    </w:rPr>
                    <w:t>3</w:t>
                  </w:r>
                </w:p>
              </w:tc>
            </w:tr>
          </w:tbl>
          <w:p w14:paraId="168A0A97">
            <w:pPr>
              <w:pStyle w:val="26"/>
              <w:keepNext w:val="0"/>
              <w:keepLines w:val="0"/>
              <w:pageBreakBefore w:val="0"/>
              <w:widowControl w:val="0"/>
              <w:tabs>
                <w:tab w:val="right" w:leader="dot" w:pos="8820"/>
              </w:tabs>
              <w:kinsoku/>
              <w:wordWrap/>
              <w:overflowPunct/>
              <w:topLinePunct w:val="0"/>
              <w:autoSpaceDE/>
              <w:autoSpaceDN/>
              <w:bidi w:val="0"/>
              <w:adjustRightInd/>
              <w:snapToGrid/>
              <w:spacing w:line="360" w:lineRule="auto"/>
              <w:ind w:left="0" w:leftChars="0" w:firstLine="480" w:firstLineChars="200"/>
              <w:jc w:val="left"/>
              <w:textAlignment w:val="auto"/>
              <w:rPr>
                <w:rFonts w:hint="eastAsia"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根据国家环境保护总局函《关于柴油发电机排气执行标准的复函》（环函[2005]350号），备用发电机尾气排放标准执行《大气污染物综合排放标准》（GB16297-1996）中新污染源大气污染物排放限值，即SO</w:t>
            </w:r>
            <w:r>
              <w:rPr>
                <w:rFonts w:hint="default" w:ascii="Times New Roman" w:hAnsi="Times New Roman" w:eastAsia="宋体" w:cs="Times New Roman"/>
                <w:color w:val="auto"/>
                <w:kern w:val="2"/>
                <w:sz w:val="24"/>
                <w:szCs w:val="24"/>
                <w:vertAlign w:val="subscript"/>
                <w:lang w:val="en-US" w:eastAsia="zh-CN" w:bidi="ar-SA"/>
              </w:rPr>
              <w:t>2</w:t>
            </w:r>
            <w:r>
              <w:rPr>
                <w:rFonts w:hint="default" w:ascii="Times New Roman" w:hAnsi="Times New Roman" w:eastAsia="宋体" w:cs="Times New Roman"/>
                <w:color w:val="auto"/>
                <w:kern w:val="2"/>
                <w:sz w:val="24"/>
                <w:szCs w:val="24"/>
                <w:lang w:val="en-US" w:eastAsia="zh-CN" w:bidi="ar-SA"/>
              </w:rPr>
              <w:t>≤550mg/m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、NO</w:t>
            </w:r>
            <w:r>
              <w:rPr>
                <w:rFonts w:hint="default" w:ascii="Times New Roman" w:hAnsi="Times New Roman" w:eastAsia="宋体" w:cs="Times New Roman"/>
                <w:color w:val="auto"/>
                <w:kern w:val="2"/>
                <w:sz w:val="24"/>
                <w:szCs w:val="24"/>
                <w:vertAlign w:val="subscript"/>
                <w:lang w:val="en-US" w:eastAsia="zh-CN" w:bidi="ar-SA"/>
              </w:rPr>
              <w:t>X</w:t>
            </w:r>
            <w:r>
              <w:rPr>
                <w:rFonts w:hint="default" w:ascii="Times New Roman" w:hAnsi="Times New Roman" w:eastAsia="宋体" w:cs="Times New Roman"/>
                <w:color w:val="auto"/>
                <w:kern w:val="2"/>
                <w:sz w:val="24"/>
                <w:szCs w:val="24"/>
                <w:lang w:val="en-US" w:eastAsia="zh-CN" w:bidi="ar-SA"/>
              </w:rPr>
              <w:t>≤240mg/m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、烟尘≤120mg/m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和林格曼黑度小于1级，则本项目发电机组烟气可实现稳定达标排放</w:t>
            </w:r>
            <w:r>
              <w:rPr>
                <w:rFonts w:hint="eastAsia" w:cs="Times New Roman"/>
                <w:color w:val="auto"/>
                <w:kern w:val="2"/>
                <w:sz w:val="24"/>
                <w:szCs w:val="24"/>
                <w:lang w:val="en-US" w:eastAsia="zh-CN" w:bidi="ar-SA"/>
              </w:rPr>
              <w:t>，发电机废气经排气筒屋顶排放。</w:t>
            </w:r>
          </w:p>
          <w:p w14:paraId="1F8D62E0">
            <w:pPr>
              <w:pStyle w:val="26"/>
              <w:keepNext w:val="0"/>
              <w:keepLines w:val="0"/>
              <w:pageBreakBefore w:val="0"/>
              <w:widowControl w:val="0"/>
              <w:tabs>
                <w:tab w:val="right" w:leader="dot" w:pos="8820"/>
              </w:tabs>
              <w:kinsoku/>
              <w:wordWrap/>
              <w:overflowPunct/>
              <w:topLinePunct w:val="0"/>
              <w:autoSpaceDE/>
              <w:autoSpaceDN/>
              <w:bidi w:val="0"/>
              <w:adjustRightInd/>
              <w:snapToGrid/>
              <w:spacing w:line="360" w:lineRule="auto"/>
              <w:ind w:left="0" w:leftChars="0" w:firstLine="480" w:firstLineChars="200"/>
              <w:jc w:val="left"/>
              <w:textAlignment w:val="auto"/>
              <w:rPr>
                <w:rFonts w:hint="default"/>
                <w:color w:val="auto"/>
                <w:lang w:val="en-US" w:eastAsia="zh-CN"/>
              </w:rPr>
            </w:pPr>
            <w:r>
              <w:rPr>
                <w:rFonts w:hint="default" w:ascii="Times New Roman" w:hAnsi="Times New Roman" w:eastAsia="宋体" w:cs="Times New Roman"/>
                <w:color w:val="auto"/>
                <w:kern w:val="2"/>
                <w:sz w:val="24"/>
                <w:szCs w:val="24"/>
                <w:lang w:val="en-US" w:eastAsia="zh-CN" w:bidi="ar-SA"/>
              </w:rPr>
              <w:t>由于备用发电机不是经常使用设备，所以其影响是暂时性的。对当地环境空气的二氧化硫和氮氧化物的贡献值很小，对周围环境的大气质量影响有限。</w:t>
            </w:r>
          </w:p>
          <w:p w14:paraId="74533004">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eastAsia" w:ascii="Times New Roman" w:hAnsi="Times New Roman" w:eastAsia="宋体" w:cs="Times New Roman"/>
                <w:b/>
                <w:bCs/>
                <w:color w:val="auto"/>
                <w:u w:val="none"/>
                <w:lang w:val="en-US" w:eastAsia="zh-CN"/>
              </w:rPr>
            </w:pPr>
            <w:r>
              <w:rPr>
                <w:rFonts w:hint="eastAsia" w:cs="Times New Roman"/>
                <w:b/>
                <w:bCs/>
                <w:color w:val="auto"/>
                <w:u w:val="none"/>
                <w:lang w:val="en-US" w:eastAsia="zh-CN"/>
              </w:rPr>
              <w:t>6、</w:t>
            </w:r>
            <w:r>
              <w:rPr>
                <w:rFonts w:hint="eastAsia" w:ascii="Times New Roman" w:hAnsi="Times New Roman" w:eastAsia="宋体" w:cs="Times New Roman"/>
                <w:b/>
                <w:bCs/>
                <w:color w:val="auto"/>
                <w:u w:val="none"/>
                <w:lang w:val="en-US" w:eastAsia="zh-CN"/>
              </w:rPr>
              <w:t>监测要求</w:t>
            </w:r>
          </w:p>
          <w:p w14:paraId="4B94E6AD">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u w:val="none"/>
                <w:lang w:val="en-US" w:eastAsia="zh-CN"/>
              </w:rPr>
            </w:pPr>
            <w:r>
              <w:rPr>
                <w:rFonts w:hint="eastAsia" w:ascii="Times New Roman" w:hAnsi="Times New Roman" w:eastAsia="宋体" w:cs="Times New Roman"/>
                <w:b w:val="0"/>
                <w:bCs w:val="0"/>
                <w:color w:val="auto"/>
                <w:u w:val="none"/>
                <w:lang w:val="en-US" w:eastAsia="zh-CN"/>
              </w:rPr>
              <w:t>监测要求按照排污许可技术规范中《排污许可证申请与核发技术规范 水处理（试行）》（HJ978-2018）</w:t>
            </w:r>
            <w:r>
              <w:rPr>
                <w:rFonts w:hint="eastAsia" w:cs="Times New Roman"/>
                <w:b w:val="0"/>
                <w:bCs w:val="0"/>
                <w:color w:val="auto"/>
                <w:u w:val="none"/>
                <w:lang w:val="en-US" w:eastAsia="zh-CN"/>
              </w:rPr>
              <w:t>、排污单位自行监测技术指南 水处理（HJ1083-2020）</w:t>
            </w:r>
            <w:r>
              <w:rPr>
                <w:rFonts w:hint="eastAsia" w:ascii="Times New Roman" w:hAnsi="Times New Roman" w:eastAsia="宋体" w:cs="Times New Roman"/>
                <w:b w:val="0"/>
                <w:bCs w:val="0"/>
                <w:color w:val="auto"/>
                <w:u w:val="none"/>
                <w:lang w:val="en-US" w:eastAsia="zh-CN"/>
              </w:rPr>
              <w:t>的要求进行。</w:t>
            </w:r>
          </w:p>
          <w:p w14:paraId="4B715FF9">
            <w:pPr>
              <w:keepNext w:val="0"/>
              <w:keepLines w:val="0"/>
              <w:pageBreakBefore w:val="0"/>
              <w:widowControl w:val="0"/>
              <w:kinsoku/>
              <w:wordWrap/>
              <w:overflowPunct/>
              <w:topLinePunct w:val="0"/>
              <w:autoSpaceDE/>
              <w:autoSpaceDN/>
              <w:bidi w:val="0"/>
              <w:adjustRightInd/>
              <w:snapToGrid/>
              <w:spacing w:before="48" w:beforeLines="15" w:after="48" w:afterLines="15" w:line="240" w:lineRule="auto"/>
              <w:jc w:val="center"/>
              <w:textAlignment w:val="auto"/>
              <w:rPr>
                <w:rFonts w:hint="eastAsia" w:ascii="Times New Roman" w:hAnsi="Times New Roman" w:eastAsia="宋体" w:cs="Times New Roman"/>
                <w:b/>
                <w:bCs/>
                <w:color w:val="auto"/>
                <w:u w:val="none"/>
                <w:lang w:val="en-US" w:eastAsia="zh-CN"/>
              </w:rPr>
            </w:pPr>
            <w:r>
              <w:rPr>
                <w:rFonts w:hint="eastAsia" w:ascii="Times New Roman" w:hAnsi="Times New Roman" w:eastAsia="宋体" w:cs="Times New Roman"/>
                <w:b/>
                <w:bCs/>
                <w:color w:val="auto"/>
                <w:u w:val="none"/>
                <w:lang w:val="en-US" w:eastAsia="zh-CN"/>
              </w:rPr>
              <w:t>表4-</w:t>
            </w:r>
            <w:r>
              <w:rPr>
                <w:rFonts w:hint="eastAsia" w:cs="Times New Roman"/>
                <w:b/>
                <w:bCs/>
                <w:color w:val="auto"/>
                <w:u w:val="none"/>
                <w:lang w:val="en-US" w:eastAsia="zh-CN"/>
              </w:rPr>
              <w:t>5</w:t>
            </w:r>
            <w:r>
              <w:rPr>
                <w:rFonts w:hint="eastAsia" w:ascii="Times New Roman" w:hAnsi="Times New Roman" w:eastAsia="宋体" w:cs="Times New Roman"/>
                <w:b/>
                <w:bCs/>
                <w:color w:val="auto"/>
                <w:u w:val="none"/>
                <w:lang w:val="en-US" w:eastAsia="zh-CN"/>
              </w:rPr>
              <w:t xml:space="preserve">  环境监测计划一览表</w:t>
            </w:r>
          </w:p>
          <w:tbl>
            <w:tblPr>
              <w:tblStyle w:val="33"/>
              <w:tblW w:w="485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4"/>
              <w:gridCol w:w="1194"/>
              <w:gridCol w:w="1727"/>
              <w:gridCol w:w="1765"/>
              <w:gridCol w:w="2536"/>
            </w:tblGrid>
            <w:tr w14:paraId="15DE8A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12" w:type="dxa"/>
                  <w:tcBorders>
                    <w:tl2br w:val="nil"/>
                    <w:tr2bl w:val="nil"/>
                  </w:tcBorders>
                  <w:vAlign w:val="center"/>
                </w:tcPr>
                <w:p w14:paraId="628512B9">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项目</w:t>
                  </w:r>
                </w:p>
              </w:tc>
              <w:tc>
                <w:tcPr>
                  <w:tcW w:w="1140" w:type="dxa"/>
                  <w:tcBorders>
                    <w:tl2br w:val="nil"/>
                    <w:tr2bl w:val="nil"/>
                  </w:tcBorders>
                  <w:vAlign w:val="center"/>
                </w:tcPr>
                <w:p w14:paraId="51B72D01">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监测点位</w:t>
                  </w:r>
                </w:p>
              </w:tc>
              <w:tc>
                <w:tcPr>
                  <w:tcW w:w="1649" w:type="dxa"/>
                  <w:tcBorders>
                    <w:tl2br w:val="nil"/>
                    <w:tr2bl w:val="nil"/>
                  </w:tcBorders>
                  <w:vAlign w:val="center"/>
                </w:tcPr>
                <w:p w14:paraId="3EAD48AD">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监测因子</w:t>
                  </w:r>
                </w:p>
              </w:tc>
              <w:tc>
                <w:tcPr>
                  <w:tcW w:w="1685" w:type="dxa"/>
                  <w:tcBorders>
                    <w:tl2br w:val="nil"/>
                    <w:tr2bl w:val="nil"/>
                  </w:tcBorders>
                  <w:vAlign w:val="center"/>
                </w:tcPr>
                <w:p w14:paraId="23DCA274">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监测频次</w:t>
                  </w:r>
                </w:p>
              </w:tc>
              <w:tc>
                <w:tcPr>
                  <w:tcW w:w="2422" w:type="dxa"/>
                  <w:tcBorders>
                    <w:tl2br w:val="nil"/>
                    <w:tr2bl w:val="nil"/>
                  </w:tcBorders>
                  <w:vAlign w:val="center"/>
                </w:tcPr>
                <w:p w14:paraId="708FC1CA">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执行标准</w:t>
                  </w:r>
                </w:p>
              </w:tc>
            </w:tr>
            <w:tr w14:paraId="7CFEF2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12" w:type="dxa"/>
                  <w:vMerge w:val="restart"/>
                  <w:tcBorders>
                    <w:tl2br w:val="nil"/>
                    <w:tr2bl w:val="nil"/>
                  </w:tcBorders>
                  <w:vAlign w:val="center"/>
                </w:tcPr>
                <w:p w14:paraId="715D5D78">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无组织</w:t>
                  </w:r>
                </w:p>
                <w:p w14:paraId="45E11857">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废气</w:t>
                  </w:r>
                </w:p>
              </w:tc>
              <w:tc>
                <w:tcPr>
                  <w:tcW w:w="1140" w:type="dxa"/>
                  <w:tcBorders>
                    <w:tl2br w:val="nil"/>
                    <w:tr2bl w:val="nil"/>
                  </w:tcBorders>
                  <w:vAlign w:val="center"/>
                </w:tcPr>
                <w:p w14:paraId="02BB27BD">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厂界</w:t>
                  </w:r>
                </w:p>
              </w:tc>
              <w:tc>
                <w:tcPr>
                  <w:tcW w:w="1649" w:type="dxa"/>
                  <w:tcBorders>
                    <w:tl2br w:val="nil"/>
                    <w:tr2bl w:val="nil"/>
                  </w:tcBorders>
                  <w:vAlign w:val="center"/>
                </w:tcPr>
                <w:p w14:paraId="31317422">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NH</w:t>
                  </w:r>
                  <w:r>
                    <w:rPr>
                      <w:rFonts w:hint="default" w:ascii="Times New Roman" w:hAnsi="Times New Roman" w:cs="Times New Roman"/>
                      <w:color w:val="auto"/>
                      <w:u w:val="none"/>
                      <w:vertAlign w:val="subscript"/>
                      <w:lang w:val="en-US" w:eastAsia="zh-CN"/>
                    </w:rPr>
                    <w:t>3</w:t>
                  </w:r>
                  <w:r>
                    <w:rPr>
                      <w:rFonts w:hint="default" w:ascii="Times New Roman" w:hAnsi="Times New Roman" w:cs="Times New Roman"/>
                      <w:color w:val="auto"/>
                      <w:u w:val="none"/>
                      <w:lang w:val="en-US" w:eastAsia="zh-CN"/>
                    </w:rPr>
                    <w:t>、H</w:t>
                  </w:r>
                  <w:r>
                    <w:rPr>
                      <w:rFonts w:hint="default" w:ascii="Times New Roman" w:hAnsi="Times New Roman" w:cs="Times New Roman"/>
                      <w:color w:val="auto"/>
                      <w:u w:val="none"/>
                      <w:vertAlign w:val="subscript"/>
                      <w:lang w:val="en-US" w:eastAsia="zh-CN"/>
                    </w:rPr>
                    <w:t>2</w:t>
                  </w:r>
                  <w:r>
                    <w:rPr>
                      <w:rFonts w:hint="default" w:ascii="Times New Roman" w:hAnsi="Times New Roman" w:cs="Times New Roman"/>
                      <w:color w:val="auto"/>
                      <w:u w:val="none"/>
                      <w:lang w:val="en-US" w:eastAsia="zh-CN"/>
                    </w:rPr>
                    <w:t>S、臭气浓度</w:t>
                  </w:r>
                </w:p>
              </w:tc>
              <w:tc>
                <w:tcPr>
                  <w:tcW w:w="1685" w:type="dxa"/>
                  <w:tcBorders>
                    <w:tl2br w:val="nil"/>
                    <w:tr2bl w:val="nil"/>
                  </w:tcBorders>
                  <w:vAlign w:val="center"/>
                </w:tcPr>
                <w:p w14:paraId="1F850B6E">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每半年一次</w:t>
                  </w:r>
                </w:p>
              </w:tc>
              <w:tc>
                <w:tcPr>
                  <w:tcW w:w="2422" w:type="dxa"/>
                  <w:vMerge w:val="restart"/>
                  <w:tcBorders>
                    <w:tl2br w:val="nil"/>
                    <w:tr2bl w:val="nil"/>
                  </w:tcBorders>
                  <w:vAlign w:val="center"/>
                </w:tcPr>
                <w:p w14:paraId="2F7A3C79">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《城镇污水处理厂污染物排放标准》</w:t>
                  </w:r>
                  <w:r>
                    <w:rPr>
                      <w:rFonts w:hint="default" w:ascii="Times New Roman" w:hAnsi="Times New Roman" w:cs="Times New Roman"/>
                      <w:color w:val="auto"/>
                      <w:sz w:val="21"/>
                      <w:szCs w:val="21"/>
                      <w:u w:val="none"/>
                      <w:lang w:val="en-US" w:eastAsia="zh-CN"/>
                    </w:rPr>
                    <w:t>及修改单表4中二级标准</w:t>
                  </w:r>
                </w:p>
              </w:tc>
            </w:tr>
            <w:tr w14:paraId="17BEE0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12" w:type="dxa"/>
                  <w:vMerge w:val="continue"/>
                  <w:tcBorders>
                    <w:tl2br w:val="nil"/>
                    <w:tr2bl w:val="nil"/>
                  </w:tcBorders>
                  <w:vAlign w:val="center"/>
                </w:tcPr>
                <w:p w14:paraId="1DD8BA27">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p>
              </w:tc>
              <w:tc>
                <w:tcPr>
                  <w:tcW w:w="1140" w:type="dxa"/>
                  <w:tcBorders>
                    <w:tl2br w:val="nil"/>
                    <w:tr2bl w:val="nil"/>
                  </w:tcBorders>
                  <w:vAlign w:val="center"/>
                </w:tcPr>
                <w:p w14:paraId="07254660">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r>
                    <w:rPr>
                      <w:rFonts w:hint="eastAsia" w:ascii="Times New Roman" w:hAnsi="Times New Roman" w:cs="Times New Roman"/>
                      <w:color w:val="auto"/>
                      <w:u w:val="none"/>
                      <w:lang w:val="en-US" w:eastAsia="zh-CN"/>
                    </w:rPr>
                    <w:t>厂区甲烷体积浓度最高处</w:t>
                  </w:r>
                </w:p>
              </w:tc>
              <w:tc>
                <w:tcPr>
                  <w:tcW w:w="1649" w:type="dxa"/>
                  <w:tcBorders>
                    <w:tl2br w:val="nil"/>
                    <w:tr2bl w:val="nil"/>
                  </w:tcBorders>
                  <w:vAlign w:val="center"/>
                </w:tcPr>
                <w:p w14:paraId="1BA59FD7">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r>
                    <w:rPr>
                      <w:rFonts w:hint="eastAsia" w:ascii="Times New Roman" w:hAnsi="Times New Roman" w:cs="Times New Roman"/>
                      <w:color w:val="auto"/>
                      <w:u w:val="none"/>
                      <w:lang w:val="en-US" w:eastAsia="zh-CN"/>
                    </w:rPr>
                    <w:t>甲烷</w:t>
                  </w:r>
                </w:p>
              </w:tc>
              <w:tc>
                <w:tcPr>
                  <w:tcW w:w="1685" w:type="dxa"/>
                  <w:tcBorders>
                    <w:tl2br w:val="nil"/>
                    <w:tr2bl w:val="nil"/>
                  </w:tcBorders>
                  <w:vAlign w:val="center"/>
                </w:tcPr>
                <w:p w14:paraId="67057EF4">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r>
                    <w:rPr>
                      <w:rFonts w:hint="eastAsia" w:ascii="Times New Roman" w:hAnsi="Times New Roman" w:cs="Times New Roman"/>
                      <w:color w:val="auto"/>
                      <w:u w:val="none"/>
                      <w:lang w:val="en-US" w:eastAsia="zh-CN"/>
                    </w:rPr>
                    <w:t>每年一次</w:t>
                  </w:r>
                </w:p>
              </w:tc>
              <w:tc>
                <w:tcPr>
                  <w:tcW w:w="2422" w:type="dxa"/>
                  <w:vMerge w:val="continue"/>
                  <w:tcBorders>
                    <w:tl2br w:val="nil"/>
                    <w:tr2bl w:val="nil"/>
                  </w:tcBorders>
                  <w:vAlign w:val="center"/>
                </w:tcPr>
                <w:p w14:paraId="68301233">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p>
              </w:tc>
            </w:tr>
            <w:tr w14:paraId="470088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12" w:type="dxa"/>
                  <w:tcBorders>
                    <w:tl2br w:val="nil"/>
                    <w:tr2bl w:val="nil"/>
                  </w:tcBorders>
                  <w:vAlign w:val="center"/>
                </w:tcPr>
                <w:p w14:paraId="1F6D5186">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r>
                    <w:rPr>
                      <w:rFonts w:hint="eastAsia" w:ascii="Times New Roman" w:hAnsi="Times New Roman" w:cs="Times New Roman"/>
                      <w:color w:val="auto"/>
                      <w:u w:val="none"/>
                      <w:lang w:val="en-US" w:eastAsia="zh-CN"/>
                    </w:rPr>
                    <w:t>有组织</w:t>
                  </w:r>
                </w:p>
              </w:tc>
              <w:tc>
                <w:tcPr>
                  <w:tcW w:w="1140" w:type="dxa"/>
                  <w:tcBorders>
                    <w:tl2br w:val="nil"/>
                    <w:tr2bl w:val="nil"/>
                  </w:tcBorders>
                  <w:vAlign w:val="center"/>
                </w:tcPr>
                <w:p w14:paraId="6E2521EB">
                  <w:pPr>
                    <w:adjustRightInd w:val="0"/>
                    <w:snapToGrid w:val="0"/>
                    <w:jc w:val="center"/>
                    <w:rPr>
                      <w:rFonts w:hint="eastAsia" w:ascii="Times New Roman" w:hAnsi="Times New Roman" w:cs="Times New Roman"/>
                      <w:color w:val="auto"/>
                      <w:u w:val="none"/>
                      <w:lang w:val="en-US" w:eastAsia="zh-CN"/>
                    </w:rPr>
                  </w:pPr>
                  <w:r>
                    <w:rPr>
                      <w:rFonts w:hint="default"/>
                      <w:bCs/>
                      <w:color w:val="auto"/>
                      <w:szCs w:val="21"/>
                      <w:lang w:val="en-US" w:eastAsia="zh-CN"/>
                    </w:rPr>
                    <w:t>恶臭处理装置排气筒</w:t>
                  </w:r>
                </w:p>
              </w:tc>
              <w:tc>
                <w:tcPr>
                  <w:tcW w:w="1649" w:type="dxa"/>
                  <w:tcBorders>
                    <w:tl2br w:val="nil"/>
                    <w:tr2bl w:val="nil"/>
                  </w:tcBorders>
                  <w:vAlign w:val="center"/>
                </w:tcPr>
                <w:p w14:paraId="31B7B3C6">
                  <w:pPr>
                    <w:adjustRightInd w:val="0"/>
                    <w:snapToGrid w:val="0"/>
                    <w:jc w:val="center"/>
                    <w:rPr>
                      <w:rFonts w:hint="eastAsia" w:ascii="Times New Roman" w:hAnsi="Times New Roman" w:cs="Times New Roman"/>
                      <w:color w:val="auto"/>
                      <w:u w:val="none"/>
                      <w:lang w:val="en-US" w:eastAsia="zh-CN"/>
                    </w:rPr>
                  </w:pPr>
                  <w:r>
                    <w:rPr>
                      <w:rFonts w:hint="default"/>
                      <w:bCs/>
                      <w:color w:val="auto"/>
                      <w:szCs w:val="21"/>
                      <w:lang w:val="en-US" w:eastAsia="zh-CN"/>
                    </w:rPr>
                    <w:t>NH</w:t>
                  </w:r>
                  <w:r>
                    <w:rPr>
                      <w:rFonts w:hint="default"/>
                      <w:bCs/>
                      <w:color w:val="auto"/>
                      <w:szCs w:val="21"/>
                      <w:vertAlign w:val="subscript"/>
                      <w:lang w:val="en-US" w:eastAsia="zh-CN"/>
                    </w:rPr>
                    <w:t>3</w:t>
                  </w:r>
                  <w:r>
                    <w:rPr>
                      <w:rFonts w:hint="default"/>
                      <w:bCs/>
                      <w:color w:val="auto"/>
                      <w:szCs w:val="21"/>
                      <w:lang w:val="en-US" w:eastAsia="zh-CN"/>
                    </w:rPr>
                    <w:t>、H</w:t>
                  </w:r>
                  <w:r>
                    <w:rPr>
                      <w:rFonts w:hint="default"/>
                      <w:bCs/>
                      <w:color w:val="auto"/>
                      <w:szCs w:val="21"/>
                      <w:vertAlign w:val="subscript"/>
                      <w:lang w:val="en-US" w:eastAsia="zh-CN"/>
                    </w:rPr>
                    <w:t>2</w:t>
                  </w:r>
                  <w:r>
                    <w:rPr>
                      <w:rFonts w:hint="default"/>
                      <w:bCs/>
                      <w:color w:val="auto"/>
                      <w:szCs w:val="21"/>
                      <w:lang w:val="en-US" w:eastAsia="zh-CN"/>
                    </w:rPr>
                    <w:t>S、臭气浓度</w:t>
                  </w:r>
                </w:p>
              </w:tc>
              <w:tc>
                <w:tcPr>
                  <w:tcW w:w="1685" w:type="dxa"/>
                  <w:tcBorders>
                    <w:tl2br w:val="nil"/>
                    <w:tr2bl w:val="nil"/>
                  </w:tcBorders>
                  <w:vAlign w:val="center"/>
                </w:tcPr>
                <w:p w14:paraId="7FFE2AB1">
                  <w:pPr>
                    <w:adjustRightInd w:val="0"/>
                    <w:snapToGrid w:val="0"/>
                    <w:jc w:val="center"/>
                    <w:rPr>
                      <w:rFonts w:hint="eastAsia" w:ascii="Times New Roman" w:hAnsi="Times New Roman" w:cs="Times New Roman"/>
                      <w:color w:val="auto"/>
                      <w:u w:val="none"/>
                      <w:lang w:val="en-US" w:eastAsia="zh-CN"/>
                    </w:rPr>
                  </w:pPr>
                  <w:r>
                    <w:rPr>
                      <w:rFonts w:hint="default"/>
                      <w:bCs/>
                      <w:color w:val="auto"/>
                      <w:szCs w:val="21"/>
                      <w:lang w:val="en-US" w:eastAsia="zh-CN"/>
                    </w:rPr>
                    <w:t>每半年一次</w:t>
                  </w:r>
                </w:p>
              </w:tc>
              <w:tc>
                <w:tcPr>
                  <w:tcW w:w="2422" w:type="dxa"/>
                  <w:tcBorders>
                    <w:tl2br w:val="nil"/>
                    <w:tr2bl w:val="nil"/>
                  </w:tcBorders>
                  <w:vAlign w:val="center"/>
                </w:tcPr>
                <w:p w14:paraId="4713D01F">
                  <w:pPr>
                    <w:adjustRightInd w:val="0"/>
                    <w:snapToGrid w:val="0"/>
                    <w:jc w:val="center"/>
                    <w:rPr>
                      <w:rFonts w:hint="default" w:ascii="Times New Roman" w:hAnsi="Times New Roman" w:cs="Times New Roman"/>
                      <w:color w:val="auto"/>
                      <w:u w:val="none"/>
                      <w:lang w:val="en-US" w:eastAsia="zh-CN"/>
                    </w:rPr>
                  </w:pPr>
                  <w:r>
                    <w:rPr>
                      <w:rFonts w:hint="default"/>
                      <w:bCs/>
                      <w:color w:val="auto"/>
                      <w:szCs w:val="21"/>
                      <w:lang w:val="en-US" w:eastAsia="zh-CN"/>
                    </w:rPr>
                    <w:t>《恶臭污染物排放标准》（GB14554-93）中表2的标准要求</w:t>
                  </w:r>
                </w:p>
              </w:tc>
            </w:tr>
            <w:tr w14:paraId="3AA5DE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12" w:type="dxa"/>
                  <w:tcBorders>
                    <w:tl2br w:val="nil"/>
                    <w:tr2bl w:val="nil"/>
                  </w:tcBorders>
                  <w:vAlign w:val="center"/>
                </w:tcPr>
                <w:p w14:paraId="4073F40C">
                  <w:pPr>
                    <w:adjustRightInd w:val="0"/>
                    <w:snapToGrid w:val="0"/>
                    <w:jc w:val="center"/>
                    <w:rPr>
                      <w:rFonts w:hint="eastAsia" w:ascii="Times New Roman" w:hAnsi="Times New Roman" w:cs="Times New Roman"/>
                      <w:color w:val="auto"/>
                      <w:u w:val="none"/>
                      <w:lang w:val="en-US" w:eastAsia="zh-CN"/>
                    </w:rPr>
                  </w:pPr>
                  <w:r>
                    <w:rPr>
                      <w:rFonts w:hint="eastAsia"/>
                      <w:bCs/>
                      <w:color w:val="auto"/>
                      <w:szCs w:val="21"/>
                      <w:lang w:val="en-US" w:eastAsia="zh-CN"/>
                    </w:rPr>
                    <w:t>柴油发电机</w:t>
                  </w:r>
                </w:p>
              </w:tc>
              <w:tc>
                <w:tcPr>
                  <w:tcW w:w="1140" w:type="dxa"/>
                  <w:tcBorders>
                    <w:tl2br w:val="nil"/>
                    <w:tr2bl w:val="nil"/>
                  </w:tcBorders>
                  <w:vAlign w:val="center"/>
                </w:tcPr>
                <w:p w14:paraId="31F9A743">
                  <w:pPr>
                    <w:adjustRightInd w:val="0"/>
                    <w:snapToGrid w:val="0"/>
                    <w:jc w:val="center"/>
                    <w:rPr>
                      <w:rFonts w:hint="default"/>
                      <w:bCs/>
                      <w:color w:val="auto"/>
                      <w:szCs w:val="21"/>
                      <w:lang w:val="en-US" w:eastAsia="zh-CN"/>
                    </w:rPr>
                  </w:pPr>
                  <w:r>
                    <w:rPr>
                      <w:rFonts w:hint="eastAsia"/>
                      <w:bCs/>
                      <w:color w:val="auto"/>
                      <w:szCs w:val="21"/>
                      <w:lang w:val="en-US" w:eastAsia="zh-CN"/>
                    </w:rPr>
                    <w:t>柴油发电机排气筒</w:t>
                  </w:r>
                </w:p>
              </w:tc>
              <w:tc>
                <w:tcPr>
                  <w:tcW w:w="1649" w:type="dxa"/>
                  <w:tcBorders>
                    <w:tl2br w:val="nil"/>
                    <w:tr2bl w:val="nil"/>
                  </w:tcBorders>
                  <w:vAlign w:val="center"/>
                </w:tcPr>
                <w:p w14:paraId="337F0648">
                  <w:pPr>
                    <w:adjustRightInd w:val="0"/>
                    <w:snapToGrid w:val="0"/>
                    <w:jc w:val="center"/>
                    <w:rPr>
                      <w:rFonts w:hint="default"/>
                      <w:bCs/>
                      <w:color w:val="auto"/>
                      <w:szCs w:val="21"/>
                      <w:lang w:val="en-US" w:eastAsia="zh-CN"/>
                    </w:rPr>
                  </w:pPr>
                  <w:r>
                    <w:rPr>
                      <w:rFonts w:hint="default" w:ascii="Times New Roman" w:hAnsi="Times New Roman"/>
                      <w:bCs/>
                      <w:color w:val="auto"/>
                      <w:szCs w:val="21"/>
                      <w:lang w:val="en-US" w:eastAsia="zh-CN"/>
                    </w:rPr>
                    <w:t>SO</w:t>
                  </w:r>
                  <w:r>
                    <w:rPr>
                      <w:rFonts w:hint="default" w:ascii="Times New Roman" w:hAnsi="Times New Roman" w:cs="Times New Roman"/>
                      <w:bCs/>
                      <w:color w:val="auto"/>
                      <w:szCs w:val="21"/>
                      <w:vertAlign w:val="subscript"/>
                      <w:lang w:val="en-US" w:eastAsia="zh-CN"/>
                    </w:rPr>
                    <w:t>2</w:t>
                  </w:r>
                  <w:r>
                    <w:rPr>
                      <w:rFonts w:hint="default" w:ascii="Times New Roman" w:hAnsi="Times New Roman"/>
                      <w:bCs/>
                      <w:color w:val="auto"/>
                      <w:szCs w:val="21"/>
                      <w:lang w:val="en-US" w:eastAsia="zh-CN"/>
                    </w:rPr>
                    <w:t>、NO</w:t>
                  </w:r>
                  <w:r>
                    <w:rPr>
                      <w:rFonts w:hint="default" w:ascii="Times New Roman" w:hAnsi="Times New Roman"/>
                      <w:bCs/>
                      <w:color w:val="auto"/>
                      <w:szCs w:val="21"/>
                      <w:vertAlign w:val="subscript"/>
                      <w:lang w:val="en-US" w:eastAsia="zh-CN"/>
                    </w:rPr>
                    <w:t>X</w:t>
                  </w:r>
                  <w:r>
                    <w:rPr>
                      <w:rFonts w:hint="default" w:ascii="Times New Roman" w:hAnsi="Times New Roman"/>
                      <w:bCs/>
                      <w:color w:val="auto"/>
                      <w:szCs w:val="21"/>
                      <w:lang w:val="en-US" w:eastAsia="zh-CN"/>
                    </w:rPr>
                    <w:t>、烟尘</w:t>
                  </w:r>
                </w:p>
              </w:tc>
              <w:tc>
                <w:tcPr>
                  <w:tcW w:w="1685" w:type="dxa"/>
                  <w:tcBorders>
                    <w:tl2br w:val="nil"/>
                    <w:tr2bl w:val="nil"/>
                  </w:tcBorders>
                  <w:vAlign w:val="center"/>
                </w:tcPr>
                <w:p w14:paraId="3D8F120B">
                  <w:pPr>
                    <w:adjustRightInd w:val="0"/>
                    <w:snapToGrid w:val="0"/>
                    <w:jc w:val="center"/>
                    <w:rPr>
                      <w:rFonts w:hint="default"/>
                      <w:bCs/>
                      <w:color w:val="auto"/>
                      <w:szCs w:val="21"/>
                      <w:lang w:val="en-US" w:eastAsia="zh-CN"/>
                    </w:rPr>
                  </w:pPr>
                  <w:r>
                    <w:rPr>
                      <w:rFonts w:hint="eastAsia" w:ascii="Times New Roman" w:hAnsi="Times New Roman"/>
                      <w:bCs/>
                      <w:color w:val="auto"/>
                      <w:szCs w:val="21"/>
                      <w:lang w:val="en-US" w:eastAsia="zh-CN"/>
                    </w:rPr>
                    <w:t>每年一次</w:t>
                  </w:r>
                </w:p>
              </w:tc>
              <w:tc>
                <w:tcPr>
                  <w:tcW w:w="2422" w:type="dxa"/>
                  <w:tcBorders>
                    <w:tl2br w:val="nil"/>
                    <w:tr2bl w:val="nil"/>
                  </w:tcBorders>
                  <w:vAlign w:val="center"/>
                </w:tcPr>
                <w:p w14:paraId="71D44167">
                  <w:pPr>
                    <w:adjustRightInd w:val="0"/>
                    <w:snapToGrid w:val="0"/>
                    <w:jc w:val="center"/>
                    <w:rPr>
                      <w:rFonts w:hint="default"/>
                      <w:bCs/>
                      <w:color w:val="auto"/>
                      <w:szCs w:val="21"/>
                      <w:lang w:val="en-US" w:eastAsia="zh-CN"/>
                    </w:rPr>
                  </w:pPr>
                  <w:r>
                    <w:rPr>
                      <w:rFonts w:hint="default" w:ascii="Times New Roman" w:hAnsi="Times New Roman"/>
                      <w:bCs/>
                      <w:color w:val="auto"/>
                      <w:szCs w:val="21"/>
                      <w:lang w:val="en-US" w:eastAsia="zh-CN"/>
                    </w:rPr>
                    <w:t>《大气污染物综合排放标准》（GB 16297-1997）</w:t>
                  </w:r>
                </w:p>
              </w:tc>
            </w:tr>
          </w:tbl>
          <w:p w14:paraId="2E6630B3">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eastAsia" w:ascii="Times New Roman" w:hAnsi="Times New Roman" w:eastAsia="宋体" w:cs="Times New Roman"/>
                <w:b/>
                <w:bCs/>
                <w:color w:val="auto"/>
                <w:u w:val="single"/>
                <w:lang w:val="en-US" w:eastAsia="zh-CN"/>
              </w:rPr>
            </w:pPr>
            <w:r>
              <w:rPr>
                <w:rFonts w:hint="eastAsia" w:ascii="Times New Roman" w:hAnsi="Times New Roman" w:eastAsia="宋体" w:cs="Times New Roman"/>
                <w:b/>
                <w:bCs/>
                <w:color w:val="auto"/>
                <w:u w:val="single"/>
                <w:lang w:val="en-US" w:eastAsia="zh-CN"/>
              </w:rPr>
              <w:t>6、排污口规范化设置</w:t>
            </w:r>
          </w:p>
          <w:p w14:paraId="30D1DCB0">
            <w:pPr>
              <w:keepNext w:val="0"/>
              <w:keepLines w:val="0"/>
              <w:pageBreakBefore w:val="0"/>
              <w:widowControl w:val="0"/>
              <w:kinsoku/>
              <w:wordWrap w:val="0"/>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kern w:val="0"/>
                <w:sz w:val="24"/>
                <w:szCs w:val="20"/>
                <w:u w:val="single"/>
                <w:lang w:val="en-US" w:eastAsia="zh-CN" w:bidi="ar-SA"/>
              </w:rPr>
            </w:pPr>
            <w:r>
              <w:rPr>
                <w:rFonts w:hint="default" w:ascii="Times New Roman" w:hAnsi="Times New Roman" w:eastAsia="宋体" w:cs="Times New Roman"/>
                <w:b w:val="0"/>
                <w:bCs w:val="0"/>
                <w:color w:val="auto"/>
                <w:kern w:val="0"/>
                <w:sz w:val="24"/>
                <w:szCs w:val="20"/>
                <w:u w:val="single"/>
                <w:lang w:val="en-US" w:eastAsia="zh-CN" w:bidi="ar-SA"/>
              </w:rPr>
              <w:t>针对本项目，排污口规范化整治技术要求应包括以下内容：</w:t>
            </w:r>
          </w:p>
          <w:p w14:paraId="6359AC39">
            <w:pPr>
              <w:keepNext w:val="0"/>
              <w:keepLines w:val="0"/>
              <w:pageBreakBefore w:val="0"/>
              <w:widowControl w:val="0"/>
              <w:kinsoku/>
              <w:wordWrap w:val="0"/>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kern w:val="0"/>
                <w:sz w:val="24"/>
                <w:szCs w:val="20"/>
                <w:u w:val="single"/>
                <w:lang w:val="en-US" w:eastAsia="zh-CN" w:bidi="ar-SA"/>
              </w:rPr>
            </w:pPr>
            <w:r>
              <w:rPr>
                <w:rFonts w:hint="default" w:ascii="Times New Roman" w:hAnsi="Times New Roman" w:eastAsia="宋体" w:cs="Times New Roman"/>
                <w:b w:val="0"/>
                <w:bCs w:val="0"/>
                <w:color w:val="auto"/>
                <w:kern w:val="0"/>
                <w:sz w:val="24"/>
                <w:szCs w:val="20"/>
                <w:u w:val="single"/>
                <w:lang w:val="en-US" w:eastAsia="zh-CN" w:bidi="ar-SA"/>
              </w:rPr>
              <w:t>（1）合理确定排污口位置，并按《污染源监测技术规范》设置采样点；</w:t>
            </w:r>
          </w:p>
          <w:p w14:paraId="7A770857">
            <w:pPr>
              <w:keepNext w:val="0"/>
              <w:keepLines w:val="0"/>
              <w:pageBreakBefore w:val="0"/>
              <w:widowControl w:val="0"/>
              <w:kinsoku/>
              <w:wordWrap w:val="0"/>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kern w:val="0"/>
                <w:sz w:val="24"/>
                <w:szCs w:val="20"/>
                <w:u w:val="single"/>
                <w:lang w:val="en-US" w:eastAsia="zh-CN" w:bidi="ar-SA"/>
              </w:rPr>
            </w:pPr>
            <w:r>
              <w:rPr>
                <w:rFonts w:hint="default" w:ascii="Times New Roman" w:hAnsi="Times New Roman" w:eastAsia="宋体" w:cs="Times New Roman"/>
                <w:b w:val="0"/>
                <w:bCs w:val="0"/>
                <w:color w:val="auto"/>
                <w:kern w:val="0"/>
                <w:sz w:val="24"/>
                <w:szCs w:val="20"/>
                <w:u w:val="single"/>
                <w:lang w:val="en-US" w:eastAsia="zh-CN" w:bidi="ar-SA"/>
              </w:rPr>
              <w:t>（2）废气排放口必须符合规定的高度和按照《污染源监测技术规范》便于采样、监测的要求，设置直径不小于75mm的采样口。在废气排放口设置采样口及采样平台。</w:t>
            </w:r>
          </w:p>
          <w:p w14:paraId="4E6FC828">
            <w:pPr>
              <w:keepNext w:val="0"/>
              <w:keepLines w:val="0"/>
              <w:pageBreakBefore w:val="0"/>
              <w:widowControl w:val="0"/>
              <w:kinsoku/>
              <w:wordWrap w:val="0"/>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kern w:val="0"/>
                <w:sz w:val="24"/>
                <w:szCs w:val="20"/>
                <w:u w:val="single"/>
                <w:lang w:val="en-US" w:eastAsia="zh-CN" w:bidi="ar-SA"/>
              </w:rPr>
            </w:pPr>
            <w:r>
              <w:rPr>
                <w:rFonts w:hint="default" w:ascii="Times New Roman" w:hAnsi="Times New Roman" w:eastAsia="宋体" w:cs="Times New Roman"/>
                <w:b w:val="0"/>
                <w:bCs w:val="0"/>
                <w:color w:val="auto"/>
                <w:kern w:val="0"/>
                <w:sz w:val="24"/>
                <w:szCs w:val="20"/>
                <w:u w:val="single"/>
                <w:lang w:val="en-US" w:eastAsia="zh-CN" w:bidi="ar-SA"/>
              </w:rPr>
              <w:t>（3）按照《环境保护图形标志》（GB15562-1995）中规定，规范化的排污口应设置相应的环境保护图形标志牌；</w:t>
            </w:r>
          </w:p>
          <w:p w14:paraId="609E7288">
            <w:pPr>
              <w:keepNext w:val="0"/>
              <w:keepLines w:val="0"/>
              <w:pageBreakBefore w:val="0"/>
              <w:widowControl w:val="0"/>
              <w:kinsoku/>
              <w:wordWrap w:val="0"/>
              <w:overflowPunct/>
              <w:topLinePunct/>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 w:val="0"/>
                <w:bCs w:val="0"/>
                <w:color w:val="auto"/>
                <w:kern w:val="0"/>
                <w:sz w:val="24"/>
                <w:szCs w:val="20"/>
                <w:u w:val="single"/>
                <w:lang w:val="en-US" w:eastAsia="zh-CN" w:bidi="ar-SA"/>
              </w:rPr>
            </w:pPr>
            <w:r>
              <w:rPr>
                <w:rFonts w:hint="default" w:ascii="Times New Roman" w:hAnsi="Times New Roman" w:eastAsia="宋体" w:cs="Times New Roman"/>
                <w:b w:val="0"/>
                <w:bCs w:val="0"/>
                <w:color w:val="auto"/>
                <w:kern w:val="0"/>
                <w:sz w:val="24"/>
                <w:szCs w:val="20"/>
                <w:u w:val="single"/>
                <w:lang w:val="en-US" w:eastAsia="zh-CN" w:bidi="ar-SA"/>
              </w:rPr>
              <w:t>（4）按要求填写由国家环境保护总局统一印刷的《中华人民共和国规范化排污口标志登记证》并根据登记证的内容建立排污口管理档案，项目投产运行后，应建立各主要污染物类别、数量、浓度、排放方式、排放去向、达标情况等的台帐，并按环保部门要求及时上报。</w:t>
            </w:r>
          </w:p>
          <w:p w14:paraId="38B1F9E9">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default" w:ascii="Times New Roman" w:hAnsi="Times New Roman" w:eastAsia="宋体" w:cs="Times New Roman"/>
                <w:b w:val="0"/>
                <w:bCs w:val="0"/>
                <w:color w:val="auto"/>
                <w:kern w:val="0"/>
                <w:sz w:val="24"/>
                <w:szCs w:val="20"/>
                <w:u w:val="single"/>
                <w:lang w:val="en-US" w:eastAsia="zh-CN" w:bidi="ar-SA"/>
              </w:rPr>
            </w:pPr>
            <w:r>
              <w:rPr>
                <w:rFonts w:hint="default" w:ascii="Times New Roman" w:hAnsi="Times New Roman" w:eastAsia="宋体" w:cs="Times New Roman"/>
                <w:b w:val="0"/>
                <w:bCs w:val="0"/>
                <w:color w:val="auto"/>
                <w:kern w:val="0"/>
                <w:sz w:val="24"/>
                <w:szCs w:val="20"/>
                <w:u w:val="single"/>
                <w:lang w:val="en-US" w:eastAsia="zh-CN" w:bidi="ar-SA"/>
              </w:rPr>
              <w:t>（5）规范化排污口有关设施属环境保护设施，企业应将其纳入本单位设备管理，并选派责任心强、有专业知识和技能的兼、专职人员进行管理。</w:t>
            </w:r>
          </w:p>
          <w:p w14:paraId="601BF868">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default" w:cs="Times New Roman"/>
                <w:b/>
                <w:bCs/>
                <w:color w:val="auto"/>
                <w:u w:val="single"/>
                <w:lang w:val="en-US" w:eastAsia="zh-CN"/>
              </w:rPr>
            </w:pPr>
            <w:r>
              <w:rPr>
                <w:rFonts w:hint="eastAsia" w:cs="Times New Roman"/>
                <w:b/>
                <w:bCs/>
                <w:color w:val="auto"/>
                <w:u w:val="single"/>
                <w:lang w:val="en-US" w:eastAsia="zh-CN"/>
              </w:rPr>
              <w:t>7、排气筒高度设置合理性分析</w:t>
            </w:r>
          </w:p>
          <w:p w14:paraId="4EC1E5F7">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kern w:val="0"/>
                <w:sz w:val="24"/>
                <w:szCs w:val="20"/>
                <w:u w:val="single"/>
                <w:lang w:val="en-US" w:eastAsia="zh-CN" w:bidi="ar-SA"/>
              </w:rPr>
            </w:pPr>
            <w:r>
              <w:rPr>
                <w:rFonts w:hint="eastAsia" w:ascii="Times New Roman" w:hAnsi="Times New Roman" w:eastAsia="宋体" w:cs="Times New Roman"/>
                <w:b w:val="0"/>
                <w:bCs w:val="0"/>
                <w:color w:val="auto"/>
                <w:kern w:val="0"/>
                <w:sz w:val="24"/>
                <w:szCs w:val="20"/>
                <w:u w:val="single"/>
                <w:lang w:val="en-US" w:eastAsia="zh-CN" w:bidi="ar-SA"/>
              </w:rPr>
              <w:t>根据《恶臭污染物排放标准》（GB14554-93），排气筒的最低高度不得低于15m，本项目恶臭有组织排口设置高度均为15m，</w:t>
            </w:r>
            <w:r>
              <w:rPr>
                <w:rFonts w:hint="eastAsia" w:cs="Times New Roman"/>
                <w:b w:val="0"/>
                <w:bCs w:val="0"/>
                <w:color w:val="auto"/>
                <w:kern w:val="0"/>
                <w:sz w:val="24"/>
                <w:szCs w:val="20"/>
                <w:u w:val="single"/>
                <w:lang w:val="en-US" w:eastAsia="zh-CN" w:bidi="ar-SA"/>
              </w:rPr>
              <w:t>且项目周边200米无其他建筑物，项目排气筒高度</w:t>
            </w:r>
            <w:r>
              <w:rPr>
                <w:rFonts w:hint="eastAsia" w:ascii="Times New Roman" w:hAnsi="Times New Roman" w:eastAsia="宋体" w:cs="Times New Roman"/>
                <w:b w:val="0"/>
                <w:bCs w:val="0"/>
                <w:color w:val="auto"/>
                <w:kern w:val="0"/>
                <w:sz w:val="24"/>
                <w:szCs w:val="20"/>
                <w:u w:val="single"/>
                <w:lang w:val="en-US" w:eastAsia="zh-CN" w:bidi="ar-SA"/>
              </w:rPr>
              <w:t>设置符合《恶臭污染物排放标准》（GB14554-1996）有组织排放排气筒高度的要求。</w:t>
            </w:r>
          </w:p>
          <w:p w14:paraId="411444FD">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eastAsia" w:ascii="Times New Roman" w:hAnsi="Times New Roman" w:eastAsia="宋体" w:cs="Times New Roman"/>
                <w:b/>
                <w:bCs/>
                <w:color w:val="auto"/>
                <w:u w:val="none"/>
                <w:lang w:val="en-US" w:eastAsia="zh-CN"/>
              </w:rPr>
            </w:pPr>
            <w:r>
              <w:rPr>
                <w:rFonts w:hint="eastAsia" w:cs="Times New Roman"/>
                <w:b/>
                <w:bCs/>
                <w:color w:val="auto"/>
                <w:u w:val="none"/>
                <w:lang w:val="en-US" w:eastAsia="zh-CN"/>
              </w:rPr>
              <w:t>8</w:t>
            </w:r>
            <w:r>
              <w:rPr>
                <w:rFonts w:hint="eastAsia" w:ascii="Times New Roman" w:hAnsi="Times New Roman" w:eastAsia="宋体" w:cs="Times New Roman"/>
                <w:b/>
                <w:bCs/>
                <w:color w:val="auto"/>
                <w:u w:val="none"/>
                <w:lang w:val="en-US" w:eastAsia="zh-CN"/>
              </w:rPr>
              <w:t>、废气排放的环境影响分析</w:t>
            </w:r>
          </w:p>
          <w:p w14:paraId="4A4C76C1">
            <w:pPr>
              <w:wordWrap w:val="0"/>
              <w:autoSpaceDE w:val="0"/>
              <w:autoSpaceDN w:val="0"/>
              <w:spacing w:line="360" w:lineRule="auto"/>
              <w:ind w:firstLine="480"/>
              <w:rPr>
                <w:rFonts w:cs="宋体"/>
                <w:color w:val="auto"/>
                <w:kern w:val="0"/>
                <w:sz w:val="24"/>
                <w:szCs w:val="22"/>
                <w:lang w:bidi="zh-CN"/>
              </w:rPr>
            </w:pPr>
            <w:r>
              <w:rPr>
                <w:rFonts w:hint="eastAsia" w:cs="宋体"/>
                <w:color w:val="auto"/>
                <w:kern w:val="0"/>
                <w:sz w:val="24"/>
                <w:szCs w:val="22"/>
                <w:lang w:bidi="zh-CN"/>
              </w:rPr>
              <w:t>根据《</w:t>
            </w:r>
            <w:r>
              <w:rPr>
                <w:rFonts w:hint="eastAsia"/>
                <w:color w:val="auto"/>
                <w:sz w:val="24"/>
                <w:szCs w:val="20"/>
                <w:lang w:val="en-US" w:eastAsia="zh-CN"/>
              </w:rPr>
              <w:t>排污许可申请与核发技术规范 水处理（试行）》（HJ978-2018）</w:t>
            </w:r>
            <w:r>
              <w:rPr>
                <w:rFonts w:hint="eastAsia" w:cs="宋体"/>
                <w:color w:val="auto"/>
                <w:kern w:val="0"/>
                <w:sz w:val="24"/>
                <w:szCs w:val="22"/>
                <w:lang w:bidi="zh-CN"/>
              </w:rPr>
              <w:t>中</w:t>
            </w:r>
            <w:r>
              <w:rPr>
                <w:rFonts w:hint="eastAsia"/>
                <w:color w:val="auto"/>
                <w:sz w:val="24"/>
                <w:szCs w:val="20"/>
                <w:lang w:val="en-US" w:eastAsia="zh-CN"/>
              </w:rPr>
              <w:t>“表5</w:t>
            </w:r>
            <w:r>
              <w:rPr>
                <w:color w:val="auto"/>
                <w:sz w:val="24"/>
                <w:szCs w:val="20"/>
                <w:lang w:val="en-US" w:eastAsia="zh-CN"/>
              </w:rPr>
              <w:t>废气污理可行技术参照表</w:t>
            </w:r>
            <w:r>
              <w:rPr>
                <w:rFonts w:hint="eastAsia"/>
                <w:color w:val="auto"/>
                <w:sz w:val="24"/>
                <w:szCs w:val="20"/>
                <w:lang w:val="en-US" w:eastAsia="zh-CN"/>
              </w:rPr>
              <w:t>中可行工艺”</w:t>
            </w:r>
            <w:r>
              <w:rPr>
                <w:rFonts w:hint="eastAsia" w:cs="宋体"/>
                <w:color w:val="auto"/>
                <w:kern w:val="0"/>
                <w:sz w:val="24"/>
                <w:szCs w:val="22"/>
                <w:lang w:bidi="zh-CN"/>
              </w:rPr>
              <w:t>可知，本项目的治理技术是可行技术，故本项目环境影响可接受。</w:t>
            </w:r>
          </w:p>
          <w:p w14:paraId="52C29E72">
            <w:pPr>
              <w:wordWrap w:val="0"/>
              <w:autoSpaceDE w:val="0"/>
              <w:autoSpaceDN w:val="0"/>
              <w:spacing w:line="360" w:lineRule="auto"/>
              <w:ind w:firstLine="480"/>
              <w:rPr>
                <w:rFonts w:cs="宋体"/>
                <w:color w:val="auto"/>
                <w:kern w:val="0"/>
                <w:sz w:val="24"/>
                <w:szCs w:val="22"/>
                <w:lang w:bidi="zh-CN"/>
              </w:rPr>
            </w:pPr>
            <w:r>
              <w:rPr>
                <w:rFonts w:hint="eastAsia" w:cs="宋体"/>
                <w:color w:val="auto"/>
                <w:kern w:val="0"/>
                <w:sz w:val="24"/>
                <w:szCs w:val="22"/>
                <w:lang w:val="en-US" w:bidi="zh-CN"/>
              </w:rPr>
              <w:t>同时</w:t>
            </w:r>
            <w:r>
              <w:rPr>
                <w:rFonts w:hint="eastAsia"/>
                <w:color w:val="auto"/>
                <w:sz w:val="24"/>
                <w:szCs w:val="20"/>
                <w:lang w:val="en-US" w:eastAsia="zh-CN"/>
              </w:rPr>
              <w:t>项目的污水处理恶臭气体经生物滤池除臭系统处理后，排放筒中氨、硫化氢速率满足《恶臭污染物排放标准》（GB14554-93）中表2的标准要求，</w:t>
            </w:r>
            <w:r>
              <w:rPr>
                <w:rFonts w:hint="eastAsia" w:cs="宋体"/>
                <w:color w:val="auto"/>
                <w:kern w:val="0"/>
                <w:sz w:val="24"/>
                <w:szCs w:val="22"/>
                <w:lang w:bidi="zh-CN"/>
              </w:rPr>
              <w:t>故本项目正常运营时，采用本环评提出的环保措施后，对周边环境影响较小，可以接受。</w:t>
            </w:r>
          </w:p>
          <w:p w14:paraId="633276C8">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二、废水影响分析及保护措施</w:t>
            </w:r>
          </w:p>
          <w:p w14:paraId="408D4D2A">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lang w:val="en-US" w:eastAsia="zh-CN"/>
              </w:rPr>
              <w:t>本项目营运期配套管网无废水产生，废水主要来自于污水处理厂，产生废水主要为员工的生活污水</w:t>
            </w:r>
            <w:r>
              <w:rPr>
                <w:rFonts w:hint="eastAsia" w:cs="Times New Roman"/>
                <w:b w:val="0"/>
                <w:bCs w:val="0"/>
                <w:color w:val="auto"/>
                <w:lang w:val="en-US" w:eastAsia="zh-CN"/>
              </w:rPr>
              <w:t>和生产</w:t>
            </w:r>
            <w:r>
              <w:rPr>
                <w:rFonts w:hint="eastAsia" w:cs="Times New Roman"/>
                <w:b w:val="0"/>
                <w:bCs w:val="0"/>
                <w:color w:val="auto"/>
                <w:highlight w:val="none"/>
                <w:lang w:val="en-US" w:eastAsia="zh-CN"/>
              </w:rPr>
              <w:t>废水以及处理后的尾水</w:t>
            </w:r>
            <w:r>
              <w:rPr>
                <w:rFonts w:hint="eastAsia" w:ascii="Times New Roman" w:hAnsi="Times New Roman" w:eastAsia="宋体" w:cs="Times New Roman"/>
                <w:b w:val="0"/>
                <w:bCs w:val="0"/>
                <w:color w:val="auto"/>
                <w:highlight w:val="none"/>
                <w:lang w:val="en-US" w:eastAsia="zh-CN"/>
              </w:rPr>
              <w:t>。</w:t>
            </w:r>
          </w:p>
          <w:p w14:paraId="0D5FB6DA">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highlight w:val="none"/>
                <w:lang w:val="en-US" w:eastAsia="zh-CN"/>
              </w:rPr>
            </w:pPr>
            <w:r>
              <w:rPr>
                <w:rFonts w:hint="eastAsia" w:ascii="Times New Roman" w:hAnsi="Times New Roman" w:eastAsia="宋体" w:cs="Times New Roman"/>
                <w:b w:val="0"/>
                <w:bCs w:val="0"/>
                <w:color w:val="auto"/>
                <w:highlight w:val="none"/>
                <w:lang w:val="en-US" w:eastAsia="zh-CN"/>
              </w:rPr>
              <w:t>生活污水：本项目建成后员工人数</w:t>
            </w:r>
            <w:r>
              <w:rPr>
                <w:rFonts w:hint="eastAsia" w:cs="Times New Roman"/>
                <w:b w:val="0"/>
                <w:bCs w:val="0"/>
                <w:color w:val="auto"/>
                <w:highlight w:val="none"/>
                <w:lang w:val="en-US" w:eastAsia="zh-CN"/>
              </w:rPr>
              <w:t>9</w:t>
            </w:r>
            <w:r>
              <w:rPr>
                <w:rFonts w:hint="eastAsia" w:ascii="Times New Roman" w:hAnsi="Times New Roman" w:eastAsia="宋体" w:cs="Times New Roman"/>
                <w:b w:val="0"/>
                <w:bCs w:val="0"/>
                <w:color w:val="auto"/>
                <w:highlight w:val="none"/>
                <w:lang w:val="en-US" w:eastAsia="zh-CN"/>
              </w:rPr>
              <w:t>人，污水产生量约</w:t>
            </w:r>
            <w:r>
              <w:rPr>
                <w:rFonts w:hint="eastAsia"/>
                <w:color w:val="auto"/>
                <w:sz w:val="24"/>
                <w:szCs w:val="24"/>
                <w:highlight w:val="none"/>
                <w:lang w:val="en-US" w:eastAsia="zh-CN"/>
              </w:rPr>
              <w:t>0.75m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/d（273.5m</w:t>
            </w:r>
            <w:r>
              <w:rPr>
                <w:rFonts w:hint="eastAsia"/>
                <w:color w:val="auto"/>
                <w:sz w:val="24"/>
                <w:szCs w:val="24"/>
                <w:highlight w:val="none"/>
                <w:vertAlign w:val="superscript"/>
                <w:lang w:val="en-US" w:eastAsia="zh-CN"/>
              </w:rPr>
              <w:t>3</w:t>
            </w:r>
            <w:r>
              <w:rPr>
                <w:rFonts w:hint="eastAsia"/>
                <w:color w:val="auto"/>
                <w:sz w:val="24"/>
                <w:szCs w:val="24"/>
                <w:highlight w:val="none"/>
                <w:lang w:val="en-US" w:eastAsia="zh-CN"/>
              </w:rPr>
              <w:t>/a）</w:t>
            </w:r>
            <w:r>
              <w:rPr>
                <w:rFonts w:hint="eastAsia" w:ascii="Times New Roman" w:hAnsi="Times New Roman" w:eastAsia="宋体" w:cs="Times New Roman"/>
                <w:b w:val="0"/>
                <w:bCs w:val="0"/>
                <w:color w:val="auto"/>
                <w:highlight w:val="none"/>
                <w:lang w:val="en-US" w:eastAsia="zh-CN"/>
              </w:rPr>
              <w:t>；经化粪池预处理后，再一起汇入厂区进水泵站的集水池，进入厂区污水处理厂一并处理。该部分生活污水已包含在本项目</w:t>
            </w:r>
            <w:r>
              <w:rPr>
                <w:rFonts w:hint="eastAsia" w:cs="Times New Roman"/>
                <w:b w:val="0"/>
                <w:bCs w:val="0"/>
                <w:color w:val="auto"/>
                <w:highlight w:val="none"/>
                <w:lang w:val="en-US" w:eastAsia="zh-CN"/>
              </w:rPr>
              <w:t>15000</w:t>
            </w:r>
            <w:r>
              <w:rPr>
                <w:rFonts w:hint="eastAsia" w:ascii="Times New Roman" w:hAnsi="Times New Roman" w:eastAsia="宋体" w:cs="Times New Roman"/>
                <w:b w:val="0"/>
                <w:bCs w:val="0"/>
                <w:color w:val="auto"/>
                <w:highlight w:val="none"/>
                <w:lang w:val="en-US" w:eastAsia="zh-CN"/>
              </w:rPr>
              <w:t>m</w:t>
            </w:r>
            <w:r>
              <w:rPr>
                <w:rFonts w:hint="eastAsia" w:ascii="Times New Roman" w:hAnsi="Times New Roman" w:eastAsia="宋体" w:cs="Times New Roman"/>
                <w:b w:val="0"/>
                <w:bCs w:val="0"/>
                <w:color w:val="auto"/>
                <w:highlight w:val="none"/>
                <w:vertAlign w:val="superscript"/>
                <w:lang w:val="en-US" w:eastAsia="zh-CN"/>
              </w:rPr>
              <w:t>3</w:t>
            </w:r>
            <w:r>
              <w:rPr>
                <w:rFonts w:hint="eastAsia" w:ascii="Times New Roman" w:hAnsi="Times New Roman" w:eastAsia="宋体" w:cs="Times New Roman"/>
                <w:b w:val="0"/>
                <w:bCs w:val="0"/>
                <w:color w:val="auto"/>
                <w:highlight w:val="none"/>
                <w:lang w:val="en-US" w:eastAsia="zh-CN"/>
              </w:rPr>
              <w:t>/d总处理量内，下文不再单独列出分析。</w:t>
            </w:r>
          </w:p>
          <w:p w14:paraId="5C7DF5A5">
            <w:pPr>
              <w:autoSpaceDE w:val="0"/>
              <w:autoSpaceDN w:val="0"/>
              <w:adjustRightInd w:val="0"/>
              <w:spacing w:line="360" w:lineRule="auto"/>
              <w:ind w:firstLine="480" w:firstLineChars="200"/>
              <w:rPr>
                <w:rFonts w:hint="default" w:eastAsia="宋体"/>
                <w:bCs/>
                <w:color w:val="auto"/>
                <w:sz w:val="24"/>
                <w:lang w:val="en-US" w:eastAsia="zh-CN"/>
              </w:rPr>
            </w:pPr>
            <w:r>
              <w:rPr>
                <w:rFonts w:hint="eastAsia"/>
                <w:bCs/>
                <w:color w:val="auto"/>
                <w:sz w:val="24"/>
                <w:highlight w:val="none"/>
                <w:lang w:val="en-US" w:eastAsia="zh-CN"/>
              </w:rPr>
              <w:t>生产废水：产生量为1.6m</w:t>
            </w:r>
            <w:r>
              <w:rPr>
                <w:rFonts w:hint="eastAsia"/>
                <w:bCs/>
                <w:color w:val="auto"/>
                <w:sz w:val="24"/>
                <w:highlight w:val="none"/>
                <w:vertAlign w:val="superscript"/>
                <w:lang w:val="en-US" w:eastAsia="zh-CN"/>
              </w:rPr>
              <w:t>3</w:t>
            </w:r>
            <w:r>
              <w:rPr>
                <w:rFonts w:hint="eastAsia"/>
                <w:bCs/>
                <w:color w:val="auto"/>
                <w:sz w:val="24"/>
                <w:highlight w:val="none"/>
                <w:lang w:val="en-US" w:eastAsia="zh-CN"/>
              </w:rPr>
              <w:t>/d（584m</w:t>
            </w:r>
            <w:r>
              <w:rPr>
                <w:rFonts w:hint="eastAsia"/>
                <w:bCs/>
                <w:color w:val="auto"/>
                <w:sz w:val="24"/>
                <w:highlight w:val="none"/>
                <w:vertAlign w:val="superscript"/>
                <w:lang w:val="en-US" w:eastAsia="zh-CN"/>
              </w:rPr>
              <w:t>3</w:t>
            </w:r>
            <w:r>
              <w:rPr>
                <w:rFonts w:hint="eastAsia"/>
                <w:bCs/>
                <w:color w:val="auto"/>
                <w:sz w:val="24"/>
                <w:highlight w:val="none"/>
                <w:lang w:val="en-US" w:eastAsia="zh-CN"/>
              </w:rPr>
              <w:t>/a），</w:t>
            </w:r>
            <w:r>
              <w:rPr>
                <w:rFonts w:hint="eastAsia"/>
                <w:bCs/>
                <w:color w:val="auto"/>
                <w:sz w:val="24"/>
                <w:lang w:val="en-US" w:eastAsia="zh-CN"/>
              </w:rPr>
              <w:t>进入厂区污水泵房，经提升后进入格栅间与进厂污水一并处理。</w:t>
            </w:r>
          </w:p>
          <w:p w14:paraId="03C124FA">
            <w:pPr>
              <w:autoSpaceDE w:val="0"/>
              <w:autoSpaceDN w:val="0"/>
              <w:adjustRightInd w:val="0"/>
              <w:spacing w:line="360" w:lineRule="auto"/>
              <w:ind w:firstLine="480" w:firstLineChars="200"/>
              <w:rPr>
                <w:bCs/>
                <w:color w:val="auto"/>
                <w:sz w:val="24"/>
              </w:rPr>
            </w:pPr>
            <w:r>
              <w:rPr>
                <w:rFonts w:hint="eastAsia"/>
                <w:bCs/>
                <w:color w:val="auto"/>
                <w:sz w:val="24"/>
              </w:rPr>
              <w:t>根据《建设项目环境影响报告表编制技术指南（污染影响类）》（试行）表1专项评价设置原则表，本项目</w:t>
            </w:r>
            <w:r>
              <w:rPr>
                <w:bCs/>
                <w:color w:val="auto"/>
                <w:sz w:val="24"/>
              </w:rPr>
              <w:t>属于</w:t>
            </w:r>
            <w:r>
              <w:rPr>
                <w:rFonts w:hint="eastAsia"/>
                <w:bCs/>
                <w:color w:val="auto"/>
                <w:sz w:val="24"/>
              </w:rPr>
              <w:t>表1“新增废水直排的污水集中处理厂”，应对</w:t>
            </w:r>
            <w:r>
              <w:rPr>
                <w:bCs/>
                <w:color w:val="auto"/>
                <w:sz w:val="24"/>
              </w:rPr>
              <w:t>地表水进行专项评价</w:t>
            </w:r>
            <w:r>
              <w:rPr>
                <w:rFonts w:hint="eastAsia"/>
                <w:bCs/>
                <w:color w:val="auto"/>
                <w:sz w:val="24"/>
              </w:rPr>
              <w:t>，</w:t>
            </w:r>
            <w:r>
              <w:rPr>
                <w:bCs/>
                <w:color w:val="auto"/>
                <w:sz w:val="24"/>
              </w:rPr>
              <w:t>详见地表水专章</w:t>
            </w:r>
            <w:r>
              <w:rPr>
                <w:rFonts w:hint="eastAsia"/>
                <w:bCs/>
                <w:color w:val="auto"/>
                <w:sz w:val="24"/>
              </w:rPr>
              <w:t>。</w:t>
            </w:r>
          </w:p>
          <w:p w14:paraId="511F8402">
            <w:pPr>
              <w:autoSpaceDE w:val="0"/>
              <w:autoSpaceDN w:val="0"/>
              <w:adjustRightInd w:val="0"/>
              <w:spacing w:line="360" w:lineRule="auto"/>
              <w:ind w:firstLine="480" w:firstLineChars="200"/>
              <w:rPr>
                <w:rFonts w:hint="eastAsia" w:ascii="Times New Roman" w:hAnsi="Times New Roman" w:eastAsia="宋体" w:cs="Times New Roman"/>
                <w:bCs/>
                <w:color w:val="auto"/>
                <w:sz w:val="24"/>
              </w:rPr>
            </w:pPr>
            <w:r>
              <w:rPr>
                <w:rFonts w:hint="eastAsia" w:ascii="Times New Roman" w:hAnsi="Times New Roman" w:eastAsia="宋体" w:cs="Times New Roman"/>
                <w:bCs/>
                <w:color w:val="auto"/>
                <w:sz w:val="24"/>
              </w:rPr>
              <w:t>根据地表水专项评价专章，本项目污水正常或事故排放情况下，项目排口下游污染物较本底浓度略有增加，但均可满足《地表水环境质量标准》（GB3838-2002）中Ⅲ类水域标准，不会对当地水质造成明显影响。</w:t>
            </w:r>
          </w:p>
          <w:p w14:paraId="306971C0">
            <w:pPr>
              <w:autoSpaceDE w:val="0"/>
              <w:autoSpaceDN w:val="0"/>
              <w:adjustRightInd w:val="0"/>
              <w:spacing w:line="360" w:lineRule="auto"/>
              <w:ind w:firstLine="480" w:firstLineChars="200"/>
              <w:rPr>
                <w:rFonts w:hint="eastAsia" w:ascii="Times New Roman" w:hAnsi="Times New Roman" w:eastAsia="宋体" w:cs="Times New Roman"/>
                <w:bCs/>
                <w:color w:val="auto"/>
                <w:sz w:val="24"/>
                <w:u w:val="none"/>
              </w:rPr>
            </w:pPr>
            <w:r>
              <w:rPr>
                <w:rFonts w:hint="eastAsia" w:eastAsia="宋"/>
                <w:color w:val="auto"/>
                <w:sz w:val="24"/>
                <w:highlight w:val="none"/>
                <w:u w:val="none"/>
              </w:rPr>
              <w:t>项目建成后，废水经过处理后，进入</w:t>
            </w:r>
            <w:r>
              <w:rPr>
                <w:rFonts w:hint="eastAsia" w:hAnsi="Times New Roman" w:cs="Times New Roman"/>
                <w:bCs/>
                <w:color w:val="auto"/>
                <w:sz w:val="24"/>
                <w:u w:val="none"/>
                <w:lang w:val="en-US" w:eastAsia="zh-CN"/>
              </w:rPr>
              <w:t>果利河</w:t>
            </w:r>
            <w:r>
              <w:rPr>
                <w:rFonts w:hint="eastAsia" w:eastAsia="宋"/>
                <w:color w:val="auto"/>
                <w:sz w:val="24"/>
                <w:highlight w:val="none"/>
                <w:u w:val="none"/>
              </w:rPr>
              <w:t>的污染物削减量为COD：</w:t>
            </w:r>
            <w:r>
              <w:rPr>
                <w:rFonts w:hint="eastAsia" w:eastAsia="宋"/>
                <w:color w:val="auto"/>
                <w:sz w:val="24"/>
                <w:highlight w:val="none"/>
                <w:u w:val="none"/>
                <w:lang w:val="en-US" w:eastAsia="zh-CN"/>
              </w:rPr>
              <w:t>1149.75</w:t>
            </w:r>
            <w:r>
              <w:rPr>
                <w:rFonts w:hint="eastAsia" w:eastAsia="宋"/>
                <w:color w:val="auto"/>
                <w:sz w:val="24"/>
                <w:highlight w:val="none"/>
                <w:u w:val="none"/>
              </w:rPr>
              <w:t>t/a、BOD</w:t>
            </w:r>
            <w:r>
              <w:rPr>
                <w:rFonts w:hint="eastAsia" w:eastAsia="宋"/>
                <w:color w:val="auto"/>
                <w:sz w:val="24"/>
                <w:highlight w:val="none"/>
                <w:u w:val="none"/>
                <w:vertAlign w:val="subscript"/>
              </w:rPr>
              <w:t>5</w:t>
            </w:r>
            <w:r>
              <w:rPr>
                <w:rFonts w:hint="eastAsia" w:eastAsia="宋"/>
                <w:color w:val="auto"/>
                <w:sz w:val="24"/>
                <w:highlight w:val="none"/>
                <w:u w:val="none"/>
              </w:rPr>
              <w:t>：</w:t>
            </w:r>
            <w:r>
              <w:rPr>
                <w:rFonts w:hint="eastAsia" w:eastAsia="宋"/>
                <w:color w:val="auto"/>
                <w:sz w:val="24"/>
                <w:highlight w:val="none"/>
                <w:u w:val="none"/>
                <w:lang w:val="en-US" w:eastAsia="zh-CN"/>
              </w:rPr>
              <w:t>657</w:t>
            </w:r>
            <w:r>
              <w:rPr>
                <w:rFonts w:hint="eastAsia" w:eastAsia="宋"/>
                <w:color w:val="auto"/>
                <w:sz w:val="24"/>
                <w:highlight w:val="none"/>
                <w:u w:val="none"/>
              </w:rPr>
              <w:t>t/a、SS：</w:t>
            </w:r>
            <w:r>
              <w:rPr>
                <w:rFonts w:hint="eastAsia" w:eastAsia="宋"/>
                <w:color w:val="auto"/>
                <w:sz w:val="24"/>
                <w:highlight w:val="none"/>
                <w:u w:val="none"/>
                <w:lang w:val="en-US" w:eastAsia="zh-CN"/>
              </w:rPr>
              <w:t>930.75</w:t>
            </w:r>
            <w:r>
              <w:rPr>
                <w:rFonts w:hint="eastAsia" w:eastAsia="宋"/>
                <w:color w:val="auto"/>
                <w:sz w:val="24"/>
                <w:highlight w:val="none"/>
                <w:u w:val="none"/>
              </w:rPr>
              <w:t>t/a、氨氮：</w:t>
            </w:r>
            <w:r>
              <w:rPr>
                <w:rFonts w:hint="eastAsia" w:eastAsia="宋"/>
                <w:color w:val="auto"/>
                <w:sz w:val="24"/>
                <w:highlight w:val="none"/>
                <w:u w:val="none"/>
                <w:lang w:val="en-US" w:eastAsia="zh-CN"/>
              </w:rPr>
              <w:t>147.825</w:t>
            </w:r>
            <w:r>
              <w:rPr>
                <w:rFonts w:hint="eastAsia" w:eastAsia="宋"/>
                <w:color w:val="auto"/>
                <w:sz w:val="24"/>
                <w:highlight w:val="none"/>
                <w:u w:val="none"/>
              </w:rPr>
              <w:t>t/a、TN：</w:t>
            </w:r>
            <w:r>
              <w:rPr>
                <w:rFonts w:hint="eastAsia" w:eastAsia="宋"/>
                <w:color w:val="auto"/>
                <w:sz w:val="24"/>
                <w:highlight w:val="none"/>
                <w:u w:val="none"/>
                <w:lang w:val="en-US" w:eastAsia="zh-CN"/>
              </w:rPr>
              <w:t>136.875</w:t>
            </w:r>
            <w:r>
              <w:rPr>
                <w:rFonts w:hint="eastAsia" w:eastAsia="宋"/>
                <w:color w:val="auto"/>
                <w:sz w:val="24"/>
                <w:highlight w:val="none"/>
                <w:u w:val="none"/>
              </w:rPr>
              <w:t>t/a、TP：</w:t>
            </w:r>
            <w:r>
              <w:rPr>
                <w:rFonts w:hint="eastAsia" w:eastAsia="宋"/>
                <w:color w:val="auto"/>
                <w:sz w:val="24"/>
                <w:highlight w:val="none"/>
                <w:u w:val="none"/>
                <w:lang w:val="en-US" w:eastAsia="zh-CN"/>
              </w:rPr>
              <w:t>16.42</w:t>
            </w:r>
            <w:r>
              <w:rPr>
                <w:rFonts w:hint="eastAsia" w:eastAsia="宋"/>
                <w:color w:val="auto"/>
                <w:sz w:val="24"/>
                <w:highlight w:val="none"/>
                <w:u w:val="none"/>
              </w:rPr>
              <w:t>t/a</w:t>
            </w:r>
            <w:r>
              <w:rPr>
                <w:rFonts w:hint="eastAsia" w:eastAsia="宋"/>
                <w:color w:val="auto"/>
                <w:sz w:val="24"/>
                <w:highlight w:val="none"/>
                <w:u w:val="none"/>
                <w:lang w:eastAsia="zh-CN"/>
              </w:rPr>
              <w:t>，</w:t>
            </w:r>
            <w:r>
              <w:rPr>
                <w:rFonts w:hint="eastAsia" w:eastAsia="宋"/>
                <w:color w:val="auto"/>
                <w:sz w:val="24"/>
                <w:highlight w:val="none"/>
                <w:u w:val="none"/>
              </w:rPr>
              <w:t>因此，项目的建设对改善</w:t>
            </w:r>
            <w:r>
              <w:rPr>
                <w:rFonts w:hint="eastAsia" w:hAnsi="Times New Roman" w:cs="Times New Roman"/>
                <w:bCs/>
                <w:color w:val="auto"/>
                <w:sz w:val="24"/>
                <w:u w:val="none"/>
                <w:lang w:val="en-US" w:eastAsia="zh-CN"/>
              </w:rPr>
              <w:t>果利河</w:t>
            </w:r>
            <w:r>
              <w:rPr>
                <w:rFonts w:hint="eastAsia" w:eastAsia="宋"/>
                <w:color w:val="auto"/>
                <w:sz w:val="24"/>
                <w:highlight w:val="none"/>
                <w:u w:val="none"/>
              </w:rPr>
              <w:t>水体环境，保障城镇发展具有积极的作用，同时不会改变</w:t>
            </w:r>
            <w:r>
              <w:rPr>
                <w:rFonts w:hint="eastAsia" w:hAnsi="Times New Roman" w:cs="Times New Roman"/>
                <w:bCs/>
                <w:color w:val="auto"/>
                <w:sz w:val="24"/>
                <w:u w:val="none"/>
                <w:lang w:val="en-US" w:eastAsia="zh-CN"/>
              </w:rPr>
              <w:t>果利河</w:t>
            </w:r>
            <w:r>
              <w:rPr>
                <w:rFonts w:hint="eastAsia" w:eastAsia="宋"/>
                <w:color w:val="auto"/>
                <w:sz w:val="24"/>
                <w:highlight w:val="none"/>
                <w:u w:val="none"/>
              </w:rPr>
              <w:t>地表水水域功能，本项目具有明显的环境正效应</w:t>
            </w:r>
            <w:r>
              <w:rPr>
                <w:rFonts w:eastAsia="宋"/>
                <w:color w:val="auto"/>
                <w:sz w:val="24"/>
                <w:highlight w:val="none"/>
                <w:u w:val="none"/>
              </w:rPr>
              <w:t>。</w:t>
            </w:r>
          </w:p>
          <w:p w14:paraId="48771B69">
            <w:pPr>
              <w:autoSpaceDE w:val="0"/>
              <w:autoSpaceDN w:val="0"/>
              <w:adjustRightInd w:val="0"/>
              <w:spacing w:line="360" w:lineRule="auto"/>
              <w:ind w:firstLine="482" w:firstLineChars="200"/>
              <w:rPr>
                <w:rFonts w:hint="eastAsia" w:eastAsia="宋"/>
                <w:b/>
                <w:color w:val="auto"/>
                <w:sz w:val="24"/>
              </w:rPr>
            </w:pPr>
            <w:r>
              <w:rPr>
                <w:rFonts w:hint="eastAsia" w:eastAsia="宋"/>
                <w:b/>
                <w:color w:val="auto"/>
                <w:sz w:val="24"/>
                <w:lang w:val="en-US" w:eastAsia="zh-CN"/>
              </w:rPr>
              <w:t>1、</w:t>
            </w:r>
            <w:r>
              <w:rPr>
                <w:rFonts w:hint="eastAsia" w:eastAsia="宋"/>
                <w:b/>
                <w:color w:val="auto"/>
                <w:sz w:val="24"/>
              </w:rPr>
              <w:t>污染物排放一览表</w:t>
            </w:r>
          </w:p>
          <w:p w14:paraId="31053DE4">
            <w:pPr>
              <w:keepNext w:val="0"/>
              <w:keepLines w:val="0"/>
              <w:pageBreakBefore w:val="0"/>
              <w:widowControl w:val="0"/>
              <w:kinsoku/>
              <w:wordWrap/>
              <w:overflowPunct/>
              <w:topLinePunct w:val="0"/>
              <w:autoSpaceDE/>
              <w:autoSpaceDN/>
              <w:bidi w:val="0"/>
              <w:adjustRightInd/>
              <w:snapToGrid/>
              <w:spacing w:before="48" w:beforeLines="15" w:after="48" w:afterLines="15" w:line="240" w:lineRule="auto"/>
              <w:jc w:val="center"/>
              <w:textAlignment w:val="auto"/>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表4-</w:t>
            </w:r>
            <w:r>
              <w:rPr>
                <w:rFonts w:hint="eastAsia" w:cs="Times New Roman"/>
                <w:b/>
                <w:bCs/>
                <w:color w:val="auto"/>
                <w:lang w:val="en-US" w:eastAsia="zh-CN"/>
              </w:rPr>
              <w:t>6</w:t>
            </w:r>
            <w:r>
              <w:rPr>
                <w:rFonts w:hint="eastAsia" w:ascii="Times New Roman" w:hAnsi="Times New Roman" w:eastAsia="宋体" w:cs="Times New Roman"/>
                <w:b/>
                <w:bCs/>
                <w:color w:val="auto"/>
                <w:lang w:val="en-US" w:eastAsia="zh-CN"/>
              </w:rPr>
              <w:t xml:space="preserve"> 污染物排放一览表</w:t>
            </w:r>
          </w:p>
          <w:tbl>
            <w:tblPr>
              <w:tblStyle w:val="32"/>
              <w:tblW w:w="810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8"/>
              <w:gridCol w:w="551"/>
              <w:gridCol w:w="647"/>
              <w:gridCol w:w="2264"/>
              <w:gridCol w:w="688"/>
              <w:gridCol w:w="678"/>
              <w:gridCol w:w="588"/>
              <w:gridCol w:w="1943"/>
            </w:tblGrid>
            <w:tr w14:paraId="1D8B3F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dxa"/>
                  <w:tcBorders>
                    <w:tl2br w:val="nil"/>
                    <w:tr2bl w:val="nil"/>
                  </w:tcBorders>
                  <w:vAlign w:val="center"/>
                </w:tcPr>
                <w:p w14:paraId="1639167A">
                  <w:pPr>
                    <w:jc w:val="center"/>
                    <w:rPr>
                      <w:b/>
                      <w:bCs/>
                      <w:color w:val="auto"/>
                      <w:sz w:val="21"/>
                      <w:szCs w:val="21"/>
                    </w:rPr>
                  </w:pPr>
                  <w:r>
                    <w:rPr>
                      <w:rFonts w:hint="eastAsia"/>
                      <w:b/>
                      <w:bCs/>
                      <w:color w:val="auto"/>
                      <w:sz w:val="21"/>
                      <w:szCs w:val="21"/>
                    </w:rPr>
                    <w:t>名称</w:t>
                  </w:r>
                </w:p>
              </w:tc>
              <w:tc>
                <w:tcPr>
                  <w:tcW w:w="560" w:type="dxa"/>
                  <w:tcBorders>
                    <w:tl2br w:val="nil"/>
                    <w:tr2bl w:val="nil"/>
                  </w:tcBorders>
                  <w:vAlign w:val="center"/>
                </w:tcPr>
                <w:p w14:paraId="482921CE">
                  <w:pPr>
                    <w:jc w:val="center"/>
                    <w:rPr>
                      <w:b/>
                      <w:bCs/>
                      <w:color w:val="auto"/>
                      <w:sz w:val="21"/>
                      <w:szCs w:val="21"/>
                    </w:rPr>
                  </w:pPr>
                  <w:r>
                    <w:rPr>
                      <w:rFonts w:hint="eastAsia"/>
                      <w:b/>
                      <w:bCs/>
                      <w:color w:val="auto"/>
                      <w:sz w:val="21"/>
                      <w:szCs w:val="21"/>
                    </w:rPr>
                    <w:t>编号</w:t>
                  </w:r>
                </w:p>
              </w:tc>
              <w:tc>
                <w:tcPr>
                  <w:tcW w:w="737" w:type="dxa"/>
                  <w:tcBorders>
                    <w:tl2br w:val="nil"/>
                    <w:tr2bl w:val="nil"/>
                  </w:tcBorders>
                  <w:vAlign w:val="center"/>
                </w:tcPr>
                <w:p w14:paraId="42A283A0">
                  <w:pPr>
                    <w:jc w:val="center"/>
                    <w:rPr>
                      <w:b/>
                      <w:bCs/>
                      <w:color w:val="auto"/>
                      <w:sz w:val="21"/>
                      <w:szCs w:val="21"/>
                    </w:rPr>
                  </w:pPr>
                  <w:r>
                    <w:rPr>
                      <w:rFonts w:hint="eastAsia"/>
                      <w:b/>
                      <w:bCs/>
                      <w:color w:val="auto"/>
                      <w:sz w:val="21"/>
                      <w:szCs w:val="21"/>
                    </w:rPr>
                    <w:t>类型</w:t>
                  </w:r>
                </w:p>
              </w:tc>
              <w:tc>
                <w:tcPr>
                  <w:tcW w:w="1845" w:type="dxa"/>
                  <w:tcBorders>
                    <w:tl2br w:val="nil"/>
                    <w:tr2bl w:val="nil"/>
                  </w:tcBorders>
                  <w:vAlign w:val="center"/>
                </w:tcPr>
                <w:p w14:paraId="7DA048A0">
                  <w:pPr>
                    <w:jc w:val="center"/>
                    <w:rPr>
                      <w:b/>
                      <w:bCs/>
                      <w:color w:val="auto"/>
                      <w:sz w:val="21"/>
                      <w:szCs w:val="21"/>
                    </w:rPr>
                  </w:pPr>
                  <w:r>
                    <w:rPr>
                      <w:rFonts w:hint="eastAsia"/>
                      <w:b/>
                      <w:bCs/>
                      <w:color w:val="auto"/>
                      <w:sz w:val="21"/>
                      <w:szCs w:val="21"/>
                    </w:rPr>
                    <w:t>排污口地理坐标</w:t>
                  </w:r>
                </w:p>
              </w:tc>
              <w:tc>
                <w:tcPr>
                  <w:tcW w:w="795" w:type="dxa"/>
                  <w:tcBorders>
                    <w:tl2br w:val="nil"/>
                    <w:tr2bl w:val="nil"/>
                  </w:tcBorders>
                  <w:vAlign w:val="center"/>
                </w:tcPr>
                <w:p w14:paraId="75046726">
                  <w:pPr>
                    <w:jc w:val="center"/>
                    <w:rPr>
                      <w:b/>
                      <w:bCs/>
                      <w:color w:val="auto"/>
                      <w:sz w:val="21"/>
                      <w:szCs w:val="21"/>
                    </w:rPr>
                  </w:pPr>
                  <w:r>
                    <w:rPr>
                      <w:rFonts w:hint="eastAsia"/>
                      <w:b/>
                      <w:bCs/>
                      <w:color w:val="auto"/>
                      <w:sz w:val="21"/>
                      <w:szCs w:val="21"/>
                    </w:rPr>
                    <w:t>排放方式</w:t>
                  </w:r>
                </w:p>
              </w:tc>
              <w:tc>
                <w:tcPr>
                  <w:tcW w:w="769" w:type="dxa"/>
                  <w:tcBorders>
                    <w:tl2br w:val="nil"/>
                    <w:tr2bl w:val="nil"/>
                  </w:tcBorders>
                  <w:vAlign w:val="center"/>
                </w:tcPr>
                <w:p w14:paraId="52BD368B">
                  <w:pPr>
                    <w:jc w:val="center"/>
                    <w:rPr>
                      <w:b/>
                      <w:bCs/>
                      <w:color w:val="auto"/>
                      <w:sz w:val="21"/>
                      <w:szCs w:val="21"/>
                    </w:rPr>
                  </w:pPr>
                  <w:r>
                    <w:rPr>
                      <w:rFonts w:hint="eastAsia"/>
                      <w:b/>
                      <w:bCs/>
                      <w:color w:val="auto"/>
                      <w:sz w:val="21"/>
                      <w:szCs w:val="21"/>
                    </w:rPr>
                    <w:t>排放去向</w:t>
                  </w:r>
                </w:p>
              </w:tc>
              <w:tc>
                <w:tcPr>
                  <w:tcW w:w="654" w:type="dxa"/>
                  <w:tcBorders>
                    <w:tl2br w:val="nil"/>
                    <w:tr2bl w:val="nil"/>
                  </w:tcBorders>
                  <w:vAlign w:val="center"/>
                </w:tcPr>
                <w:p w14:paraId="1805D86B">
                  <w:pPr>
                    <w:jc w:val="center"/>
                    <w:rPr>
                      <w:b/>
                      <w:bCs/>
                      <w:color w:val="auto"/>
                      <w:sz w:val="21"/>
                      <w:szCs w:val="21"/>
                    </w:rPr>
                  </w:pPr>
                  <w:r>
                    <w:rPr>
                      <w:rFonts w:hint="eastAsia"/>
                      <w:b/>
                      <w:bCs/>
                      <w:color w:val="auto"/>
                      <w:sz w:val="21"/>
                      <w:szCs w:val="21"/>
                    </w:rPr>
                    <w:t>排放规律</w:t>
                  </w:r>
                </w:p>
              </w:tc>
              <w:tc>
                <w:tcPr>
                  <w:tcW w:w="1866" w:type="dxa"/>
                  <w:tcBorders>
                    <w:tl2br w:val="nil"/>
                    <w:tr2bl w:val="nil"/>
                  </w:tcBorders>
                  <w:vAlign w:val="center"/>
                </w:tcPr>
                <w:p w14:paraId="1DA0BDCE">
                  <w:pPr>
                    <w:jc w:val="center"/>
                    <w:rPr>
                      <w:b/>
                      <w:bCs/>
                      <w:color w:val="auto"/>
                      <w:sz w:val="21"/>
                      <w:szCs w:val="21"/>
                    </w:rPr>
                  </w:pPr>
                  <w:r>
                    <w:rPr>
                      <w:rFonts w:hint="eastAsia"/>
                      <w:b/>
                      <w:bCs/>
                      <w:color w:val="auto"/>
                      <w:sz w:val="21"/>
                      <w:szCs w:val="21"/>
                    </w:rPr>
                    <w:t>排放标准</w:t>
                  </w:r>
                </w:p>
              </w:tc>
            </w:tr>
            <w:tr w14:paraId="5A25F4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1" w:type="dxa"/>
                  <w:tcBorders>
                    <w:tl2br w:val="nil"/>
                    <w:tr2bl w:val="nil"/>
                  </w:tcBorders>
                  <w:vAlign w:val="center"/>
                </w:tcPr>
                <w:p w14:paraId="7F1F3F5E">
                  <w:pPr>
                    <w:jc w:val="center"/>
                    <w:rPr>
                      <w:color w:val="auto"/>
                      <w:sz w:val="21"/>
                      <w:szCs w:val="21"/>
                    </w:rPr>
                  </w:pPr>
                  <w:r>
                    <w:rPr>
                      <w:rFonts w:hint="eastAsia"/>
                      <w:color w:val="auto"/>
                      <w:sz w:val="21"/>
                      <w:szCs w:val="21"/>
                      <w:lang w:val="en-US" w:eastAsia="zh-CN"/>
                    </w:rPr>
                    <w:t xml:space="preserve"> </w:t>
                  </w:r>
                  <w:r>
                    <w:rPr>
                      <w:rFonts w:hint="eastAsia"/>
                      <w:color w:val="auto"/>
                      <w:sz w:val="21"/>
                      <w:szCs w:val="21"/>
                    </w:rPr>
                    <w:t>污水处理厂</w:t>
                  </w:r>
                </w:p>
              </w:tc>
              <w:tc>
                <w:tcPr>
                  <w:tcW w:w="560" w:type="dxa"/>
                  <w:tcBorders>
                    <w:tl2br w:val="nil"/>
                    <w:tr2bl w:val="nil"/>
                  </w:tcBorders>
                  <w:vAlign w:val="center"/>
                </w:tcPr>
                <w:p w14:paraId="1F16C64F">
                  <w:pPr>
                    <w:jc w:val="center"/>
                    <w:rPr>
                      <w:color w:val="auto"/>
                      <w:sz w:val="21"/>
                      <w:szCs w:val="21"/>
                    </w:rPr>
                  </w:pPr>
                  <w:r>
                    <w:rPr>
                      <w:rFonts w:hint="eastAsia"/>
                      <w:color w:val="auto"/>
                      <w:sz w:val="21"/>
                      <w:szCs w:val="21"/>
                    </w:rPr>
                    <w:t>001</w:t>
                  </w:r>
                </w:p>
              </w:tc>
              <w:tc>
                <w:tcPr>
                  <w:tcW w:w="737" w:type="dxa"/>
                  <w:tcBorders>
                    <w:tl2br w:val="nil"/>
                    <w:tr2bl w:val="nil"/>
                  </w:tcBorders>
                  <w:vAlign w:val="center"/>
                </w:tcPr>
                <w:p w14:paraId="11CB89E5">
                  <w:pPr>
                    <w:jc w:val="center"/>
                    <w:rPr>
                      <w:rFonts w:hint="eastAsia"/>
                      <w:color w:val="auto"/>
                      <w:sz w:val="21"/>
                      <w:szCs w:val="21"/>
                      <w:highlight w:val="none"/>
                    </w:rPr>
                  </w:pPr>
                  <w:r>
                    <w:rPr>
                      <w:rFonts w:hint="eastAsia"/>
                      <w:color w:val="auto"/>
                      <w:sz w:val="21"/>
                      <w:szCs w:val="21"/>
                      <w:highlight w:val="none"/>
                    </w:rPr>
                    <w:t>生活</w:t>
                  </w:r>
                </w:p>
                <w:p w14:paraId="6D6DE0B1">
                  <w:pPr>
                    <w:jc w:val="center"/>
                    <w:rPr>
                      <w:color w:val="auto"/>
                      <w:sz w:val="21"/>
                      <w:szCs w:val="21"/>
                      <w:highlight w:val="none"/>
                    </w:rPr>
                  </w:pPr>
                  <w:r>
                    <w:rPr>
                      <w:rFonts w:hint="eastAsia"/>
                      <w:color w:val="auto"/>
                      <w:sz w:val="21"/>
                      <w:szCs w:val="21"/>
                      <w:highlight w:val="none"/>
                    </w:rPr>
                    <w:t>污水</w:t>
                  </w:r>
                </w:p>
              </w:tc>
              <w:tc>
                <w:tcPr>
                  <w:tcW w:w="1845" w:type="dxa"/>
                  <w:tcBorders>
                    <w:tl2br w:val="nil"/>
                    <w:tr2bl w:val="nil"/>
                  </w:tcBorders>
                  <w:vAlign w:val="center"/>
                </w:tcPr>
                <w:p w14:paraId="1F33CD1B">
                  <w:pPr>
                    <w:jc w:val="center"/>
                    <w:rPr>
                      <w:rFonts w:hint="eastAsia"/>
                      <w:color w:val="auto"/>
                      <w:sz w:val="21"/>
                      <w:szCs w:val="21"/>
                      <w:highlight w:val="none"/>
                    </w:rPr>
                  </w:pPr>
                  <w:r>
                    <w:rPr>
                      <w:rFonts w:hint="eastAsia"/>
                      <w:color w:val="auto"/>
                      <w:sz w:val="21"/>
                      <w:szCs w:val="21"/>
                      <w:highlight w:val="none"/>
                      <w:u w:val="none"/>
                      <w:lang w:eastAsia="zh-CN"/>
                    </w:rPr>
                    <w:t>东经</w:t>
                  </w:r>
                  <w:r>
                    <w:rPr>
                      <w:rFonts w:hint="eastAsia"/>
                      <w:color w:val="auto"/>
                      <w:sz w:val="21"/>
                      <w:szCs w:val="21"/>
                      <w:highlight w:val="none"/>
                      <w:u w:val="none"/>
                    </w:rPr>
                    <w:t>109°28′0.18253″</w:t>
                  </w:r>
                  <w:r>
                    <w:rPr>
                      <w:rFonts w:hint="eastAsia"/>
                      <w:color w:val="auto"/>
                      <w:sz w:val="21"/>
                      <w:szCs w:val="21"/>
                      <w:highlight w:val="none"/>
                      <w:u w:val="none"/>
                      <w:lang w:eastAsia="zh-CN"/>
                    </w:rPr>
                    <w:t>，北纬</w:t>
                  </w:r>
                  <w:r>
                    <w:rPr>
                      <w:rFonts w:hint="eastAsia"/>
                      <w:color w:val="auto"/>
                      <w:sz w:val="21"/>
                      <w:szCs w:val="21"/>
                      <w:highlight w:val="none"/>
                      <w:u w:val="none"/>
                    </w:rPr>
                    <w:t>29°27′48.43408″</w:t>
                  </w:r>
                </w:p>
              </w:tc>
              <w:tc>
                <w:tcPr>
                  <w:tcW w:w="795" w:type="dxa"/>
                  <w:tcBorders>
                    <w:tl2br w:val="nil"/>
                    <w:tr2bl w:val="nil"/>
                  </w:tcBorders>
                  <w:vAlign w:val="center"/>
                </w:tcPr>
                <w:p w14:paraId="29D6D8D3">
                  <w:pPr>
                    <w:jc w:val="center"/>
                    <w:rPr>
                      <w:rFonts w:hint="eastAsia"/>
                      <w:color w:val="auto"/>
                      <w:sz w:val="21"/>
                      <w:szCs w:val="21"/>
                      <w:highlight w:val="none"/>
                    </w:rPr>
                  </w:pPr>
                  <w:r>
                    <w:rPr>
                      <w:rFonts w:hint="eastAsia"/>
                      <w:color w:val="auto"/>
                      <w:sz w:val="21"/>
                      <w:szCs w:val="21"/>
                      <w:highlight w:val="none"/>
                    </w:rPr>
                    <w:t>直接排放</w:t>
                  </w:r>
                </w:p>
              </w:tc>
              <w:tc>
                <w:tcPr>
                  <w:tcW w:w="769" w:type="dxa"/>
                  <w:tcBorders>
                    <w:tl2br w:val="nil"/>
                    <w:tr2bl w:val="nil"/>
                  </w:tcBorders>
                  <w:vAlign w:val="center"/>
                </w:tcPr>
                <w:p w14:paraId="5E308B7C">
                  <w:pPr>
                    <w:jc w:val="center"/>
                    <w:rPr>
                      <w:rFonts w:hint="eastAsia" w:eastAsia="宋体"/>
                      <w:color w:val="auto"/>
                      <w:sz w:val="21"/>
                      <w:szCs w:val="21"/>
                      <w:lang w:eastAsia="zh-CN"/>
                    </w:rPr>
                  </w:pPr>
                  <w:r>
                    <w:rPr>
                      <w:rFonts w:hint="eastAsia" w:hAnsi="Times New Roman" w:cs="Times New Roman"/>
                      <w:bCs/>
                      <w:color w:val="auto"/>
                      <w:sz w:val="24"/>
                      <w:u w:val="none"/>
                      <w:lang w:val="en-US" w:eastAsia="zh-CN"/>
                    </w:rPr>
                    <w:t>果利河</w:t>
                  </w:r>
                </w:p>
              </w:tc>
              <w:tc>
                <w:tcPr>
                  <w:tcW w:w="654" w:type="dxa"/>
                  <w:tcBorders>
                    <w:tl2br w:val="nil"/>
                    <w:tr2bl w:val="nil"/>
                  </w:tcBorders>
                  <w:vAlign w:val="center"/>
                </w:tcPr>
                <w:p w14:paraId="0EE99496">
                  <w:pPr>
                    <w:jc w:val="center"/>
                    <w:rPr>
                      <w:color w:val="auto"/>
                      <w:sz w:val="21"/>
                      <w:szCs w:val="21"/>
                    </w:rPr>
                  </w:pPr>
                  <w:r>
                    <w:rPr>
                      <w:rFonts w:hint="eastAsia"/>
                      <w:color w:val="auto"/>
                      <w:sz w:val="21"/>
                      <w:szCs w:val="21"/>
                    </w:rPr>
                    <w:t>连续</w:t>
                  </w:r>
                </w:p>
              </w:tc>
              <w:tc>
                <w:tcPr>
                  <w:tcW w:w="1866" w:type="dxa"/>
                  <w:tcBorders>
                    <w:tl2br w:val="nil"/>
                    <w:tr2bl w:val="nil"/>
                  </w:tcBorders>
                  <w:vAlign w:val="center"/>
                </w:tcPr>
                <w:p w14:paraId="3C1A4999">
                  <w:pPr>
                    <w:jc w:val="center"/>
                    <w:rPr>
                      <w:rFonts w:hint="eastAsia"/>
                      <w:color w:val="auto"/>
                      <w:sz w:val="21"/>
                      <w:szCs w:val="21"/>
                    </w:rPr>
                  </w:pPr>
                  <w:r>
                    <w:rPr>
                      <w:rFonts w:hint="eastAsia"/>
                      <w:color w:val="auto"/>
                      <w:sz w:val="21"/>
                      <w:szCs w:val="21"/>
                    </w:rPr>
                    <w:t>《城镇污水处理厂污染物排放标准》（GB18918-2002）</w:t>
                  </w:r>
                </w:p>
              </w:tc>
            </w:tr>
          </w:tbl>
          <w:p w14:paraId="7D09DD7F">
            <w:pPr>
              <w:autoSpaceDE w:val="0"/>
              <w:autoSpaceDN w:val="0"/>
              <w:adjustRightInd w:val="0"/>
              <w:spacing w:line="360" w:lineRule="auto"/>
              <w:ind w:firstLine="482" w:firstLineChars="200"/>
              <w:rPr>
                <w:rFonts w:hint="eastAsia" w:eastAsia="宋"/>
                <w:b/>
                <w:color w:val="auto"/>
                <w:sz w:val="24"/>
                <w:lang w:val="en-US" w:eastAsia="zh-CN"/>
              </w:rPr>
            </w:pPr>
            <w:r>
              <w:rPr>
                <w:rFonts w:hint="eastAsia" w:eastAsia="宋"/>
                <w:b/>
                <w:color w:val="auto"/>
                <w:sz w:val="24"/>
                <w:lang w:val="en-US" w:eastAsia="zh-CN"/>
              </w:rPr>
              <w:t>2、监测要求</w:t>
            </w:r>
          </w:p>
          <w:p w14:paraId="26257918">
            <w:pPr>
              <w:autoSpaceDE w:val="0"/>
              <w:autoSpaceDN w:val="0"/>
              <w:adjustRightInd w:val="0"/>
              <w:spacing w:line="360" w:lineRule="auto"/>
              <w:ind w:firstLine="480" w:firstLineChars="200"/>
              <w:rPr>
                <w:rFonts w:hint="eastAsia" w:ascii="Times New Roman" w:hAnsi="Times New Roman" w:eastAsia="宋体" w:cs="Times New Roman"/>
                <w:bCs/>
                <w:color w:val="auto"/>
                <w:sz w:val="24"/>
                <w:u w:val="single"/>
              </w:rPr>
            </w:pPr>
            <w:r>
              <w:rPr>
                <w:rFonts w:hint="eastAsia" w:ascii="Times New Roman" w:hAnsi="Times New Roman" w:eastAsia="宋体" w:cs="Times New Roman"/>
                <w:bCs/>
                <w:color w:val="auto"/>
                <w:sz w:val="24"/>
                <w:u w:val="none"/>
                <w:lang w:val="en-US" w:eastAsia="zh-CN"/>
              </w:rPr>
              <w:t>排污单位自行监测技术指南 水处理</w:t>
            </w:r>
            <w:r>
              <w:rPr>
                <w:rFonts w:hint="eastAsia" w:ascii="Times New Roman" w:hAnsi="Times New Roman" w:eastAsia="宋体" w:cs="Times New Roman"/>
                <w:bCs/>
                <w:color w:val="auto"/>
                <w:sz w:val="24"/>
                <w:szCs w:val="24"/>
                <w:u w:val="none"/>
                <w:lang w:val="en-US" w:eastAsia="zh-CN"/>
              </w:rPr>
              <w:t>（</w:t>
            </w:r>
            <w:r>
              <w:rPr>
                <w:rFonts w:hint="eastAsia" w:cs="Times New Roman"/>
                <w:b w:val="0"/>
                <w:bCs w:val="0"/>
                <w:color w:val="auto"/>
                <w:sz w:val="24"/>
                <w:szCs w:val="24"/>
                <w:u w:val="none"/>
                <w:lang w:val="en-US" w:eastAsia="zh-CN"/>
              </w:rPr>
              <w:t>HJ1083-2020）</w:t>
            </w:r>
            <w:r>
              <w:rPr>
                <w:rFonts w:hint="eastAsia" w:ascii="Times New Roman" w:hAnsi="Times New Roman" w:eastAsia="宋体" w:cs="Times New Roman"/>
                <w:bCs/>
                <w:color w:val="auto"/>
                <w:sz w:val="24"/>
                <w:u w:val="none"/>
              </w:rPr>
              <w:t>的要求进行</w:t>
            </w:r>
            <w:r>
              <w:rPr>
                <w:rFonts w:hint="eastAsia" w:cs="Times New Roman"/>
                <w:bCs/>
                <w:color w:val="auto"/>
                <w:sz w:val="24"/>
                <w:u w:val="none"/>
                <w:lang w:eastAsia="zh-CN"/>
              </w:rPr>
              <w:t>，本项目安装了在线监测设备，对</w:t>
            </w:r>
            <w:r>
              <w:rPr>
                <w:rFonts w:hint="eastAsia" w:cs="Times New Roman"/>
                <w:bCs/>
                <w:color w:val="auto"/>
                <w:sz w:val="24"/>
                <w:u w:val="single"/>
                <w:lang w:eastAsia="zh-CN"/>
              </w:rPr>
              <w:t>流量、化学需氧量、氨氮、总磷、总氮等因子实施在线监测</w:t>
            </w:r>
            <w:r>
              <w:rPr>
                <w:rFonts w:hint="eastAsia" w:ascii="Times New Roman" w:hAnsi="Times New Roman" w:eastAsia="宋体" w:cs="Times New Roman"/>
                <w:bCs/>
                <w:color w:val="auto"/>
                <w:sz w:val="24"/>
                <w:u w:val="single"/>
              </w:rPr>
              <w:t>。</w:t>
            </w:r>
          </w:p>
          <w:p w14:paraId="7C074E31">
            <w:pPr>
              <w:keepNext w:val="0"/>
              <w:keepLines w:val="0"/>
              <w:pageBreakBefore w:val="0"/>
              <w:widowControl w:val="0"/>
              <w:kinsoku/>
              <w:wordWrap/>
              <w:overflowPunct/>
              <w:topLinePunct w:val="0"/>
              <w:autoSpaceDE/>
              <w:autoSpaceDN/>
              <w:bidi w:val="0"/>
              <w:adjustRightInd/>
              <w:snapToGrid/>
              <w:spacing w:before="48" w:beforeLines="15" w:after="48" w:afterLines="15" w:line="240" w:lineRule="auto"/>
              <w:jc w:val="center"/>
              <w:textAlignment w:val="auto"/>
              <w:rPr>
                <w:rFonts w:hint="eastAsia" w:ascii="Times New Roman" w:hAnsi="Times New Roman" w:eastAsia="宋体" w:cs="Times New Roman"/>
                <w:b/>
                <w:bCs/>
                <w:color w:val="auto"/>
                <w:u w:val="none"/>
                <w:lang w:val="en-US" w:eastAsia="zh-CN"/>
              </w:rPr>
            </w:pPr>
            <w:r>
              <w:rPr>
                <w:rFonts w:hint="eastAsia" w:ascii="Times New Roman" w:hAnsi="Times New Roman" w:eastAsia="宋体" w:cs="Times New Roman"/>
                <w:b/>
                <w:bCs/>
                <w:color w:val="auto"/>
                <w:u w:val="none"/>
                <w:lang w:val="en-US" w:eastAsia="zh-CN"/>
              </w:rPr>
              <w:t>表4-</w:t>
            </w:r>
            <w:r>
              <w:rPr>
                <w:rFonts w:hint="eastAsia" w:cs="Times New Roman"/>
                <w:b/>
                <w:bCs/>
                <w:color w:val="auto"/>
                <w:u w:val="none"/>
                <w:lang w:val="en-US" w:eastAsia="zh-CN"/>
              </w:rPr>
              <w:t>7</w:t>
            </w:r>
            <w:r>
              <w:rPr>
                <w:rFonts w:hint="eastAsia" w:ascii="Times New Roman" w:hAnsi="Times New Roman" w:eastAsia="宋体" w:cs="Times New Roman"/>
                <w:b/>
                <w:bCs/>
                <w:color w:val="auto"/>
                <w:u w:val="none"/>
                <w:lang w:val="en-US" w:eastAsia="zh-CN"/>
              </w:rPr>
              <w:t>环境监测计划一览表</w:t>
            </w:r>
          </w:p>
          <w:tbl>
            <w:tblPr>
              <w:tblStyle w:val="32"/>
              <w:tblW w:w="824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9"/>
              <w:gridCol w:w="671"/>
              <w:gridCol w:w="2296"/>
              <w:gridCol w:w="1121"/>
              <w:gridCol w:w="1186"/>
              <w:gridCol w:w="2305"/>
            </w:tblGrid>
            <w:tr w14:paraId="7AB107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9" w:type="dxa"/>
                  <w:tcBorders>
                    <w:tl2br w:val="nil"/>
                    <w:tr2bl w:val="nil"/>
                  </w:tcBorders>
                  <w:vAlign w:val="center"/>
                </w:tcPr>
                <w:p w14:paraId="44C74943">
                  <w:pPr>
                    <w:snapToGrid w:val="0"/>
                    <w:jc w:val="center"/>
                    <w:rPr>
                      <w:rFonts w:eastAsia="宋"/>
                      <w:b/>
                      <w:color w:val="auto"/>
                      <w:sz w:val="21"/>
                      <w:szCs w:val="21"/>
                      <w:u w:val="none"/>
                    </w:rPr>
                  </w:pPr>
                  <w:r>
                    <w:rPr>
                      <w:rFonts w:eastAsia="宋"/>
                      <w:b/>
                      <w:color w:val="auto"/>
                      <w:sz w:val="21"/>
                      <w:szCs w:val="21"/>
                      <w:u w:val="none"/>
                    </w:rPr>
                    <w:t>序号</w:t>
                  </w:r>
                </w:p>
              </w:tc>
              <w:tc>
                <w:tcPr>
                  <w:tcW w:w="671" w:type="dxa"/>
                  <w:tcBorders>
                    <w:tl2br w:val="nil"/>
                    <w:tr2bl w:val="nil"/>
                  </w:tcBorders>
                  <w:vAlign w:val="center"/>
                </w:tcPr>
                <w:p w14:paraId="72D6330A">
                  <w:pPr>
                    <w:snapToGrid w:val="0"/>
                    <w:jc w:val="center"/>
                    <w:rPr>
                      <w:rFonts w:eastAsia="宋"/>
                      <w:b/>
                      <w:color w:val="auto"/>
                      <w:sz w:val="21"/>
                      <w:szCs w:val="21"/>
                      <w:u w:val="none"/>
                    </w:rPr>
                  </w:pPr>
                  <w:r>
                    <w:rPr>
                      <w:rFonts w:eastAsia="宋"/>
                      <w:b/>
                      <w:color w:val="auto"/>
                      <w:sz w:val="21"/>
                      <w:szCs w:val="21"/>
                      <w:u w:val="none"/>
                    </w:rPr>
                    <w:t>类别</w:t>
                  </w:r>
                </w:p>
              </w:tc>
              <w:tc>
                <w:tcPr>
                  <w:tcW w:w="2296" w:type="dxa"/>
                  <w:tcBorders>
                    <w:tl2br w:val="nil"/>
                    <w:tr2bl w:val="nil"/>
                  </w:tcBorders>
                  <w:vAlign w:val="center"/>
                </w:tcPr>
                <w:p w14:paraId="0858EE9B">
                  <w:pPr>
                    <w:snapToGrid w:val="0"/>
                    <w:jc w:val="center"/>
                    <w:rPr>
                      <w:rFonts w:eastAsia="宋"/>
                      <w:b/>
                      <w:color w:val="auto"/>
                      <w:sz w:val="21"/>
                      <w:szCs w:val="21"/>
                      <w:u w:val="none"/>
                    </w:rPr>
                  </w:pPr>
                  <w:r>
                    <w:rPr>
                      <w:rFonts w:eastAsia="宋"/>
                      <w:b/>
                      <w:color w:val="auto"/>
                      <w:sz w:val="21"/>
                      <w:szCs w:val="21"/>
                      <w:u w:val="none"/>
                    </w:rPr>
                    <w:t>监测项目</w:t>
                  </w:r>
                </w:p>
              </w:tc>
              <w:tc>
                <w:tcPr>
                  <w:tcW w:w="1121" w:type="dxa"/>
                  <w:tcBorders>
                    <w:tl2br w:val="nil"/>
                    <w:tr2bl w:val="nil"/>
                  </w:tcBorders>
                  <w:vAlign w:val="center"/>
                </w:tcPr>
                <w:p w14:paraId="61B1338F">
                  <w:pPr>
                    <w:snapToGrid w:val="0"/>
                    <w:jc w:val="center"/>
                    <w:rPr>
                      <w:rFonts w:eastAsia="宋"/>
                      <w:b/>
                      <w:color w:val="auto"/>
                      <w:sz w:val="21"/>
                      <w:szCs w:val="21"/>
                      <w:u w:val="none"/>
                    </w:rPr>
                  </w:pPr>
                  <w:r>
                    <w:rPr>
                      <w:rFonts w:eastAsia="宋"/>
                      <w:b/>
                      <w:color w:val="auto"/>
                      <w:sz w:val="21"/>
                      <w:szCs w:val="21"/>
                      <w:u w:val="none"/>
                    </w:rPr>
                    <w:t>监测位置</w:t>
                  </w:r>
                </w:p>
              </w:tc>
              <w:tc>
                <w:tcPr>
                  <w:tcW w:w="1186" w:type="dxa"/>
                  <w:tcBorders>
                    <w:tl2br w:val="nil"/>
                    <w:tr2bl w:val="nil"/>
                  </w:tcBorders>
                  <w:vAlign w:val="center"/>
                </w:tcPr>
                <w:p w14:paraId="4AB4DDED">
                  <w:pPr>
                    <w:snapToGrid w:val="0"/>
                    <w:jc w:val="center"/>
                    <w:rPr>
                      <w:rFonts w:eastAsia="宋"/>
                      <w:b/>
                      <w:color w:val="auto"/>
                      <w:sz w:val="21"/>
                      <w:szCs w:val="21"/>
                      <w:u w:val="none"/>
                    </w:rPr>
                  </w:pPr>
                  <w:r>
                    <w:rPr>
                      <w:rFonts w:eastAsia="宋"/>
                      <w:b/>
                      <w:color w:val="auto"/>
                      <w:sz w:val="21"/>
                      <w:szCs w:val="21"/>
                      <w:u w:val="none"/>
                    </w:rPr>
                    <w:t>监测频率</w:t>
                  </w:r>
                </w:p>
              </w:tc>
              <w:tc>
                <w:tcPr>
                  <w:tcW w:w="2305" w:type="dxa"/>
                  <w:tcBorders>
                    <w:tl2br w:val="nil"/>
                    <w:tr2bl w:val="nil"/>
                  </w:tcBorders>
                  <w:vAlign w:val="center"/>
                </w:tcPr>
                <w:p w14:paraId="17B32A9A">
                  <w:pPr>
                    <w:snapToGrid w:val="0"/>
                    <w:jc w:val="center"/>
                    <w:rPr>
                      <w:rFonts w:hint="eastAsia" w:eastAsia="宋"/>
                      <w:b/>
                      <w:color w:val="auto"/>
                      <w:sz w:val="21"/>
                      <w:szCs w:val="21"/>
                      <w:u w:val="none"/>
                    </w:rPr>
                  </w:pPr>
                  <w:r>
                    <w:rPr>
                      <w:rFonts w:eastAsia="宋"/>
                      <w:b/>
                      <w:color w:val="auto"/>
                      <w:sz w:val="21"/>
                      <w:szCs w:val="21"/>
                      <w:u w:val="none"/>
                    </w:rPr>
                    <w:t>执行排放标准</w:t>
                  </w:r>
                </w:p>
              </w:tc>
            </w:tr>
            <w:tr w14:paraId="42C95C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9" w:type="dxa"/>
                  <w:vMerge w:val="restart"/>
                  <w:tcBorders>
                    <w:tl2br w:val="nil"/>
                    <w:tr2bl w:val="nil"/>
                  </w:tcBorders>
                  <w:vAlign w:val="center"/>
                </w:tcPr>
                <w:p w14:paraId="371BFB8C">
                  <w:pPr>
                    <w:snapToGrid w:val="0"/>
                    <w:jc w:val="center"/>
                    <w:rPr>
                      <w:rFonts w:hint="eastAsia" w:eastAsia="宋"/>
                      <w:color w:val="auto"/>
                      <w:sz w:val="21"/>
                      <w:szCs w:val="21"/>
                      <w:u w:val="none"/>
                    </w:rPr>
                  </w:pPr>
                  <w:r>
                    <w:rPr>
                      <w:rFonts w:hint="eastAsia" w:eastAsia="宋"/>
                      <w:color w:val="auto"/>
                      <w:sz w:val="21"/>
                      <w:szCs w:val="21"/>
                      <w:u w:val="none"/>
                    </w:rPr>
                    <w:t>1</w:t>
                  </w:r>
                </w:p>
              </w:tc>
              <w:tc>
                <w:tcPr>
                  <w:tcW w:w="671" w:type="dxa"/>
                  <w:vMerge w:val="restart"/>
                  <w:tcBorders>
                    <w:tl2br w:val="nil"/>
                    <w:tr2bl w:val="nil"/>
                  </w:tcBorders>
                  <w:vAlign w:val="center"/>
                </w:tcPr>
                <w:p w14:paraId="00722DFD">
                  <w:pPr>
                    <w:snapToGrid w:val="0"/>
                    <w:jc w:val="center"/>
                    <w:rPr>
                      <w:rFonts w:eastAsia="宋"/>
                      <w:color w:val="auto"/>
                      <w:sz w:val="21"/>
                      <w:szCs w:val="21"/>
                      <w:u w:val="none"/>
                    </w:rPr>
                  </w:pPr>
                  <w:r>
                    <w:rPr>
                      <w:rFonts w:eastAsia="宋"/>
                      <w:color w:val="auto"/>
                      <w:sz w:val="21"/>
                      <w:szCs w:val="21"/>
                      <w:u w:val="none"/>
                    </w:rPr>
                    <w:t>废水</w:t>
                  </w:r>
                </w:p>
              </w:tc>
              <w:tc>
                <w:tcPr>
                  <w:tcW w:w="2296" w:type="dxa"/>
                  <w:tcBorders>
                    <w:tl2br w:val="nil"/>
                    <w:tr2bl w:val="nil"/>
                  </w:tcBorders>
                  <w:vAlign w:val="center"/>
                </w:tcPr>
                <w:p w14:paraId="4540EE16">
                  <w:pPr>
                    <w:snapToGrid w:val="0"/>
                    <w:jc w:val="center"/>
                    <w:rPr>
                      <w:rFonts w:eastAsia="宋"/>
                      <w:color w:val="auto"/>
                      <w:sz w:val="21"/>
                      <w:szCs w:val="21"/>
                      <w:u w:val="none"/>
                    </w:rPr>
                  </w:pPr>
                  <w:r>
                    <w:rPr>
                      <w:rFonts w:eastAsia="宋"/>
                      <w:color w:val="auto"/>
                      <w:sz w:val="21"/>
                      <w:szCs w:val="21"/>
                      <w:u w:val="single"/>
                    </w:rPr>
                    <w:t>流量</w:t>
                  </w:r>
                  <w:r>
                    <w:rPr>
                      <w:rFonts w:hint="eastAsia" w:eastAsia="宋"/>
                      <w:color w:val="auto"/>
                      <w:sz w:val="21"/>
                      <w:szCs w:val="21"/>
                      <w:u w:val="single"/>
                    </w:rPr>
                    <w:t>、</w:t>
                  </w:r>
                  <w:r>
                    <w:rPr>
                      <w:rFonts w:eastAsia="宋"/>
                      <w:color w:val="auto"/>
                      <w:sz w:val="21"/>
                      <w:szCs w:val="21"/>
                      <w:u w:val="single"/>
                    </w:rPr>
                    <w:t>化学需氧量</w:t>
                  </w:r>
                  <w:r>
                    <w:rPr>
                      <w:rFonts w:hint="eastAsia" w:eastAsia="宋"/>
                      <w:color w:val="auto"/>
                      <w:sz w:val="21"/>
                      <w:szCs w:val="21"/>
                      <w:u w:val="single"/>
                    </w:rPr>
                    <w:t>、</w:t>
                  </w:r>
                  <w:r>
                    <w:rPr>
                      <w:rFonts w:eastAsia="宋"/>
                      <w:color w:val="auto"/>
                      <w:sz w:val="21"/>
                      <w:szCs w:val="21"/>
                      <w:u w:val="single"/>
                    </w:rPr>
                    <w:t>氨氮</w:t>
                  </w:r>
                </w:p>
              </w:tc>
              <w:tc>
                <w:tcPr>
                  <w:tcW w:w="1121" w:type="dxa"/>
                  <w:vMerge w:val="restart"/>
                  <w:tcBorders>
                    <w:tl2br w:val="nil"/>
                    <w:tr2bl w:val="nil"/>
                  </w:tcBorders>
                  <w:vAlign w:val="center"/>
                </w:tcPr>
                <w:p w14:paraId="7D580CDF">
                  <w:pPr>
                    <w:snapToGrid w:val="0"/>
                    <w:jc w:val="center"/>
                    <w:rPr>
                      <w:rFonts w:eastAsia="宋"/>
                      <w:color w:val="auto"/>
                      <w:sz w:val="21"/>
                      <w:szCs w:val="21"/>
                      <w:u w:val="none"/>
                    </w:rPr>
                  </w:pPr>
                  <w:r>
                    <w:rPr>
                      <w:rFonts w:hint="eastAsia" w:eastAsia="宋"/>
                      <w:color w:val="auto"/>
                      <w:sz w:val="21"/>
                      <w:szCs w:val="21"/>
                      <w:u w:val="none"/>
                    </w:rPr>
                    <w:t>进水总管</w:t>
                  </w:r>
                </w:p>
              </w:tc>
              <w:tc>
                <w:tcPr>
                  <w:tcW w:w="1186" w:type="dxa"/>
                  <w:tcBorders>
                    <w:tl2br w:val="nil"/>
                    <w:tr2bl w:val="nil"/>
                  </w:tcBorders>
                  <w:vAlign w:val="center"/>
                </w:tcPr>
                <w:p w14:paraId="7FF657C9">
                  <w:pPr>
                    <w:snapToGrid w:val="0"/>
                    <w:jc w:val="center"/>
                    <w:rPr>
                      <w:rFonts w:hint="eastAsia" w:eastAsia="宋"/>
                      <w:color w:val="auto"/>
                      <w:sz w:val="21"/>
                      <w:szCs w:val="21"/>
                      <w:u w:val="none"/>
                    </w:rPr>
                  </w:pPr>
                  <w:r>
                    <w:rPr>
                      <w:rFonts w:hint="eastAsia" w:eastAsia="宋"/>
                      <w:color w:val="auto"/>
                      <w:sz w:val="21"/>
                      <w:szCs w:val="21"/>
                      <w:u w:val="none"/>
                    </w:rPr>
                    <w:t>自动</w:t>
                  </w:r>
                  <w:r>
                    <w:rPr>
                      <w:rFonts w:eastAsia="宋"/>
                      <w:color w:val="auto"/>
                      <w:sz w:val="21"/>
                      <w:szCs w:val="21"/>
                      <w:u w:val="none"/>
                    </w:rPr>
                    <w:t>监测</w:t>
                  </w:r>
                </w:p>
              </w:tc>
              <w:tc>
                <w:tcPr>
                  <w:tcW w:w="2305" w:type="dxa"/>
                  <w:vMerge w:val="restart"/>
                  <w:tcBorders>
                    <w:tl2br w:val="nil"/>
                    <w:tr2bl w:val="nil"/>
                  </w:tcBorders>
                  <w:vAlign w:val="center"/>
                </w:tcPr>
                <w:p w14:paraId="77C406C1">
                  <w:pPr>
                    <w:snapToGrid w:val="0"/>
                    <w:jc w:val="center"/>
                    <w:rPr>
                      <w:rFonts w:eastAsia="宋"/>
                      <w:color w:val="auto"/>
                      <w:sz w:val="21"/>
                      <w:szCs w:val="21"/>
                      <w:u w:val="none"/>
                    </w:rPr>
                  </w:pPr>
                  <w:r>
                    <w:rPr>
                      <w:rFonts w:hint="eastAsia" w:eastAsia="宋"/>
                      <w:color w:val="auto"/>
                      <w:sz w:val="21"/>
                      <w:szCs w:val="21"/>
                      <w:u w:val="none"/>
                    </w:rPr>
                    <w:t>按照设计进水要求执行</w:t>
                  </w:r>
                </w:p>
              </w:tc>
            </w:tr>
            <w:tr w14:paraId="010B23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9" w:type="dxa"/>
                  <w:vMerge w:val="continue"/>
                  <w:tcBorders>
                    <w:tl2br w:val="nil"/>
                    <w:tr2bl w:val="nil"/>
                  </w:tcBorders>
                  <w:vAlign w:val="center"/>
                </w:tcPr>
                <w:p w14:paraId="20E0F82F">
                  <w:pPr>
                    <w:snapToGrid w:val="0"/>
                    <w:jc w:val="center"/>
                    <w:rPr>
                      <w:rFonts w:eastAsia="宋"/>
                      <w:color w:val="auto"/>
                      <w:sz w:val="21"/>
                      <w:szCs w:val="21"/>
                      <w:u w:val="none"/>
                    </w:rPr>
                  </w:pPr>
                </w:p>
              </w:tc>
              <w:tc>
                <w:tcPr>
                  <w:tcW w:w="671" w:type="dxa"/>
                  <w:vMerge w:val="continue"/>
                  <w:tcBorders>
                    <w:tl2br w:val="nil"/>
                    <w:tr2bl w:val="nil"/>
                  </w:tcBorders>
                  <w:vAlign w:val="center"/>
                </w:tcPr>
                <w:p w14:paraId="4B8D7CD4">
                  <w:pPr>
                    <w:snapToGrid w:val="0"/>
                    <w:jc w:val="center"/>
                    <w:rPr>
                      <w:rFonts w:eastAsia="宋"/>
                      <w:color w:val="auto"/>
                      <w:sz w:val="21"/>
                      <w:szCs w:val="21"/>
                      <w:u w:val="none"/>
                    </w:rPr>
                  </w:pPr>
                </w:p>
              </w:tc>
              <w:tc>
                <w:tcPr>
                  <w:tcW w:w="2296" w:type="dxa"/>
                  <w:tcBorders>
                    <w:tl2br w:val="nil"/>
                    <w:tr2bl w:val="nil"/>
                  </w:tcBorders>
                  <w:vAlign w:val="center"/>
                </w:tcPr>
                <w:p w14:paraId="2829252B">
                  <w:pPr>
                    <w:snapToGrid w:val="0"/>
                    <w:jc w:val="center"/>
                    <w:rPr>
                      <w:rFonts w:eastAsia="宋"/>
                      <w:color w:val="auto"/>
                      <w:sz w:val="21"/>
                      <w:szCs w:val="21"/>
                      <w:u w:val="none"/>
                    </w:rPr>
                  </w:pPr>
                  <w:r>
                    <w:rPr>
                      <w:rFonts w:eastAsia="宋"/>
                      <w:color w:val="auto"/>
                      <w:sz w:val="21"/>
                      <w:szCs w:val="21"/>
                      <w:u w:val="none"/>
                    </w:rPr>
                    <w:t>总磷</w:t>
                  </w:r>
                  <w:r>
                    <w:rPr>
                      <w:rFonts w:hint="eastAsia" w:eastAsia="宋"/>
                      <w:color w:val="auto"/>
                      <w:sz w:val="21"/>
                      <w:szCs w:val="21"/>
                      <w:u w:val="none"/>
                    </w:rPr>
                    <w:t>、</w:t>
                  </w:r>
                  <w:r>
                    <w:rPr>
                      <w:rFonts w:eastAsia="宋"/>
                      <w:color w:val="auto"/>
                      <w:sz w:val="21"/>
                      <w:szCs w:val="21"/>
                      <w:u w:val="none"/>
                    </w:rPr>
                    <w:t>总氮</w:t>
                  </w:r>
                </w:p>
              </w:tc>
              <w:tc>
                <w:tcPr>
                  <w:tcW w:w="1121" w:type="dxa"/>
                  <w:vMerge w:val="continue"/>
                  <w:tcBorders>
                    <w:tl2br w:val="nil"/>
                    <w:tr2bl w:val="nil"/>
                  </w:tcBorders>
                  <w:vAlign w:val="center"/>
                </w:tcPr>
                <w:p w14:paraId="7E2E5DF8">
                  <w:pPr>
                    <w:snapToGrid w:val="0"/>
                    <w:jc w:val="center"/>
                    <w:rPr>
                      <w:rFonts w:hint="eastAsia" w:eastAsia="宋"/>
                      <w:color w:val="auto"/>
                      <w:sz w:val="21"/>
                      <w:szCs w:val="21"/>
                      <w:u w:val="none"/>
                    </w:rPr>
                  </w:pPr>
                </w:p>
              </w:tc>
              <w:tc>
                <w:tcPr>
                  <w:tcW w:w="1186" w:type="dxa"/>
                  <w:tcBorders>
                    <w:tl2br w:val="nil"/>
                    <w:tr2bl w:val="nil"/>
                  </w:tcBorders>
                  <w:vAlign w:val="center"/>
                </w:tcPr>
                <w:p w14:paraId="1EEF5143">
                  <w:pPr>
                    <w:snapToGrid w:val="0"/>
                    <w:jc w:val="center"/>
                    <w:rPr>
                      <w:rFonts w:hint="eastAsia" w:eastAsia="宋"/>
                      <w:color w:val="auto"/>
                      <w:sz w:val="21"/>
                      <w:szCs w:val="21"/>
                      <w:u w:val="none"/>
                    </w:rPr>
                  </w:pPr>
                  <w:r>
                    <w:rPr>
                      <w:rFonts w:hint="eastAsia" w:eastAsia="宋"/>
                      <w:color w:val="auto"/>
                      <w:sz w:val="21"/>
                      <w:szCs w:val="21"/>
                      <w:u w:val="none"/>
                    </w:rPr>
                    <w:t>日</w:t>
                  </w:r>
                </w:p>
              </w:tc>
              <w:tc>
                <w:tcPr>
                  <w:tcW w:w="2305" w:type="dxa"/>
                  <w:vMerge w:val="continue"/>
                  <w:tcBorders>
                    <w:tl2br w:val="nil"/>
                    <w:tr2bl w:val="nil"/>
                  </w:tcBorders>
                  <w:vAlign w:val="center"/>
                </w:tcPr>
                <w:p w14:paraId="2CDCBED7">
                  <w:pPr>
                    <w:snapToGrid w:val="0"/>
                    <w:jc w:val="center"/>
                    <w:rPr>
                      <w:rFonts w:hint="eastAsia" w:eastAsia="宋"/>
                      <w:color w:val="auto"/>
                      <w:sz w:val="21"/>
                      <w:szCs w:val="21"/>
                      <w:u w:val="none"/>
                    </w:rPr>
                  </w:pPr>
                </w:p>
              </w:tc>
            </w:tr>
            <w:tr w14:paraId="0D8308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9" w:type="dxa"/>
                  <w:vMerge w:val="continue"/>
                  <w:tcBorders>
                    <w:tl2br w:val="nil"/>
                    <w:tr2bl w:val="nil"/>
                  </w:tcBorders>
                  <w:vAlign w:val="center"/>
                </w:tcPr>
                <w:p w14:paraId="60FFBFC9">
                  <w:pPr>
                    <w:snapToGrid w:val="0"/>
                    <w:jc w:val="center"/>
                    <w:rPr>
                      <w:rFonts w:hint="eastAsia" w:eastAsia="宋"/>
                      <w:color w:val="auto"/>
                      <w:sz w:val="21"/>
                      <w:szCs w:val="21"/>
                      <w:u w:val="none"/>
                    </w:rPr>
                  </w:pPr>
                </w:p>
              </w:tc>
              <w:tc>
                <w:tcPr>
                  <w:tcW w:w="671" w:type="dxa"/>
                  <w:vMerge w:val="continue"/>
                  <w:tcBorders>
                    <w:tl2br w:val="nil"/>
                    <w:tr2bl w:val="nil"/>
                  </w:tcBorders>
                  <w:vAlign w:val="center"/>
                </w:tcPr>
                <w:p w14:paraId="5866574E">
                  <w:pPr>
                    <w:snapToGrid w:val="0"/>
                    <w:jc w:val="center"/>
                    <w:rPr>
                      <w:rFonts w:eastAsia="宋"/>
                      <w:color w:val="auto"/>
                      <w:sz w:val="21"/>
                      <w:szCs w:val="21"/>
                      <w:u w:val="none"/>
                    </w:rPr>
                  </w:pPr>
                </w:p>
              </w:tc>
              <w:tc>
                <w:tcPr>
                  <w:tcW w:w="2296" w:type="dxa"/>
                  <w:tcBorders>
                    <w:tl2br w:val="nil"/>
                    <w:tr2bl w:val="nil"/>
                  </w:tcBorders>
                  <w:vAlign w:val="center"/>
                </w:tcPr>
                <w:p w14:paraId="5116C37D">
                  <w:pPr>
                    <w:snapToGrid w:val="0"/>
                    <w:jc w:val="center"/>
                    <w:rPr>
                      <w:rFonts w:eastAsia="宋"/>
                      <w:color w:val="auto"/>
                      <w:sz w:val="21"/>
                      <w:szCs w:val="21"/>
                      <w:u w:val="none"/>
                    </w:rPr>
                  </w:pPr>
                  <w:r>
                    <w:rPr>
                      <w:rFonts w:eastAsia="宋"/>
                      <w:color w:val="auto"/>
                      <w:sz w:val="21"/>
                      <w:szCs w:val="21"/>
                      <w:u w:val="none"/>
                    </w:rPr>
                    <w:t>流量</w:t>
                  </w:r>
                  <w:r>
                    <w:rPr>
                      <w:rFonts w:hint="eastAsia" w:eastAsia="宋"/>
                      <w:color w:val="auto"/>
                      <w:sz w:val="21"/>
                      <w:szCs w:val="21"/>
                      <w:u w:val="none"/>
                    </w:rPr>
                    <w:t>、</w:t>
                  </w:r>
                  <w:r>
                    <w:rPr>
                      <w:rFonts w:eastAsia="宋"/>
                      <w:color w:val="auto"/>
                      <w:sz w:val="21"/>
                      <w:szCs w:val="21"/>
                      <w:u w:val="none"/>
                    </w:rPr>
                    <w:t>pH、水温</w:t>
                  </w:r>
                  <w:r>
                    <w:rPr>
                      <w:rFonts w:hint="eastAsia" w:eastAsia="宋"/>
                      <w:color w:val="auto"/>
                      <w:sz w:val="21"/>
                      <w:szCs w:val="21"/>
                      <w:u w:val="none"/>
                    </w:rPr>
                    <w:t>、</w:t>
                  </w:r>
                  <w:r>
                    <w:rPr>
                      <w:rFonts w:eastAsia="宋"/>
                      <w:color w:val="auto"/>
                      <w:sz w:val="21"/>
                      <w:szCs w:val="21"/>
                      <w:u w:val="none"/>
                    </w:rPr>
                    <w:t>化学需氧量</w:t>
                  </w:r>
                  <w:r>
                    <w:rPr>
                      <w:rFonts w:hint="eastAsia" w:eastAsia="宋"/>
                      <w:color w:val="auto"/>
                      <w:sz w:val="21"/>
                      <w:szCs w:val="21"/>
                      <w:u w:val="none"/>
                    </w:rPr>
                    <w:t>、</w:t>
                  </w:r>
                  <w:r>
                    <w:rPr>
                      <w:rFonts w:eastAsia="宋"/>
                      <w:color w:val="auto"/>
                      <w:sz w:val="21"/>
                      <w:szCs w:val="21"/>
                      <w:u w:val="none"/>
                    </w:rPr>
                    <w:t>氨氮</w:t>
                  </w:r>
                  <w:r>
                    <w:rPr>
                      <w:rFonts w:hint="eastAsia" w:eastAsia="宋"/>
                      <w:color w:val="auto"/>
                      <w:sz w:val="21"/>
                      <w:szCs w:val="21"/>
                      <w:u w:val="none"/>
                    </w:rPr>
                    <w:t>、</w:t>
                  </w:r>
                  <w:r>
                    <w:rPr>
                      <w:rFonts w:eastAsia="宋"/>
                      <w:color w:val="auto"/>
                      <w:sz w:val="21"/>
                      <w:szCs w:val="21"/>
                      <w:u w:val="none"/>
                    </w:rPr>
                    <w:t>总磷</w:t>
                  </w:r>
                  <w:r>
                    <w:rPr>
                      <w:rFonts w:hint="eastAsia" w:eastAsia="宋"/>
                      <w:color w:val="auto"/>
                      <w:sz w:val="21"/>
                      <w:szCs w:val="21"/>
                      <w:u w:val="none"/>
                    </w:rPr>
                    <w:t>、</w:t>
                  </w:r>
                  <w:r>
                    <w:rPr>
                      <w:rFonts w:eastAsia="宋"/>
                      <w:color w:val="auto"/>
                      <w:sz w:val="21"/>
                      <w:szCs w:val="21"/>
                      <w:u w:val="none"/>
                    </w:rPr>
                    <w:t>总氮</w:t>
                  </w:r>
                </w:p>
              </w:tc>
              <w:tc>
                <w:tcPr>
                  <w:tcW w:w="1121" w:type="dxa"/>
                  <w:vMerge w:val="restart"/>
                  <w:tcBorders>
                    <w:tl2br w:val="nil"/>
                    <w:tr2bl w:val="nil"/>
                  </w:tcBorders>
                  <w:vAlign w:val="center"/>
                </w:tcPr>
                <w:p w14:paraId="4EB7676B">
                  <w:pPr>
                    <w:snapToGrid w:val="0"/>
                    <w:jc w:val="center"/>
                    <w:rPr>
                      <w:rFonts w:hint="eastAsia" w:eastAsia="宋"/>
                      <w:color w:val="auto"/>
                      <w:sz w:val="21"/>
                      <w:szCs w:val="21"/>
                      <w:u w:val="none"/>
                    </w:rPr>
                  </w:pPr>
                  <w:r>
                    <w:rPr>
                      <w:rFonts w:hint="eastAsia" w:eastAsia="宋"/>
                      <w:color w:val="auto"/>
                      <w:sz w:val="21"/>
                      <w:szCs w:val="21"/>
                      <w:u w:val="none"/>
                    </w:rPr>
                    <w:t>废水总排放口</w:t>
                  </w:r>
                </w:p>
              </w:tc>
              <w:tc>
                <w:tcPr>
                  <w:tcW w:w="1186" w:type="dxa"/>
                  <w:tcBorders>
                    <w:tl2br w:val="nil"/>
                    <w:tr2bl w:val="nil"/>
                  </w:tcBorders>
                  <w:vAlign w:val="center"/>
                </w:tcPr>
                <w:p w14:paraId="238D9614">
                  <w:pPr>
                    <w:snapToGrid w:val="0"/>
                    <w:jc w:val="center"/>
                    <w:rPr>
                      <w:rFonts w:hint="eastAsia" w:eastAsia="宋"/>
                      <w:color w:val="auto"/>
                      <w:sz w:val="21"/>
                      <w:szCs w:val="21"/>
                      <w:u w:val="none"/>
                    </w:rPr>
                  </w:pPr>
                  <w:r>
                    <w:rPr>
                      <w:rFonts w:hint="eastAsia" w:eastAsia="宋"/>
                      <w:color w:val="auto"/>
                      <w:sz w:val="21"/>
                      <w:szCs w:val="21"/>
                      <w:u w:val="none"/>
                    </w:rPr>
                    <w:t>自动</w:t>
                  </w:r>
                  <w:r>
                    <w:rPr>
                      <w:rFonts w:eastAsia="宋"/>
                      <w:color w:val="auto"/>
                      <w:sz w:val="21"/>
                      <w:szCs w:val="21"/>
                      <w:u w:val="none"/>
                    </w:rPr>
                    <w:t>监测</w:t>
                  </w:r>
                </w:p>
              </w:tc>
              <w:tc>
                <w:tcPr>
                  <w:tcW w:w="2305" w:type="dxa"/>
                  <w:vMerge w:val="restart"/>
                  <w:tcBorders>
                    <w:tl2br w:val="nil"/>
                    <w:tr2bl w:val="nil"/>
                  </w:tcBorders>
                  <w:vAlign w:val="center"/>
                </w:tcPr>
                <w:p w14:paraId="41B20F3E">
                  <w:pPr>
                    <w:snapToGrid w:val="0"/>
                    <w:jc w:val="center"/>
                    <w:rPr>
                      <w:rFonts w:eastAsia="宋"/>
                      <w:color w:val="auto"/>
                      <w:sz w:val="21"/>
                      <w:szCs w:val="21"/>
                      <w:u w:val="none"/>
                    </w:rPr>
                  </w:pPr>
                  <w:r>
                    <w:rPr>
                      <w:rFonts w:hint="eastAsia" w:eastAsia="宋"/>
                      <w:color w:val="auto"/>
                      <w:sz w:val="21"/>
                      <w:szCs w:val="21"/>
                      <w:u w:val="none"/>
                    </w:rPr>
                    <w:t>COD、NH</w:t>
                  </w:r>
                  <w:r>
                    <w:rPr>
                      <w:rFonts w:hint="eastAsia" w:eastAsia="宋"/>
                      <w:color w:val="auto"/>
                      <w:sz w:val="21"/>
                      <w:szCs w:val="21"/>
                      <w:u w:val="none"/>
                      <w:vertAlign w:val="subscript"/>
                    </w:rPr>
                    <w:t>3</w:t>
                  </w:r>
                  <w:r>
                    <w:rPr>
                      <w:rFonts w:hint="eastAsia" w:eastAsia="宋"/>
                      <w:color w:val="auto"/>
                      <w:sz w:val="21"/>
                      <w:szCs w:val="21"/>
                      <w:u w:val="none"/>
                    </w:rPr>
                    <w:t>-N、TP、TN按《湖南省城镇污水处理厂主要水污染物排放标准》（DB43/T 1546-2018）表1二级标准执行，其余指标按《城镇污水处理厂污染物排放标准》（GB18918-2002）一级标准的A标准执行）</w:t>
                  </w:r>
                </w:p>
              </w:tc>
            </w:tr>
            <w:tr w14:paraId="6BE946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9" w:type="dxa"/>
                  <w:vMerge w:val="continue"/>
                  <w:tcBorders>
                    <w:tl2br w:val="nil"/>
                    <w:tr2bl w:val="nil"/>
                  </w:tcBorders>
                  <w:vAlign w:val="center"/>
                </w:tcPr>
                <w:p w14:paraId="1F83782C">
                  <w:pPr>
                    <w:snapToGrid w:val="0"/>
                    <w:jc w:val="center"/>
                    <w:rPr>
                      <w:rFonts w:eastAsia="宋"/>
                      <w:color w:val="auto"/>
                      <w:sz w:val="21"/>
                      <w:szCs w:val="21"/>
                      <w:u w:val="none"/>
                    </w:rPr>
                  </w:pPr>
                </w:p>
              </w:tc>
              <w:tc>
                <w:tcPr>
                  <w:tcW w:w="671" w:type="dxa"/>
                  <w:vMerge w:val="continue"/>
                  <w:tcBorders>
                    <w:tl2br w:val="nil"/>
                    <w:tr2bl w:val="nil"/>
                  </w:tcBorders>
                  <w:vAlign w:val="center"/>
                </w:tcPr>
                <w:p w14:paraId="2FC1E381">
                  <w:pPr>
                    <w:snapToGrid w:val="0"/>
                    <w:jc w:val="center"/>
                    <w:rPr>
                      <w:rFonts w:eastAsia="宋"/>
                      <w:color w:val="auto"/>
                      <w:sz w:val="21"/>
                      <w:szCs w:val="21"/>
                      <w:u w:val="none"/>
                    </w:rPr>
                  </w:pPr>
                </w:p>
              </w:tc>
              <w:tc>
                <w:tcPr>
                  <w:tcW w:w="2296" w:type="dxa"/>
                  <w:tcBorders>
                    <w:tl2br w:val="nil"/>
                    <w:tr2bl w:val="nil"/>
                  </w:tcBorders>
                  <w:vAlign w:val="center"/>
                </w:tcPr>
                <w:p w14:paraId="729060B8">
                  <w:pPr>
                    <w:snapToGrid w:val="0"/>
                    <w:jc w:val="center"/>
                    <w:rPr>
                      <w:rFonts w:hint="eastAsia" w:eastAsia="宋"/>
                      <w:color w:val="auto"/>
                      <w:sz w:val="21"/>
                      <w:szCs w:val="21"/>
                      <w:u w:val="none"/>
                    </w:rPr>
                  </w:pPr>
                  <w:r>
                    <w:rPr>
                      <w:rFonts w:eastAsia="宋"/>
                      <w:color w:val="auto"/>
                      <w:sz w:val="21"/>
                      <w:szCs w:val="21"/>
                      <w:u w:val="none"/>
                    </w:rPr>
                    <w:t>悬浮物</w:t>
                  </w:r>
                  <w:r>
                    <w:rPr>
                      <w:rFonts w:hint="eastAsia" w:eastAsia="宋"/>
                      <w:color w:val="auto"/>
                      <w:sz w:val="21"/>
                      <w:szCs w:val="21"/>
                      <w:u w:val="none"/>
                    </w:rPr>
                    <w:t>、</w:t>
                  </w:r>
                  <w:r>
                    <w:rPr>
                      <w:rFonts w:eastAsia="宋"/>
                      <w:color w:val="auto"/>
                      <w:sz w:val="21"/>
                      <w:szCs w:val="21"/>
                      <w:u w:val="none"/>
                    </w:rPr>
                    <w:t>色度</w:t>
                  </w:r>
                  <w:r>
                    <w:rPr>
                      <w:rFonts w:hint="eastAsia" w:eastAsia="宋"/>
                      <w:color w:val="auto"/>
                      <w:sz w:val="21"/>
                      <w:szCs w:val="21"/>
                      <w:u w:val="none"/>
                    </w:rPr>
                    <w:t>、</w:t>
                  </w:r>
                  <w:r>
                    <w:rPr>
                      <w:rFonts w:eastAsia="宋"/>
                      <w:color w:val="auto"/>
                      <w:sz w:val="21"/>
                      <w:szCs w:val="21"/>
                      <w:u w:val="none"/>
                    </w:rPr>
                    <w:t>五日生化需氧量</w:t>
                  </w:r>
                  <w:r>
                    <w:rPr>
                      <w:rFonts w:hint="eastAsia" w:eastAsia="宋"/>
                      <w:color w:val="auto"/>
                      <w:sz w:val="21"/>
                      <w:szCs w:val="21"/>
                      <w:u w:val="none"/>
                    </w:rPr>
                    <w:t>、</w:t>
                  </w:r>
                  <w:r>
                    <w:rPr>
                      <w:rFonts w:eastAsia="宋"/>
                      <w:color w:val="auto"/>
                      <w:sz w:val="21"/>
                      <w:szCs w:val="21"/>
                      <w:u w:val="none"/>
                    </w:rPr>
                    <w:t>动植物油</w:t>
                  </w:r>
                  <w:r>
                    <w:rPr>
                      <w:rFonts w:hint="eastAsia" w:eastAsia="宋"/>
                      <w:color w:val="auto"/>
                      <w:sz w:val="21"/>
                      <w:szCs w:val="21"/>
                      <w:u w:val="none"/>
                    </w:rPr>
                    <w:t>、</w:t>
                  </w:r>
                  <w:r>
                    <w:rPr>
                      <w:rFonts w:eastAsia="宋"/>
                      <w:color w:val="auto"/>
                      <w:sz w:val="21"/>
                      <w:szCs w:val="21"/>
                      <w:u w:val="none"/>
                    </w:rPr>
                    <w:t>石油类</w:t>
                  </w:r>
                  <w:r>
                    <w:rPr>
                      <w:rFonts w:hint="eastAsia" w:eastAsia="宋"/>
                      <w:color w:val="auto"/>
                      <w:sz w:val="21"/>
                      <w:szCs w:val="21"/>
                      <w:u w:val="none"/>
                    </w:rPr>
                    <w:t>、阴离子表面活性剂、粪大肠菌群</w:t>
                  </w:r>
                </w:p>
              </w:tc>
              <w:tc>
                <w:tcPr>
                  <w:tcW w:w="1121" w:type="dxa"/>
                  <w:vMerge w:val="continue"/>
                  <w:tcBorders>
                    <w:tl2br w:val="nil"/>
                    <w:tr2bl w:val="nil"/>
                  </w:tcBorders>
                  <w:vAlign w:val="center"/>
                </w:tcPr>
                <w:p w14:paraId="6B010F24">
                  <w:pPr>
                    <w:snapToGrid w:val="0"/>
                    <w:jc w:val="center"/>
                    <w:rPr>
                      <w:rFonts w:eastAsia="宋"/>
                      <w:color w:val="auto"/>
                      <w:sz w:val="21"/>
                      <w:szCs w:val="21"/>
                      <w:u w:val="none"/>
                    </w:rPr>
                  </w:pPr>
                </w:p>
              </w:tc>
              <w:tc>
                <w:tcPr>
                  <w:tcW w:w="1186" w:type="dxa"/>
                  <w:tcBorders>
                    <w:tl2br w:val="nil"/>
                    <w:tr2bl w:val="nil"/>
                  </w:tcBorders>
                  <w:vAlign w:val="center"/>
                </w:tcPr>
                <w:p w14:paraId="306BC31A">
                  <w:pPr>
                    <w:snapToGrid w:val="0"/>
                    <w:jc w:val="center"/>
                    <w:rPr>
                      <w:rFonts w:eastAsia="宋"/>
                      <w:color w:val="auto"/>
                      <w:sz w:val="21"/>
                      <w:szCs w:val="21"/>
                      <w:u w:val="none"/>
                    </w:rPr>
                  </w:pPr>
                  <w:r>
                    <w:rPr>
                      <w:rFonts w:eastAsia="宋"/>
                      <w:color w:val="auto"/>
                      <w:sz w:val="21"/>
                      <w:szCs w:val="21"/>
                      <w:u w:val="none"/>
                    </w:rPr>
                    <w:t>每季度</w:t>
                  </w:r>
                  <w:r>
                    <w:rPr>
                      <w:rFonts w:hint="eastAsia" w:eastAsia="宋"/>
                      <w:color w:val="auto"/>
                      <w:sz w:val="21"/>
                      <w:szCs w:val="21"/>
                      <w:u w:val="none"/>
                    </w:rPr>
                    <w:t>1</w:t>
                  </w:r>
                  <w:r>
                    <w:rPr>
                      <w:rFonts w:eastAsia="宋"/>
                      <w:color w:val="auto"/>
                      <w:sz w:val="21"/>
                      <w:szCs w:val="21"/>
                      <w:u w:val="none"/>
                    </w:rPr>
                    <w:t>次</w:t>
                  </w:r>
                </w:p>
              </w:tc>
              <w:tc>
                <w:tcPr>
                  <w:tcW w:w="2305" w:type="dxa"/>
                  <w:vMerge w:val="continue"/>
                  <w:tcBorders>
                    <w:tl2br w:val="nil"/>
                    <w:tr2bl w:val="nil"/>
                  </w:tcBorders>
                  <w:vAlign w:val="center"/>
                </w:tcPr>
                <w:p w14:paraId="31AE6EFB">
                  <w:pPr>
                    <w:snapToGrid w:val="0"/>
                    <w:jc w:val="center"/>
                    <w:rPr>
                      <w:rFonts w:hint="eastAsia" w:eastAsia="宋"/>
                      <w:color w:val="auto"/>
                      <w:sz w:val="21"/>
                      <w:szCs w:val="21"/>
                      <w:u w:val="none"/>
                    </w:rPr>
                  </w:pPr>
                </w:p>
              </w:tc>
            </w:tr>
            <w:tr w14:paraId="2FB4E6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9" w:type="dxa"/>
                  <w:vMerge w:val="continue"/>
                  <w:tcBorders>
                    <w:tl2br w:val="nil"/>
                    <w:tr2bl w:val="nil"/>
                  </w:tcBorders>
                  <w:vAlign w:val="center"/>
                </w:tcPr>
                <w:p w14:paraId="7B68C1B4">
                  <w:pPr>
                    <w:snapToGrid w:val="0"/>
                    <w:jc w:val="center"/>
                    <w:rPr>
                      <w:rFonts w:eastAsia="宋"/>
                      <w:color w:val="auto"/>
                      <w:sz w:val="21"/>
                      <w:szCs w:val="21"/>
                      <w:u w:val="none"/>
                    </w:rPr>
                  </w:pPr>
                </w:p>
              </w:tc>
              <w:tc>
                <w:tcPr>
                  <w:tcW w:w="671" w:type="dxa"/>
                  <w:vMerge w:val="continue"/>
                  <w:tcBorders>
                    <w:tl2br w:val="nil"/>
                    <w:tr2bl w:val="nil"/>
                  </w:tcBorders>
                  <w:vAlign w:val="center"/>
                </w:tcPr>
                <w:p w14:paraId="2544608A">
                  <w:pPr>
                    <w:snapToGrid w:val="0"/>
                    <w:jc w:val="center"/>
                    <w:rPr>
                      <w:rFonts w:eastAsia="宋"/>
                      <w:color w:val="auto"/>
                      <w:sz w:val="21"/>
                      <w:szCs w:val="21"/>
                      <w:u w:val="none"/>
                    </w:rPr>
                  </w:pPr>
                </w:p>
              </w:tc>
              <w:tc>
                <w:tcPr>
                  <w:tcW w:w="2296" w:type="dxa"/>
                  <w:tcBorders>
                    <w:tl2br w:val="nil"/>
                    <w:tr2bl w:val="nil"/>
                  </w:tcBorders>
                  <w:vAlign w:val="center"/>
                </w:tcPr>
                <w:p w14:paraId="66623EA3">
                  <w:pPr>
                    <w:snapToGrid w:val="0"/>
                    <w:jc w:val="center"/>
                    <w:rPr>
                      <w:rFonts w:eastAsia="宋"/>
                      <w:color w:val="auto"/>
                      <w:sz w:val="21"/>
                      <w:szCs w:val="21"/>
                      <w:u w:val="none"/>
                    </w:rPr>
                  </w:pPr>
                  <w:r>
                    <w:rPr>
                      <w:rFonts w:eastAsia="宋"/>
                      <w:color w:val="auto"/>
                      <w:sz w:val="21"/>
                      <w:szCs w:val="21"/>
                      <w:u w:val="none"/>
                    </w:rPr>
                    <w:t>总镉</w:t>
                  </w:r>
                  <w:r>
                    <w:rPr>
                      <w:rFonts w:hint="eastAsia" w:eastAsia="宋"/>
                      <w:color w:val="auto"/>
                      <w:sz w:val="21"/>
                      <w:szCs w:val="21"/>
                      <w:u w:val="none"/>
                    </w:rPr>
                    <w:t>、</w:t>
                  </w:r>
                  <w:r>
                    <w:rPr>
                      <w:rFonts w:eastAsia="宋"/>
                      <w:color w:val="auto"/>
                      <w:sz w:val="21"/>
                      <w:szCs w:val="21"/>
                      <w:u w:val="none"/>
                    </w:rPr>
                    <w:t>总铬</w:t>
                  </w:r>
                  <w:r>
                    <w:rPr>
                      <w:rFonts w:hint="eastAsia" w:eastAsia="宋"/>
                      <w:color w:val="auto"/>
                      <w:sz w:val="21"/>
                      <w:szCs w:val="21"/>
                      <w:u w:val="none"/>
                    </w:rPr>
                    <w:t>、</w:t>
                  </w:r>
                  <w:r>
                    <w:rPr>
                      <w:rFonts w:eastAsia="宋"/>
                      <w:color w:val="auto"/>
                      <w:sz w:val="21"/>
                      <w:szCs w:val="21"/>
                      <w:u w:val="none"/>
                    </w:rPr>
                    <w:t>总汞</w:t>
                  </w:r>
                  <w:r>
                    <w:rPr>
                      <w:rFonts w:hint="eastAsia" w:eastAsia="宋"/>
                      <w:color w:val="auto"/>
                      <w:sz w:val="21"/>
                      <w:szCs w:val="21"/>
                      <w:u w:val="none"/>
                    </w:rPr>
                    <w:t>、</w:t>
                  </w:r>
                  <w:r>
                    <w:rPr>
                      <w:rFonts w:eastAsia="宋"/>
                      <w:color w:val="auto"/>
                      <w:sz w:val="21"/>
                      <w:szCs w:val="21"/>
                      <w:u w:val="none"/>
                    </w:rPr>
                    <w:t>总铅</w:t>
                  </w:r>
                  <w:r>
                    <w:rPr>
                      <w:rFonts w:hint="eastAsia" w:eastAsia="宋"/>
                      <w:color w:val="auto"/>
                      <w:sz w:val="21"/>
                      <w:szCs w:val="21"/>
                      <w:u w:val="none"/>
                    </w:rPr>
                    <w:t>、</w:t>
                  </w:r>
                  <w:r>
                    <w:rPr>
                      <w:rFonts w:eastAsia="宋"/>
                      <w:color w:val="auto"/>
                      <w:sz w:val="21"/>
                      <w:szCs w:val="21"/>
                      <w:u w:val="none"/>
                    </w:rPr>
                    <w:t>总砷</w:t>
                  </w:r>
                  <w:r>
                    <w:rPr>
                      <w:rFonts w:hint="eastAsia" w:eastAsia="宋"/>
                      <w:color w:val="auto"/>
                      <w:sz w:val="21"/>
                      <w:szCs w:val="21"/>
                      <w:u w:val="none"/>
                    </w:rPr>
                    <w:t>、</w:t>
                  </w:r>
                  <w:r>
                    <w:rPr>
                      <w:rFonts w:eastAsia="宋"/>
                      <w:color w:val="auto"/>
                      <w:sz w:val="21"/>
                      <w:szCs w:val="21"/>
                      <w:u w:val="none"/>
                    </w:rPr>
                    <w:t>六价铬</w:t>
                  </w:r>
                </w:p>
              </w:tc>
              <w:tc>
                <w:tcPr>
                  <w:tcW w:w="1121" w:type="dxa"/>
                  <w:vMerge w:val="continue"/>
                  <w:tcBorders>
                    <w:tl2br w:val="nil"/>
                    <w:tr2bl w:val="nil"/>
                  </w:tcBorders>
                  <w:vAlign w:val="center"/>
                </w:tcPr>
                <w:p w14:paraId="3564458D">
                  <w:pPr>
                    <w:snapToGrid w:val="0"/>
                    <w:jc w:val="center"/>
                    <w:rPr>
                      <w:rFonts w:eastAsia="宋"/>
                      <w:color w:val="auto"/>
                      <w:sz w:val="21"/>
                      <w:szCs w:val="21"/>
                      <w:u w:val="none"/>
                    </w:rPr>
                  </w:pPr>
                </w:p>
              </w:tc>
              <w:tc>
                <w:tcPr>
                  <w:tcW w:w="1186" w:type="dxa"/>
                  <w:tcBorders>
                    <w:tl2br w:val="nil"/>
                    <w:tr2bl w:val="nil"/>
                  </w:tcBorders>
                  <w:vAlign w:val="center"/>
                </w:tcPr>
                <w:p w14:paraId="54AF60DD">
                  <w:pPr>
                    <w:snapToGrid w:val="0"/>
                    <w:jc w:val="center"/>
                    <w:rPr>
                      <w:rFonts w:eastAsia="宋"/>
                      <w:color w:val="auto"/>
                      <w:sz w:val="21"/>
                      <w:szCs w:val="21"/>
                      <w:u w:val="none"/>
                    </w:rPr>
                  </w:pPr>
                  <w:r>
                    <w:rPr>
                      <w:rFonts w:eastAsia="宋"/>
                      <w:color w:val="auto"/>
                      <w:sz w:val="21"/>
                      <w:szCs w:val="21"/>
                      <w:u w:val="none"/>
                    </w:rPr>
                    <w:t>半年</w:t>
                  </w:r>
                  <w:r>
                    <w:rPr>
                      <w:rFonts w:hint="eastAsia" w:eastAsia="宋"/>
                      <w:color w:val="auto"/>
                      <w:sz w:val="21"/>
                      <w:szCs w:val="21"/>
                      <w:u w:val="none"/>
                    </w:rPr>
                    <w:t>1</w:t>
                  </w:r>
                  <w:r>
                    <w:rPr>
                      <w:rFonts w:eastAsia="宋"/>
                      <w:color w:val="auto"/>
                      <w:sz w:val="21"/>
                      <w:szCs w:val="21"/>
                      <w:u w:val="none"/>
                    </w:rPr>
                    <w:t>次</w:t>
                  </w:r>
                </w:p>
              </w:tc>
              <w:tc>
                <w:tcPr>
                  <w:tcW w:w="2305" w:type="dxa"/>
                  <w:vMerge w:val="continue"/>
                  <w:tcBorders>
                    <w:tl2br w:val="nil"/>
                    <w:tr2bl w:val="nil"/>
                  </w:tcBorders>
                  <w:vAlign w:val="center"/>
                </w:tcPr>
                <w:p w14:paraId="1A447461">
                  <w:pPr>
                    <w:snapToGrid w:val="0"/>
                    <w:jc w:val="center"/>
                    <w:rPr>
                      <w:rFonts w:hint="eastAsia" w:eastAsia="宋"/>
                      <w:color w:val="auto"/>
                      <w:sz w:val="21"/>
                      <w:szCs w:val="21"/>
                      <w:u w:val="none"/>
                    </w:rPr>
                  </w:pPr>
                </w:p>
              </w:tc>
            </w:tr>
            <w:tr w14:paraId="272831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9" w:type="dxa"/>
                  <w:vMerge w:val="continue"/>
                  <w:tcBorders>
                    <w:tl2br w:val="nil"/>
                    <w:tr2bl w:val="nil"/>
                  </w:tcBorders>
                  <w:vAlign w:val="center"/>
                </w:tcPr>
                <w:p w14:paraId="7AF3615E">
                  <w:pPr>
                    <w:snapToGrid w:val="0"/>
                    <w:jc w:val="center"/>
                    <w:rPr>
                      <w:rFonts w:eastAsia="宋"/>
                      <w:color w:val="auto"/>
                      <w:sz w:val="21"/>
                      <w:szCs w:val="21"/>
                      <w:u w:val="none"/>
                    </w:rPr>
                  </w:pPr>
                </w:p>
              </w:tc>
              <w:tc>
                <w:tcPr>
                  <w:tcW w:w="671" w:type="dxa"/>
                  <w:vMerge w:val="continue"/>
                  <w:tcBorders>
                    <w:tl2br w:val="nil"/>
                    <w:tr2bl w:val="nil"/>
                  </w:tcBorders>
                  <w:vAlign w:val="center"/>
                </w:tcPr>
                <w:p w14:paraId="7527B07E">
                  <w:pPr>
                    <w:snapToGrid w:val="0"/>
                    <w:jc w:val="center"/>
                    <w:rPr>
                      <w:rFonts w:eastAsia="宋"/>
                      <w:color w:val="auto"/>
                      <w:sz w:val="21"/>
                      <w:szCs w:val="21"/>
                      <w:u w:val="none"/>
                    </w:rPr>
                  </w:pPr>
                </w:p>
              </w:tc>
              <w:tc>
                <w:tcPr>
                  <w:tcW w:w="2296" w:type="dxa"/>
                  <w:tcBorders>
                    <w:tl2br w:val="nil"/>
                    <w:tr2bl w:val="nil"/>
                  </w:tcBorders>
                  <w:vAlign w:val="center"/>
                </w:tcPr>
                <w:p w14:paraId="513442DA">
                  <w:pPr>
                    <w:snapToGrid w:val="0"/>
                    <w:jc w:val="center"/>
                    <w:rPr>
                      <w:rFonts w:eastAsia="宋"/>
                      <w:color w:val="auto"/>
                      <w:sz w:val="21"/>
                      <w:szCs w:val="21"/>
                      <w:u w:val="none"/>
                    </w:rPr>
                  </w:pPr>
                  <w:r>
                    <w:rPr>
                      <w:rFonts w:eastAsia="宋"/>
                      <w:color w:val="auto"/>
                      <w:sz w:val="21"/>
                      <w:szCs w:val="21"/>
                      <w:u w:val="none"/>
                    </w:rPr>
                    <w:t>烷基汞</w:t>
                  </w:r>
                </w:p>
              </w:tc>
              <w:tc>
                <w:tcPr>
                  <w:tcW w:w="1121" w:type="dxa"/>
                  <w:vMerge w:val="continue"/>
                  <w:tcBorders>
                    <w:tl2br w:val="nil"/>
                    <w:tr2bl w:val="nil"/>
                  </w:tcBorders>
                  <w:vAlign w:val="center"/>
                </w:tcPr>
                <w:p w14:paraId="76D0CCF6">
                  <w:pPr>
                    <w:snapToGrid w:val="0"/>
                    <w:jc w:val="center"/>
                    <w:rPr>
                      <w:rFonts w:eastAsia="宋"/>
                      <w:color w:val="auto"/>
                      <w:sz w:val="21"/>
                      <w:szCs w:val="21"/>
                      <w:u w:val="none"/>
                    </w:rPr>
                  </w:pPr>
                </w:p>
              </w:tc>
              <w:tc>
                <w:tcPr>
                  <w:tcW w:w="1186" w:type="dxa"/>
                  <w:tcBorders>
                    <w:tl2br w:val="nil"/>
                    <w:tr2bl w:val="nil"/>
                  </w:tcBorders>
                  <w:vAlign w:val="center"/>
                </w:tcPr>
                <w:p w14:paraId="71331D4C">
                  <w:pPr>
                    <w:snapToGrid w:val="0"/>
                    <w:jc w:val="center"/>
                    <w:rPr>
                      <w:rFonts w:eastAsia="宋"/>
                      <w:color w:val="auto"/>
                      <w:sz w:val="21"/>
                      <w:szCs w:val="21"/>
                      <w:u w:val="none"/>
                    </w:rPr>
                  </w:pPr>
                  <w:r>
                    <w:rPr>
                      <w:rFonts w:eastAsia="宋"/>
                      <w:color w:val="auto"/>
                      <w:sz w:val="21"/>
                      <w:szCs w:val="21"/>
                      <w:u w:val="none"/>
                    </w:rPr>
                    <w:t>半年</w:t>
                  </w:r>
                  <w:r>
                    <w:rPr>
                      <w:rFonts w:hint="eastAsia" w:eastAsia="宋"/>
                      <w:color w:val="auto"/>
                      <w:sz w:val="21"/>
                      <w:szCs w:val="21"/>
                      <w:u w:val="none"/>
                    </w:rPr>
                    <w:t>1次</w:t>
                  </w:r>
                </w:p>
              </w:tc>
              <w:tc>
                <w:tcPr>
                  <w:tcW w:w="2305" w:type="dxa"/>
                  <w:vMerge w:val="continue"/>
                  <w:tcBorders>
                    <w:tl2br w:val="nil"/>
                    <w:tr2bl w:val="nil"/>
                  </w:tcBorders>
                  <w:vAlign w:val="center"/>
                </w:tcPr>
                <w:p w14:paraId="0C7C7779">
                  <w:pPr>
                    <w:snapToGrid w:val="0"/>
                    <w:jc w:val="center"/>
                    <w:rPr>
                      <w:rFonts w:hint="eastAsia" w:eastAsia="宋"/>
                      <w:color w:val="auto"/>
                      <w:sz w:val="21"/>
                      <w:szCs w:val="21"/>
                      <w:u w:val="none"/>
                    </w:rPr>
                  </w:pPr>
                </w:p>
              </w:tc>
            </w:tr>
            <w:tr w14:paraId="62AA5B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9" w:type="dxa"/>
                  <w:tcBorders>
                    <w:tl2br w:val="nil"/>
                    <w:tr2bl w:val="nil"/>
                  </w:tcBorders>
                  <w:vAlign w:val="center"/>
                </w:tcPr>
                <w:p w14:paraId="3BA0E459">
                  <w:pPr>
                    <w:snapToGrid w:val="0"/>
                    <w:jc w:val="center"/>
                    <w:rPr>
                      <w:rFonts w:hint="eastAsia" w:eastAsia="宋"/>
                      <w:color w:val="auto"/>
                      <w:sz w:val="21"/>
                      <w:szCs w:val="21"/>
                      <w:u w:val="single"/>
                      <w:lang w:val="en-US" w:eastAsia="zh-CN"/>
                    </w:rPr>
                  </w:pPr>
                  <w:r>
                    <w:rPr>
                      <w:rFonts w:hint="eastAsia" w:eastAsia="宋"/>
                      <w:color w:val="auto"/>
                      <w:sz w:val="21"/>
                      <w:szCs w:val="21"/>
                      <w:u w:val="single"/>
                      <w:lang w:val="en-US" w:eastAsia="zh-CN"/>
                    </w:rPr>
                    <w:t>2</w:t>
                  </w:r>
                </w:p>
              </w:tc>
              <w:tc>
                <w:tcPr>
                  <w:tcW w:w="671" w:type="dxa"/>
                  <w:tcBorders>
                    <w:tl2br w:val="nil"/>
                    <w:tr2bl w:val="nil"/>
                  </w:tcBorders>
                  <w:vAlign w:val="center"/>
                </w:tcPr>
                <w:p w14:paraId="52DD2810">
                  <w:pPr>
                    <w:snapToGrid w:val="0"/>
                    <w:jc w:val="center"/>
                    <w:rPr>
                      <w:rFonts w:hint="eastAsia" w:eastAsia="宋"/>
                      <w:color w:val="auto"/>
                      <w:sz w:val="21"/>
                      <w:szCs w:val="21"/>
                      <w:u w:val="single"/>
                      <w:lang w:eastAsia="zh-CN"/>
                    </w:rPr>
                  </w:pPr>
                  <w:r>
                    <w:rPr>
                      <w:rFonts w:hint="eastAsia" w:eastAsia="宋"/>
                      <w:color w:val="auto"/>
                      <w:sz w:val="21"/>
                      <w:szCs w:val="21"/>
                      <w:u w:val="single"/>
                      <w:lang w:eastAsia="zh-CN"/>
                    </w:rPr>
                    <w:t>雨水</w:t>
                  </w:r>
                </w:p>
              </w:tc>
              <w:tc>
                <w:tcPr>
                  <w:tcW w:w="2296" w:type="dxa"/>
                  <w:tcBorders>
                    <w:tl2br w:val="nil"/>
                    <w:tr2bl w:val="nil"/>
                  </w:tcBorders>
                  <w:vAlign w:val="center"/>
                </w:tcPr>
                <w:p w14:paraId="19949FE9">
                  <w:pPr>
                    <w:snapToGrid w:val="0"/>
                    <w:jc w:val="center"/>
                    <w:rPr>
                      <w:rFonts w:hint="eastAsia" w:eastAsia="宋"/>
                      <w:color w:val="auto"/>
                      <w:sz w:val="21"/>
                      <w:szCs w:val="21"/>
                      <w:u w:val="single"/>
                      <w:lang w:eastAsia="zh-CN"/>
                    </w:rPr>
                  </w:pPr>
                  <w:r>
                    <w:rPr>
                      <w:rFonts w:eastAsia="宋"/>
                      <w:color w:val="auto"/>
                      <w:sz w:val="21"/>
                      <w:szCs w:val="21"/>
                      <w:u w:val="single"/>
                    </w:rPr>
                    <w:t>pH</w:t>
                  </w:r>
                  <w:r>
                    <w:rPr>
                      <w:rFonts w:hint="eastAsia" w:eastAsia="宋"/>
                      <w:color w:val="auto"/>
                      <w:sz w:val="21"/>
                      <w:szCs w:val="21"/>
                      <w:u w:val="single"/>
                      <w:lang w:eastAsia="zh-CN"/>
                    </w:rPr>
                    <w:t>、化学需氧量、氨氮、悬浮物</w:t>
                  </w:r>
                </w:p>
              </w:tc>
              <w:tc>
                <w:tcPr>
                  <w:tcW w:w="1121" w:type="dxa"/>
                  <w:tcBorders>
                    <w:tl2br w:val="nil"/>
                    <w:tr2bl w:val="nil"/>
                  </w:tcBorders>
                  <w:vAlign w:val="center"/>
                </w:tcPr>
                <w:p w14:paraId="2119CA7C">
                  <w:pPr>
                    <w:snapToGrid w:val="0"/>
                    <w:jc w:val="center"/>
                    <w:rPr>
                      <w:rFonts w:eastAsia="宋"/>
                      <w:color w:val="auto"/>
                      <w:sz w:val="21"/>
                      <w:szCs w:val="21"/>
                      <w:u w:val="single"/>
                    </w:rPr>
                  </w:pPr>
                  <w:r>
                    <w:rPr>
                      <w:rFonts w:hint="eastAsia" w:eastAsia="宋"/>
                      <w:color w:val="auto"/>
                      <w:sz w:val="21"/>
                      <w:szCs w:val="21"/>
                      <w:u w:val="single"/>
                      <w:lang w:eastAsia="zh-CN"/>
                    </w:rPr>
                    <w:t>雨水排放口</w:t>
                  </w:r>
                </w:p>
              </w:tc>
              <w:tc>
                <w:tcPr>
                  <w:tcW w:w="1186" w:type="dxa"/>
                  <w:tcBorders>
                    <w:tl2br w:val="nil"/>
                    <w:tr2bl w:val="nil"/>
                  </w:tcBorders>
                  <w:vAlign w:val="center"/>
                </w:tcPr>
                <w:p w14:paraId="03161E64">
                  <w:pPr>
                    <w:snapToGrid w:val="0"/>
                    <w:jc w:val="center"/>
                    <w:rPr>
                      <w:rFonts w:hint="eastAsia" w:eastAsia="宋"/>
                      <w:color w:val="auto"/>
                      <w:sz w:val="21"/>
                      <w:szCs w:val="21"/>
                      <w:u w:val="single"/>
                      <w:lang w:eastAsia="zh-CN"/>
                    </w:rPr>
                  </w:pPr>
                  <w:r>
                    <w:rPr>
                      <w:rFonts w:hint="eastAsia" w:eastAsia="宋"/>
                      <w:color w:val="auto"/>
                      <w:sz w:val="21"/>
                      <w:szCs w:val="21"/>
                      <w:u w:val="single"/>
                      <w:lang w:eastAsia="zh-CN"/>
                    </w:rPr>
                    <w:t>日</w:t>
                  </w:r>
                </w:p>
              </w:tc>
              <w:tc>
                <w:tcPr>
                  <w:tcW w:w="2305" w:type="dxa"/>
                  <w:tcBorders>
                    <w:tl2br w:val="nil"/>
                    <w:tr2bl w:val="nil"/>
                  </w:tcBorders>
                  <w:vAlign w:val="center"/>
                </w:tcPr>
                <w:p w14:paraId="39132A01">
                  <w:pPr>
                    <w:snapToGrid w:val="0"/>
                    <w:jc w:val="center"/>
                    <w:rPr>
                      <w:rFonts w:hint="eastAsia" w:eastAsia="宋"/>
                      <w:color w:val="auto"/>
                      <w:sz w:val="21"/>
                      <w:szCs w:val="21"/>
                      <w:u w:val="single"/>
                      <w:lang w:eastAsia="zh-CN"/>
                    </w:rPr>
                  </w:pPr>
                  <w:r>
                    <w:rPr>
                      <w:rFonts w:hint="eastAsia" w:eastAsia="宋"/>
                      <w:color w:val="auto"/>
                      <w:sz w:val="21"/>
                      <w:szCs w:val="21"/>
                      <w:u w:val="single"/>
                      <w:lang w:eastAsia="zh-CN"/>
                    </w:rPr>
                    <w:t>有流动水排放时按照日监测，若监测一年无异常，可放宽至每季度监测一次</w:t>
                  </w:r>
                </w:p>
              </w:tc>
            </w:tr>
          </w:tbl>
          <w:p w14:paraId="3843F958">
            <w:pPr>
              <w:autoSpaceDE w:val="0"/>
              <w:autoSpaceDN w:val="0"/>
              <w:adjustRightInd w:val="0"/>
              <w:spacing w:line="360" w:lineRule="auto"/>
              <w:ind w:firstLine="482" w:firstLineChars="200"/>
              <w:rPr>
                <w:rFonts w:hint="eastAsia" w:eastAsia="宋"/>
                <w:b/>
                <w:color w:val="auto"/>
                <w:sz w:val="24"/>
                <w:u w:val="none"/>
                <w:lang w:val="en-US" w:eastAsia="zh-CN"/>
              </w:rPr>
            </w:pPr>
            <w:r>
              <w:rPr>
                <w:rFonts w:hint="eastAsia" w:eastAsia="宋"/>
                <w:b/>
                <w:color w:val="auto"/>
                <w:sz w:val="24"/>
                <w:u w:val="none"/>
                <w:lang w:val="en-US" w:eastAsia="zh-CN"/>
              </w:rPr>
              <w:t>3、废水措施可行性分析</w:t>
            </w:r>
          </w:p>
          <w:p w14:paraId="362D7049">
            <w:pPr>
              <w:autoSpaceDE w:val="0"/>
              <w:autoSpaceDN w:val="0"/>
              <w:adjustRightInd w:val="0"/>
              <w:spacing w:line="360" w:lineRule="auto"/>
              <w:ind w:firstLine="480" w:firstLineChars="200"/>
              <w:rPr>
                <w:rFonts w:hint="eastAsia" w:ascii="Times New Roman" w:hAnsi="Times New Roman" w:eastAsia="宋体" w:cs="Times New Roman"/>
                <w:bCs/>
                <w:color w:val="auto"/>
                <w:sz w:val="24"/>
                <w:u w:val="none"/>
              </w:rPr>
            </w:pPr>
            <w:r>
              <w:rPr>
                <w:rFonts w:hint="eastAsia" w:ascii="Times New Roman" w:hAnsi="Times New Roman" w:eastAsia="宋体" w:cs="Times New Roman"/>
                <w:bCs/>
                <w:color w:val="auto"/>
                <w:sz w:val="24"/>
                <w:u w:val="none"/>
              </w:rPr>
              <w:t>项目污水经处理后达到《城镇污水处理厂污染物排放标准》( GB 18918-2002 排入</w:t>
            </w:r>
            <w:r>
              <w:rPr>
                <w:rFonts w:hint="eastAsia" w:hAnsi="Times New Roman" w:cs="Times New Roman"/>
                <w:bCs/>
                <w:color w:val="auto"/>
                <w:sz w:val="24"/>
                <w:u w:val="none"/>
                <w:lang w:val="en-US" w:eastAsia="zh-CN"/>
              </w:rPr>
              <w:t>果利河</w:t>
            </w:r>
            <w:r>
              <w:rPr>
                <w:rFonts w:hint="eastAsia" w:ascii="Times New Roman" w:hAnsi="Times New Roman" w:eastAsia="宋体" w:cs="Times New Roman"/>
                <w:bCs/>
                <w:color w:val="auto"/>
                <w:sz w:val="24"/>
                <w:u w:val="none"/>
              </w:rPr>
              <w:t>，根据《排污许可申请与核发技术规范 水处理（试行）》（HJ978-2018）中表4：污水处理可行技术参照表，具体见下表。</w:t>
            </w:r>
          </w:p>
          <w:p w14:paraId="5E04C103">
            <w:pPr>
              <w:keepNext w:val="0"/>
              <w:keepLines w:val="0"/>
              <w:pageBreakBefore w:val="0"/>
              <w:widowControl w:val="0"/>
              <w:kinsoku/>
              <w:wordWrap/>
              <w:overflowPunct/>
              <w:topLinePunct w:val="0"/>
              <w:autoSpaceDE/>
              <w:autoSpaceDN/>
              <w:bidi w:val="0"/>
              <w:adjustRightInd/>
              <w:snapToGrid/>
              <w:spacing w:before="48" w:beforeLines="15" w:after="48" w:afterLines="15" w:line="240" w:lineRule="auto"/>
              <w:jc w:val="center"/>
              <w:textAlignment w:val="auto"/>
              <w:rPr>
                <w:rFonts w:hint="eastAsia" w:ascii="Times New Roman" w:hAnsi="Times New Roman" w:eastAsia="宋体" w:cs="Times New Roman"/>
                <w:b/>
                <w:bCs/>
                <w:color w:val="auto"/>
                <w:u w:val="none"/>
                <w:lang w:val="en-US" w:eastAsia="zh-CN"/>
              </w:rPr>
            </w:pPr>
            <w:r>
              <w:rPr>
                <w:rFonts w:hint="eastAsia" w:ascii="Times New Roman" w:hAnsi="Times New Roman" w:eastAsia="宋体" w:cs="Times New Roman"/>
                <w:b/>
                <w:bCs/>
                <w:color w:val="auto"/>
                <w:u w:val="none"/>
                <w:lang w:val="en-US" w:eastAsia="zh-CN"/>
              </w:rPr>
              <w:t>表4-</w:t>
            </w:r>
            <w:r>
              <w:rPr>
                <w:rFonts w:hint="eastAsia" w:cs="Times New Roman"/>
                <w:b/>
                <w:bCs/>
                <w:color w:val="auto"/>
                <w:u w:val="none"/>
                <w:lang w:val="en-US" w:eastAsia="zh-CN"/>
              </w:rPr>
              <w:t>8</w:t>
            </w:r>
            <w:r>
              <w:rPr>
                <w:rFonts w:hint="eastAsia" w:ascii="Times New Roman" w:hAnsi="Times New Roman" w:eastAsia="宋体" w:cs="Times New Roman"/>
                <w:b/>
                <w:bCs/>
                <w:color w:val="auto"/>
                <w:u w:val="none"/>
                <w:lang w:val="en-US" w:eastAsia="zh-CN"/>
              </w:rPr>
              <w:t xml:space="preserve"> </w:t>
            </w:r>
            <w:r>
              <w:rPr>
                <w:rFonts w:hint="eastAsia" w:cs="Times New Roman"/>
                <w:b/>
                <w:bCs/>
                <w:color w:val="auto"/>
                <w:u w:val="none"/>
                <w:lang w:val="en-US" w:eastAsia="zh-CN"/>
              </w:rPr>
              <w:t>污水处理可行技术</w:t>
            </w:r>
            <w:r>
              <w:rPr>
                <w:rFonts w:hint="eastAsia" w:ascii="Times New Roman" w:hAnsi="Times New Roman" w:eastAsia="宋体" w:cs="Times New Roman"/>
                <w:b/>
                <w:bCs/>
                <w:color w:val="auto"/>
                <w:u w:val="none"/>
                <w:lang w:val="en-US" w:eastAsia="zh-CN"/>
              </w:rPr>
              <w:t>一览表</w:t>
            </w:r>
          </w:p>
          <w:tbl>
            <w:tblPr>
              <w:tblStyle w:val="33"/>
              <w:tblW w:w="86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8"/>
              <w:gridCol w:w="1384"/>
              <w:gridCol w:w="6356"/>
            </w:tblGrid>
            <w:tr w14:paraId="0D8AB5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898" w:type="dxa"/>
                  <w:tcBorders>
                    <w:tl2br w:val="nil"/>
                    <w:tr2bl w:val="nil"/>
                  </w:tcBorders>
                  <w:vAlign w:val="center"/>
                </w:tcPr>
                <w:p w14:paraId="076D9268">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废水类别</w:t>
                  </w:r>
                </w:p>
              </w:tc>
              <w:tc>
                <w:tcPr>
                  <w:tcW w:w="1384" w:type="dxa"/>
                  <w:tcBorders>
                    <w:tl2br w:val="nil"/>
                    <w:tr2bl w:val="nil"/>
                  </w:tcBorders>
                  <w:vAlign w:val="center"/>
                </w:tcPr>
                <w:p w14:paraId="1A343712">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执行标准</w:t>
                  </w:r>
                </w:p>
              </w:tc>
              <w:tc>
                <w:tcPr>
                  <w:tcW w:w="6356" w:type="dxa"/>
                  <w:tcBorders>
                    <w:tl2br w:val="nil"/>
                    <w:tr2bl w:val="nil"/>
                  </w:tcBorders>
                  <w:vAlign w:val="center"/>
                </w:tcPr>
                <w:p w14:paraId="17837E26">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可行技术</w:t>
                  </w:r>
                </w:p>
              </w:tc>
            </w:tr>
            <w:tr w14:paraId="2573B3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32" w:hRule="atLeast"/>
                <w:jc w:val="center"/>
              </w:trPr>
              <w:tc>
                <w:tcPr>
                  <w:tcW w:w="898" w:type="dxa"/>
                  <w:vMerge w:val="restart"/>
                  <w:tcBorders>
                    <w:tl2br w:val="nil"/>
                    <w:tr2bl w:val="nil"/>
                  </w:tcBorders>
                  <w:vAlign w:val="center"/>
                </w:tcPr>
                <w:p w14:paraId="5D4FAD98">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生活污水</w:t>
                  </w:r>
                </w:p>
              </w:tc>
              <w:tc>
                <w:tcPr>
                  <w:tcW w:w="1384" w:type="dxa"/>
                  <w:tcBorders>
                    <w:tl2br w:val="nil"/>
                    <w:tr2bl w:val="nil"/>
                  </w:tcBorders>
                  <w:vAlign w:val="center"/>
                </w:tcPr>
                <w:p w14:paraId="7C73D942">
                  <w:pPr>
                    <w:keepNext w:val="0"/>
                    <w:keepLines w:val="0"/>
                    <w:pageBreakBefore w:val="0"/>
                    <w:widowControl w:val="0"/>
                    <w:kinsoku/>
                    <w:wordWrap/>
                    <w:overflowPunct w:val="0"/>
                    <w:topLinePunct w:val="0"/>
                    <w:autoSpaceDE w:val="0"/>
                    <w:autoSpaceDN w:val="0"/>
                    <w:bidi w:val="0"/>
                    <w:spacing w:line="240" w:lineRule="auto"/>
                    <w:ind w:left="0" w:leftChars="0" w:firstLine="0" w:firstLineChars="0"/>
                    <w:jc w:val="center"/>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GB18918 中二级标准、一级B标准</w:t>
                  </w:r>
                </w:p>
              </w:tc>
              <w:tc>
                <w:tcPr>
                  <w:tcW w:w="6356" w:type="dxa"/>
                  <w:tcBorders>
                    <w:tl2br w:val="nil"/>
                    <w:tr2bl w:val="nil"/>
                  </w:tcBorders>
                  <w:vAlign w:val="center"/>
                </w:tcPr>
                <w:p w14:paraId="508F14CA">
                  <w:pPr>
                    <w:keepNext w:val="0"/>
                    <w:keepLines w:val="0"/>
                    <w:pageBreakBefore w:val="0"/>
                    <w:widowControl w:val="0"/>
                    <w:kinsoku/>
                    <w:wordWrap/>
                    <w:overflowPunct w:val="0"/>
                    <w:topLinePunct w:val="0"/>
                    <w:autoSpaceDE w:val="0"/>
                    <w:autoSpaceDN w:val="0"/>
                    <w:bidi w:val="0"/>
                    <w:spacing w:line="240" w:lineRule="auto"/>
                    <w:ind w:left="0" w:leftChars="0" w:firstLine="0" w:firstLineChars="0"/>
                    <w:jc w:val="center"/>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预处理：格栅、沉淀（沉砂、初沉）、调节；</w:t>
                  </w:r>
                </w:p>
                <w:p w14:paraId="56A958FC">
                  <w:pPr>
                    <w:keepNext w:val="0"/>
                    <w:keepLines w:val="0"/>
                    <w:pageBreakBefore w:val="0"/>
                    <w:widowControl w:val="0"/>
                    <w:kinsoku/>
                    <w:wordWrap/>
                    <w:overflowPunct w:val="0"/>
                    <w:topLinePunct w:val="0"/>
                    <w:autoSpaceDE w:val="0"/>
                    <w:autoSpaceDN w:val="0"/>
                    <w:bidi w:val="0"/>
                    <w:spacing w:line="240" w:lineRule="auto"/>
                    <w:ind w:left="0" w:leftChars="0" w:firstLine="0" w:firstLineChars="0"/>
                    <w:jc w:val="center"/>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生化处理：缺氧好氧、厌氧缺氧好氧、序批式活性污泥、氧化沟、曝气生物滤池、移动生物床反应器、膜生物反应器；</w:t>
                  </w:r>
                </w:p>
                <w:p w14:paraId="66FC57CB">
                  <w:pPr>
                    <w:keepNext w:val="0"/>
                    <w:keepLines w:val="0"/>
                    <w:pageBreakBefore w:val="0"/>
                    <w:widowControl w:val="0"/>
                    <w:kinsoku/>
                    <w:wordWrap/>
                    <w:overflowPunct w:val="0"/>
                    <w:topLinePunct w:val="0"/>
                    <w:autoSpaceDE w:val="0"/>
                    <w:autoSpaceDN w:val="0"/>
                    <w:bidi w:val="0"/>
                    <w:spacing w:line="240" w:lineRule="auto"/>
                    <w:ind w:left="0" w:leftChars="0" w:firstLine="0" w:firstLineChars="0"/>
                    <w:jc w:val="center"/>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深度处理：消毒（次氯酸钠、臭氧、紫外、二氧化氯）。</w:t>
                  </w:r>
                </w:p>
              </w:tc>
            </w:tr>
            <w:tr w14:paraId="791FBC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1" w:hRule="atLeast"/>
                <w:jc w:val="center"/>
              </w:trPr>
              <w:tc>
                <w:tcPr>
                  <w:tcW w:w="898" w:type="dxa"/>
                  <w:vMerge w:val="continue"/>
                  <w:tcBorders>
                    <w:tl2br w:val="nil"/>
                    <w:tr2bl w:val="nil"/>
                  </w:tcBorders>
                  <w:vAlign w:val="center"/>
                </w:tcPr>
                <w:p w14:paraId="45F152C4">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p>
              </w:tc>
              <w:tc>
                <w:tcPr>
                  <w:tcW w:w="1384" w:type="dxa"/>
                  <w:tcBorders>
                    <w:tl2br w:val="nil"/>
                    <w:tr2bl w:val="nil"/>
                  </w:tcBorders>
                  <w:vAlign w:val="center"/>
                </w:tcPr>
                <w:p w14:paraId="2728EC2D">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GB18918 中一级A标准或更严格标准</w:t>
                  </w:r>
                </w:p>
              </w:tc>
              <w:tc>
                <w:tcPr>
                  <w:tcW w:w="6356" w:type="dxa"/>
                  <w:tcBorders>
                    <w:tl2br w:val="nil"/>
                    <w:tr2bl w:val="nil"/>
                  </w:tcBorders>
                  <w:vAlign w:val="center"/>
                </w:tcPr>
                <w:p w14:paraId="6A974C7C">
                  <w:pPr>
                    <w:keepNext w:val="0"/>
                    <w:keepLines w:val="0"/>
                    <w:pageBreakBefore w:val="0"/>
                    <w:widowControl w:val="0"/>
                    <w:kinsoku/>
                    <w:wordWrap/>
                    <w:overflowPunct w:val="0"/>
                    <w:topLinePunct w:val="0"/>
                    <w:autoSpaceDE w:val="0"/>
                    <w:autoSpaceDN w:val="0"/>
                    <w:bidi w:val="0"/>
                    <w:spacing w:line="240" w:lineRule="auto"/>
                    <w:ind w:left="0" w:leftChars="0" w:firstLine="0" w:firstLineChars="0"/>
                    <w:jc w:val="center"/>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预处理：格栅、沉淀（沉砂、初沉）、调节；</w:t>
                  </w:r>
                </w:p>
                <w:p w14:paraId="7D0B817B">
                  <w:pPr>
                    <w:keepNext w:val="0"/>
                    <w:keepLines w:val="0"/>
                    <w:pageBreakBefore w:val="0"/>
                    <w:widowControl w:val="0"/>
                    <w:kinsoku/>
                    <w:wordWrap/>
                    <w:overflowPunct w:val="0"/>
                    <w:topLinePunct w:val="0"/>
                    <w:autoSpaceDE w:val="0"/>
                    <w:autoSpaceDN w:val="0"/>
                    <w:bidi w:val="0"/>
                    <w:spacing w:line="240" w:lineRule="auto"/>
                    <w:ind w:left="0" w:leftChars="0" w:firstLine="0" w:firstLineChars="0"/>
                    <w:jc w:val="center"/>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生化处理：缺氧好氧、厌氧缺氧好氧、序批式活性污泥、接触氧化、氧化沟、移动生物床反应器、膜生物反应器；</w:t>
                  </w:r>
                </w:p>
                <w:p w14:paraId="6C42C13D">
                  <w:pPr>
                    <w:keepNext w:val="0"/>
                    <w:keepLines w:val="0"/>
                    <w:pageBreakBefore w:val="0"/>
                    <w:widowControl w:val="0"/>
                    <w:kinsoku/>
                    <w:wordWrap/>
                    <w:overflowPunct w:val="0"/>
                    <w:topLinePunct w:val="0"/>
                    <w:autoSpaceDE w:val="0"/>
                    <w:autoSpaceDN w:val="0"/>
                    <w:bidi w:val="0"/>
                    <w:spacing w:line="240" w:lineRule="auto"/>
                    <w:ind w:left="0" w:leftChars="0" w:firstLine="0" w:firstLineChars="0"/>
                    <w:jc w:val="center"/>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深度处理：混凝沉淀、过滤、曝气生物滤池、微滤、超滤、消毒（次氯酸钠、臭氧、紫外、二氧化氯）。</w:t>
                  </w:r>
                </w:p>
              </w:tc>
            </w:tr>
            <w:tr w14:paraId="1B664E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8" w:hRule="atLeast"/>
                <w:jc w:val="center"/>
              </w:trPr>
              <w:tc>
                <w:tcPr>
                  <w:tcW w:w="898" w:type="dxa"/>
                  <w:tcBorders>
                    <w:tl2br w:val="nil"/>
                    <w:tr2bl w:val="nil"/>
                  </w:tcBorders>
                  <w:vAlign w:val="center"/>
                </w:tcPr>
                <w:p w14:paraId="5E75FA41">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工业废水</w:t>
                  </w:r>
                </w:p>
              </w:tc>
              <w:tc>
                <w:tcPr>
                  <w:tcW w:w="1384" w:type="dxa"/>
                  <w:tcBorders>
                    <w:tl2br w:val="nil"/>
                    <w:tr2bl w:val="nil"/>
                  </w:tcBorders>
                  <w:vAlign w:val="center"/>
                </w:tcPr>
                <w:p w14:paraId="703AAF0A">
                  <w:pPr>
                    <w:pStyle w:val="145"/>
                    <w:keepNext w:val="0"/>
                    <w:keepLines w:val="0"/>
                    <w:pageBreakBefore w:val="0"/>
                    <w:widowControl w:val="0"/>
                    <w:kinsoku/>
                    <w:wordWrap/>
                    <w:overflowPunct w:val="0"/>
                    <w:topLinePunct w:val="0"/>
                    <w:autoSpaceDE w:val="0"/>
                    <w:autoSpaceDN w:val="0"/>
                    <w:bidi w:val="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w:t>
                  </w:r>
                </w:p>
              </w:tc>
              <w:tc>
                <w:tcPr>
                  <w:tcW w:w="6356" w:type="dxa"/>
                  <w:tcBorders>
                    <w:tl2br w:val="nil"/>
                    <w:tr2bl w:val="nil"/>
                  </w:tcBorders>
                  <w:vAlign w:val="center"/>
                </w:tcPr>
                <w:p w14:paraId="5AF57937">
                  <w:pPr>
                    <w:keepNext w:val="0"/>
                    <w:keepLines w:val="0"/>
                    <w:pageBreakBefore w:val="0"/>
                    <w:widowControl w:val="0"/>
                    <w:kinsoku/>
                    <w:wordWrap/>
                    <w:overflowPunct w:val="0"/>
                    <w:topLinePunct w:val="0"/>
                    <w:autoSpaceDE w:val="0"/>
                    <w:autoSpaceDN w:val="0"/>
                    <w:bidi w:val="0"/>
                    <w:spacing w:line="240" w:lineRule="auto"/>
                    <w:ind w:left="0" w:leftChars="0" w:firstLine="0" w:firstLineChars="0"/>
                    <w:jc w:val="center"/>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预处理 a：沉淀、调节、气浮、水解酸化；</w:t>
                  </w:r>
                </w:p>
                <w:p w14:paraId="72E567F4">
                  <w:pPr>
                    <w:keepNext w:val="0"/>
                    <w:keepLines w:val="0"/>
                    <w:pageBreakBefore w:val="0"/>
                    <w:widowControl w:val="0"/>
                    <w:kinsoku/>
                    <w:wordWrap/>
                    <w:overflowPunct w:val="0"/>
                    <w:topLinePunct w:val="0"/>
                    <w:autoSpaceDE w:val="0"/>
                    <w:autoSpaceDN w:val="0"/>
                    <w:bidi w:val="0"/>
                    <w:spacing w:line="240" w:lineRule="auto"/>
                    <w:ind w:left="0" w:leftChars="0" w:firstLine="0" w:firstLineChars="0"/>
                    <w:jc w:val="center"/>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生化处理：好氧、缺氧好氧、厌氧缺氧好氧、序批式活性污泥、氧化沟、移动生物床反应器、膜生物反应器；</w:t>
                  </w:r>
                </w:p>
                <w:p w14:paraId="148CD1B9">
                  <w:pPr>
                    <w:keepNext w:val="0"/>
                    <w:keepLines w:val="0"/>
                    <w:pageBreakBefore w:val="0"/>
                    <w:widowControl w:val="0"/>
                    <w:kinsoku/>
                    <w:wordWrap/>
                    <w:overflowPunct w:val="0"/>
                    <w:topLinePunct w:val="0"/>
                    <w:autoSpaceDE w:val="0"/>
                    <w:autoSpaceDN w:val="0"/>
                    <w:bidi w:val="0"/>
                    <w:spacing w:line="240" w:lineRule="auto"/>
                    <w:ind w:left="0" w:leftChars="0" w:firstLine="0" w:firstLineChars="0"/>
                    <w:jc w:val="center"/>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深度处理：反硝化滤池、化学沉淀、过滤、高级氧化、曝气生物滤池、生物接触氧化、膜分离、离子交换</w:t>
                  </w:r>
                </w:p>
              </w:tc>
            </w:tr>
            <w:tr w14:paraId="50BF74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8638" w:type="dxa"/>
                  <w:gridSpan w:val="3"/>
                  <w:tcBorders>
                    <w:tl2br w:val="nil"/>
                    <w:tr2bl w:val="nil"/>
                  </w:tcBorders>
                  <w:vAlign w:val="center"/>
                </w:tcPr>
                <w:p w14:paraId="7AF92B2D">
                  <w:pPr>
                    <w:keepNext w:val="0"/>
                    <w:keepLines w:val="0"/>
                    <w:pageBreakBefore w:val="0"/>
                    <w:widowControl w:val="0"/>
                    <w:suppressLineNumbers w:val="0"/>
                    <w:kinsoku/>
                    <w:wordWrap/>
                    <w:overflowPunct w:val="0"/>
                    <w:topLinePunct w:val="0"/>
                    <w:autoSpaceDE w:val="0"/>
                    <w:autoSpaceDN w:val="0"/>
                    <w:bidi w:val="0"/>
                    <w:spacing w:line="240" w:lineRule="auto"/>
                    <w:ind w:left="0" w:leftChars="0" w:firstLine="0" w:firstLineChars="0"/>
                    <w:jc w:val="both"/>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a.工业废水间接排放时可以只有预处理段。</w:t>
                  </w:r>
                </w:p>
              </w:tc>
            </w:tr>
          </w:tbl>
          <w:p w14:paraId="7DA5B75C">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cs="Times New Roman"/>
                <w:b w:val="0"/>
                <w:bCs w:val="0"/>
                <w:color w:val="auto"/>
                <w:u w:val="single"/>
                <w:lang w:val="en-US" w:eastAsia="zh-CN"/>
              </w:rPr>
            </w:pPr>
            <w:r>
              <w:rPr>
                <w:rFonts w:hint="eastAsia" w:ascii="Times New Roman" w:hAnsi="Times New Roman" w:eastAsia="宋体" w:cs="Times New Roman"/>
                <w:b w:val="0"/>
                <w:bCs w:val="0"/>
                <w:color w:val="auto"/>
                <w:u w:val="single"/>
                <w:lang w:val="en-US" w:eastAsia="zh-CN"/>
              </w:rPr>
              <w:t>据上表可知，项目污水处理使用工艺各阶段均符合《排污许可申请与核发技术规范 水处理（试行）》（HJ978-2018）相关要求</w:t>
            </w:r>
            <w:r>
              <w:rPr>
                <w:rFonts w:hint="eastAsia" w:cs="Times New Roman"/>
                <w:b w:val="0"/>
                <w:bCs w:val="0"/>
                <w:color w:val="auto"/>
                <w:u w:val="single"/>
                <w:lang w:val="en-US" w:eastAsia="zh-CN"/>
              </w:rPr>
              <w:t>，且根据项目类比龙山县民安污水处理厂可知，民安污水处理厂规模为2.5万t/d，废水经“厂外污水提升+厂内预处理+AAO生化处理+二沉+高效沉淀+过滤+接触消毒池”处理达到《湖南省城镇污水处理厂主要水污染物排放标准》（DB43/T 1546-2018）二级标准、《城镇污水处理厂污染物排放标准》（GB18918-2002）一级标准的A标准排入果利河，2021年6月委托湖南永蓝检测技术股份有限公司编制了《龙山县污水处理工程—民安污水处理厂建设项目（不含管网）竣工环境保护验收监测报告》，并通过自主验收。</w:t>
            </w:r>
          </w:p>
          <w:p w14:paraId="2F2FC094">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default" w:cs="Times New Roman"/>
                <w:b w:val="0"/>
                <w:bCs w:val="0"/>
                <w:color w:val="auto"/>
                <w:u w:val="single"/>
                <w:lang w:val="en-US" w:eastAsia="zh-CN"/>
              </w:rPr>
            </w:pPr>
            <w:r>
              <w:rPr>
                <w:rFonts w:hint="eastAsia" w:ascii="Times New Roman" w:hAnsi="Times New Roman" w:eastAsia="宋体" w:cs="Times New Roman"/>
                <w:b w:val="0"/>
                <w:bCs w:val="0"/>
                <w:color w:val="auto"/>
                <w:u w:val="single"/>
                <w:lang w:val="en-US" w:eastAsia="zh-CN"/>
              </w:rPr>
              <w:t>本项目</w:t>
            </w:r>
            <w:r>
              <w:rPr>
                <w:rFonts w:hint="eastAsia" w:cs="Times New Roman"/>
                <w:b w:val="0"/>
                <w:bCs w:val="0"/>
                <w:color w:val="auto"/>
                <w:u w:val="single"/>
                <w:lang w:val="en-US" w:eastAsia="zh-CN"/>
              </w:rPr>
              <w:t>设计处理规模为1.5万t/d，污水经处理后化学需氧量、氨氮、总氮和总磷等指标必须达到《湖南省城镇污水处理厂主要水污染物排放标准》（DB43/T 1546-2018）二级标准后排入果利河，其余指标按《城镇污水处理厂污染物排放标准》（GB18918-2002）一级标准的A标准，废水处理工艺为A</w:t>
            </w:r>
            <w:r>
              <w:rPr>
                <w:rFonts w:hint="eastAsia" w:cs="Times New Roman"/>
                <w:b w:val="0"/>
                <w:bCs w:val="0"/>
                <w:color w:val="auto"/>
                <w:u w:val="single"/>
                <w:vertAlign w:val="subscript"/>
                <w:lang w:val="en-US" w:eastAsia="zh-CN"/>
              </w:rPr>
              <w:t>2</w:t>
            </w:r>
            <w:r>
              <w:rPr>
                <w:rFonts w:hint="eastAsia" w:cs="Times New Roman"/>
                <w:b w:val="0"/>
                <w:bCs w:val="0"/>
                <w:color w:val="auto"/>
                <w:u w:val="single"/>
                <w:lang w:val="en-US" w:eastAsia="zh-CN"/>
              </w:rPr>
              <w:t>O工艺（粗格栅—细格栅、旋流沉砂池—水解酸化—AAO好氧厌氧池—二沉池—高效沉淀池—滤布滤池—紫外消毒），本项目尾水执行标准一样和纳污水体均为果利河，且项目采用类似的污水处理工艺，龙山县民安污水处理厂可稳定运行保证达标排放，故本项目也行。</w:t>
            </w:r>
          </w:p>
          <w:p w14:paraId="123D9CFB">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u w:val="single"/>
                <w:lang w:val="en-US" w:eastAsia="zh-CN"/>
              </w:rPr>
            </w:pPr>
            <w:r>
              <w:rPr>
                <w:rFonts w:hint="eastAsia" w:ascii="Times New Roman" w:hAnsi="Times New Roman" w:eastAsia="宋体" w:cs="Times New Roman"/>
                <w:b w:val="0"/>
                <w:bCs w:val="0"/>
                <w:color w:val="auto"/>
                <w:u w:val="single"/>
                <w:lang w:val="en-US" w:eastAsia="zh-CN"/>
              </w:rPr>
              <w:t>污水处理厂使用的处理技术是可行的。同时建设方严格按照本环评防治措施后，项目废水及承接污水均能达标排放。</w:t>
            </w:r>
          </w:p>
          <w:p w14:paraId="4BDDBC46">
            <w:pPr>
              <w:autoSpaceDE w:val="0"/>
              <w:autoSpaceDN w:val="0"/>
              <w:adjustRightInd w:val="0"/>
              <w:spacing w:line="360" w:lineRule="auto"/>
              <w:ind w:firstLine="482" w:firstLineChars="200"/>
              <w:rPr>
                <w:rFonts w:hint="eastAsia" w:ascii="Times New Roman" w:hAnsi="Times New Roman" w:eastAsia="宋" w:cs="Times New Roman"/>
                <w:b/>
                <w:color w:val="auto"/>
                <w:sz w:val="24"/>
                <w:u w:val="none"/>
                <w:lang w:val="en-US" w:eastAsia="zh-CN"/>
              </w:rPr>
            </w:pPr>
            <w:r>
              <w:rPr>
                <w:rFonts w:hint="eastAsia" w:ascii="Times New Roman" w:hAnsi="Times New Roman" w:eastAsia="宋" w:cs="Times New Roman"/>
                <w:b/>
                <w:color w:val="auto"/>
                <w:sz w:val="24"/>
                <w:u w:val="none"/>
                <w:lang w:val="en-US" w:eastAsia="zh-CN"/>
              </w:rPr>
              <w:t>4、地表水环境影响评价结论</w:t>
            </w:r>
          </w:p>
          <w:p w14:paraId="53EBBDC6">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u w:val="none"/>
                <w:lang w:val="en-US" w:eastAsia="zh-CN"/>
              </w:rPr>
            </w:pPr>
            <w:r>
              <w:rPr>
                <w:rFonts w:hint="eastAsia" w:ascii="Times New Roman" w:hAnsi="Times New Roman" w:eastAsia="宋体" w:cs="Times New Roman"/>
                <w:b w:val="0"/>
                <w:bCs w:val="0"/>
                <w:color w:val="auto"/>
                <w:u w:val="none"/>
                <w:lang w:val="en-US" w:eastAsia="zh-CN"/>
              </w:rPr>
              <w:t>本项目工作人员产生的生活污水、污泥脱水滤液等废水与服务范围内收集的生活污水一并排入污水处理厂处理，污水处理厂设计处理规模</w:t>
            </w:r>
            <w:r>
              <w:rPr>
                <w:rFonts w:hint="eastAsia" w:cs="Times New Roman"/>
                <w:b w:val="0"/>
                <w:bCs w:val="0"/>
                <w:color w:val="auto"/>
                <w:u w:val="none"/>
                <w:lang w:val="en-US" w:eastAsia="zh-CN"/>
              </w:rPr>
              <w:t>1.5</w:t>
            </w:r>
            <w:r>
              <w:rPr>
                <w:rFonts w:hint="eastAsia" w:ascii="Times New Roman" w:hAnsi="Times New Roman" w:eastAsia="宋体" w:cs="Times New Roman"/>
                <w:b w:val="0"/>
                <w:bCs w:val="0"/>
                <w:color w:val="auto"/>
                <w:u w:val="none"/>
                <w:lang w:val="en-US" w:eastAsia="zh-CN"/>
              </w:rPr>
              <w:t>万m</w:t>
            </w:r>
            <w:r>
              <w:rPr>
                <w:rFonts w:hint="eastAsia" w:ascii="Times New Roman" w:hAnsi="Times New Roman" w:eastAsia="宋体" w:cs="Times New Roman"/>
                <w:b w:val="0"/>
                <w:bCs w:val="0"/>
                <w:color w:val="auto"/>
                <w:u w:val="none"/>
                <w:vertAlign w:val="superscript"/>
                <w:lang w:val="en-US" w:eastAsia="zh-CN"/>
              </w:rPr>
              <w:t>3</w:t>
            </w:r>
            <w:r>
              <w:rPr>
                <w:rFonts w:hint="eastAsia" w:ascii="Times New Roman" w:hAnsi="Times New Roman" w:eastAsia="宋体" w:cs="Times New Roman"/>
                <w:b w:val="0"/>
                <w:bCs w:val="0"/>
                <w:color w:val="auto"/>
                <w:u w:val="none"/>
                <w:lang w:val="en-US" w:eastAsia="zh-CN"/>
              </w:rPr>
              <w:t>/d，污水经处理COD、NH</w:t>
            </w:r>
            <w:r>
              <w:rPr>
                <w:rFonts w:hint="eastAsia" w:ascii="Times New Roman" w:hAnsi="Times New Roman" w:eastAsia="宋体" w:cs="Times New Roman"/>
                <w:b w:val="0"/>
                <w:bCs w:val="0"/>
                <w:color w:val="auto"/>
                <w:u w:val="none"/>
                <w:vertAlign w:val="subscript"/>
                <w:lang w:val="en-US" w:eastAsia="zh-CN"/>
              </w:rPr>
              <w:t>3</w:t>
            </w:r>
            <w:r>
              <w:rPr>
                <w:rFonts w:hint="eastAsia" w:ascii="Times New Roman" w:hAnsi="Times New Roman" w:eastAsia="宋体" w:cs="Times New Roman"/>
                <w:b w:val="0"/>
                <w:bCs w:val="0"/>
                <w:color w:val="auto"/>
                <w:u w:val="none"/>
                <w:lang w:val="en-US" w:eastAsia="zh-CN"/>
              </w:rPr>
              <w:t>-N、TP、TN按《湖南省城镇污水处理厂主要水污染物排放标准》（DB43/T 1546-2018）表1二级标准执行，其余指标按《城镇污水处理厂污染物排放标准》（GB18918-2002）一级标准的A标准执行排入果利河。</w:t>
            </w:r>
          </w:p>
          <w:p w14:paraId="5ACC6BA9">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u w:val="none"/>
                <w:lang w:val="en-US" w:eastAsia="zh-CN"/>
              </w:rPr>
            </w:pPr>
            <w:r>
              <w:rPr>
                <w:rFonts w:hint="eastAsia" w:ascii="Times New Roman" w:hAnsi="Times New Roman" w:eastAsia="宋体" w:cs="Times New Roman"/>
                <w:b w:val="0"/>
                <w:bCs w:val="0"/>
                <w:color w:val="auto"/>
                <w:u w:val="none"/>
                <w:lang w:val="en-US" w:eastAsia="zh-CN"/>
              </w:rPr>
              <w:t>本项目地表水影响评价等级</w:t>
            </w:r>
            <w:r>
              <w:rPr>
                <w:rFonts w:hint="eastAsia" w:ascii="Times New Roman" w:hAnsi="Times New Roman" w:eastAsia="宋体" w:cs="Times New Roman"/>
                <w:b w:val="0"/>
                <w:bCs w:val="0"/>
                <w:color w:val="auto"/>
                <w:highlight w:val="none"/>
                <w:u w:val="none"/>
                <w:lang w:val="en-US" w:eastAsia="zh-CN"/>
              </w:rPr>
              <w:t>为二级</w:t>
            </w:r>
            <w:r>
              <w:rPr>
                <w:rFonts w:hint="eastAsia" w:ascii="Times New Roman" w:hAnsi="Times New Roman" w:eastAsia="宋体" w:cs="Times New Roman"/>
                <w:b w:val="0"/>
                <w:bCs w:val="0"/>
                <w:color w:val="auto"/>
                <w:u w:val="none"/>
                <w:lang w:val="en-US" w:eastAsia="zh-CN"/>
              </w:rPr>
              <w:t>，经预测，待果利河水质治理好后，本项目在正常排放情况下，排污口下游水环境质量和各水环境保护目标COD、氨氮、总磷均满足《地表水环境质量标准》（GB3838-2002）中的Ⅲ类水质标准。</w:t>
            </w:r>
          </w:p>
          <w:p w14:paraId="40117B1E">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三、噪声影响分析及保护措施</w:t>
            </w:r>
          </w:p>
          <w:p w14:paraId="585C9064">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1、噪声源强分析</w:t>
            </w:r>
          </w:p>
          <w:p w14:paraId="6A3C344A">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本项目污水处理厂在运营过程中，对外界能够产生影响的噪声源为：厂区内的各种污水泵等，针对污水处理厂内噪声较大的设备，污水泵、潜污泵等埋设于地面下，经过基础减振、墙壁隔声，选用低噪声机械设备，可降低15～20dB(A)。</w:t>
            </w:r>
          </w:p>
          <w:p w14:paraId="6B7AF677">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本项目设备噪声源强及治理措施见下表。</w:t>
            </w:r>
          </w:p>
          <w:p w14:paraId="18981629">
            <w:pPr>
              <w:keepNext w:val="0"/>
              <w:keepLines w:val="0"/>
              <w:pageBreakBefore w:val="0"/>
              <w:widowControl w:val="0"/>
              <w:kinsoku/>
              <w:wordWrap/>
              <w:overflowPunct/>
              <w:topLinePunct w:val="0"/>
              <w:autoSpaceDE/>
              <w:autoSpaceDN/>
              <w:bidi w:val="0"/>
              <w:adjustRightInd/>
              <w:snapToGrid/>
              <w:spacing w:before="48" w:beforeLines="15" w:after="48" w:afterLines="15" w:line="240" w:lineRule="auto"/>
              <w:jc w:val="center"/>
              <w:textAlignment w:val="auto"/>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表4-</w:t>
            </w:r>
            <w:r>
              <w:rPr>
                <w:rFonts w:hint="eastAsia" w:cs="Times New Roman"/>
                <w:b/>
                <w:bCs/>
                <w:color w:val="auto"/>
                <w:lang w:val="en-US" w:eastAsia="zh-CN"/>
              </w:rPr>
              <w:t>9</w:t>
            </w:r>
            <w:r>
              <w:rPr>
                <w:rFonts w:hint="eastAsia" w:ascii="Times New Roman" w:hAnsi="Times New Roman" w:eastAsia="宋体" w:cs="Times New Roman"/>
                <w:b/>
                <w:bCs/>
                <w:color w:val="auto"/>
                <w:lang w:val="en-US" w:eastAsia="zh-CN"/>
              </w:rPr>
              <w:t>主要设备噪声源强及治理措施一览表</w:t>
            </w:r>
          </w:p>
          <w:tbl>
            <w:tblPr>
              <w:tblStyle w:val="33"/>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6"/>
              <w:gridCol w:w="1000"/>
              <w:gridCol w:w="957"/>
              <w:gridCol w:w="893"/>
              <w:gridCol w:w="576"/>
              <w:gridCol w:w="576"/>
              <w:gridCol w:w="581"/>
              <w:gridCol w:w="576"/>
              <w:gridCol w:w="1484"/>
              <w:gridCol w:w="735"/>
              <w:gridCol w:w="816"/>
            </w:tblGrid>
            <w:tr w14:paraId="5A4A922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 w:type="pct"/>
                  <w:vMerge w:val="restart"/>
                  <w:tcBorders>
                    <w:tl2br w:val="nil"/>
                    <w:tr2bl w:val="nil"/>
                  </w:tcBorders>
                  <w:vAlign w:val="center"/>
                </w:tcPr>
                <w:p w14:paraId="5A739053">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序号</w:t>
                  </w:r>
                </w:p>
              </w:tc>
              <w:tc>
                <w:tcPr>
                  <w:tcW w:w="578" w:type="pct"/>
                  <w:vMerge w:val="restart"/>
                  <w:tcBorders>
                    <w:tl2br w:val="nil"/>
                    <w:tr2bl w:val="nil"/>
                  </w:tcBorders>
                  <w:vAlign w:val="center"/>
                </w:tcPr>
                <w:p w14:paraId="6825207D">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噪声源</w:t>
                  </w:r>
                </w:p>
              </w:tc>
              <w:tc>
                <w:tcPr>
                  <w:tcW w:w="553" w:type="pct"/>
                  <w:vMerge w:val="restart"/>
                  <w:tcBorders>
                    <w:tl2br w:val="nil"/>
                    <w:tr2bl w:val="nil"/>
                  </w:tcBorders>
                  <w:vAlign w:val="center"/>
                </w:tcPr>
                <w:p w14:paraId="24926437">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噪声源强dB(A)</w:t>
                  </w:r>
                </w:p>
              </w:tc>
              <w:tc>
                <w:tcPr>
                  <w:tcW w:w="516" w:type="pct"/>
                  <w:vMerge w:val="restart"/>
                  <w:tcBorders>
                    <w:tl2br w:val="nil"/>
                    <w:tr2bl w:val="nil"/>
                  </w:tcBorders>
                  <w:vAlign w:val="center"/>
                </w:tcPr>
                <w:p w14:paraId="3C6120C6">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cs="Times New Roman"/>
                      <w:color w:val="auto"/>
                      <w:spacing w:val="0"/>
                      <w:w w:val="100"/>
                      <w:kern w:val="0"/>
                      <w:sz w:val="21"/>
                      <w:szCs w:val="21"/>
                      <w:lang w:val="en-US" w:eastAsia="zh-CN" w:bidi="ar-SA"/>
                    </w:rPr>
                    <w:t>距离厂界距离</w:t>
                  </w:r>
                </w:p>
              </w:tc>
              <w:tc>
                <w:tcPr>
                  <w:tcW w:w="1002" w:type="pct"/>
                  <w:gridSpan w:val="3"/>
                  <w:tcBorders>
                    <w:tl2br w:val="nil"/>
                    <w:tr2bl w:val="nil"/>
                  </w:tcBorders>
                  <w:vAlign w:val="center"/>
                </w:tcPr>
                <w:p w14:paraId="343A21F9">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eastAsia" w:ascii="Times New Roman" w:hAnsi="Times New Roman" w:cs="Times New Roman"/>
                      <w:color w:val="auto"/>
                      <w:spacing w:val="0"/>
                      <w:w w:val="100"/>
                      <w:kern w:val="0"/>
                      <w:sz w:val="21"/>
                      <w:szCs w:val="21"/>
                      <w:lang w:val="en-US" w:eastAsia="zh-CN" w:bidi="ar-SA"/>
                    </w:rPr>
                  </w:pPr>
                  <w:r>
                    <w:rPr>
                      <w:rFonts w:hint="eastAsia" w:ascii="Times New Roman" w:hAnsi="Times New Roman" w:cs="Times New Roman"/>
                      <w:color w:val="auto"/>
                      <w:spacing w:val="0"/>
                      <w:w w:val="100"/>
                      <w:kern w:val="0"/>
                      <w:sz w:val="21"/>
                      <w:szCs w:val="21"/>
                      <w:lang w:val="en-US" w:eastAsia="zh-CN" w:bidi="ar-SA"/>
                    </w:rPr>
                    <w:t>空间相对位置</w:t>
                  </w:r>
                </w:p>
              </w:tc>
              <w:tc>
                <w:tcPr>
                  <w:tcW w:w="333" w:type="pct"/>
                  <w:vMerge w:val="restart"/>
                  <w:tcBorders>
                    <w:tl2br w:val="nil"/>
                    <w:tr2bl w:val="nil"/>
                  </w:tcBorders>
                  <w:vAlign w:val="center"/>
                </w:tcPr>
                <w:p w14:paraId="15130F0F">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数量</w:t>
                  </w:r>
                </w:p>
              </w:tc>
              <w:tc>
                <w:tcPr>
                  <w:tcW w:w="858" w:type="pct"/>
                  <w:vMerge w:val="restart"/>
                  <w:tcBorders>
                    <w:tl2br w:val="nil"/>
                    <w:tr2bl w:val="nil"/>
                  </w:tcBorders>
                  <w:vAlign w:val="center"/>
                </w:tcPr>
                <w:p w14:paraId="0B6E7559">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降噪措施</w:t>
                  </w:r>
                </w:p>
              </w:tc>
              <w:tc>
                <w:tcPr>
                  <w:tcW w:w="425" w:type="pct"/>
                  <w:vMerge w:val="restart"/>
                  <w:tcBorders>
                    <w:tl2br w:val="nil"/>
                    <w:tr2bl w:val="nil"/>
                  </w:tcBorders>
                  <w:vAlign w:val="center"/>
                </w:tcPr>
                <w:p w14:paraId="4B585F66">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排放强度</w:t>
                  </w:r>
                </w:p>
              </w:tc>
              <w:tc>
                <w:tcPr>
                  <w:tcW w:w="472" w:type="pct"/>
                  <w:vMerge w:val="restart"/>
                  <w:tcBorders>
                    <w:tl2br w:val="nil"/>
                    <w:tr2bl w:val="nil"/>
                  </w:tcBorders>
                  <w:vAlign w:val="center"/>
                </w:tcPr>
                <w:p w14:paraId="4AB2C16C">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声源类型</w:t>
                  </w:r>
                </w:p>
              </w:tc>
            </w:tr>
            <w:tr w14:paraId="1EBA16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 w:type="pct"/>
                  <w:vMerge w:val="continue"/>
                  <w:tcBorders>
                    <w:tl2br w:val="nil"/>
                    <w:tr2bl w:val="nil"/>
                  </w:tcBorders>
                  <w:vAlign w:val="center"/>
                </w:tcPr>
                <w:p w14:paraId="3D7267BE">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p>
              </w:tc>
              <w:tc>
                <w:tcPr>
                  <w:tcW w:w="578" w:type="pct"/>
                  <w:vMerge w:val="continue"/>
                  <w:tcBorders>
                    <w:tl2br w:val="nil"/>
                    <w:tr2bl w:val="nil"/>
                  </w:tcBorders>
                  <w:vAlign w:val="center"/>
                </w:tcPr>
                <w:p w14:paraId="6FEC9178">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p>
              </w:tc>
              <w:tc>
                <w:tcPr>
                  <w:tcW w:w="553" w:type="pct"/>
                  <w:vMerge w:val="continue"/>
                  <w:tcBorders>
                    <w:tl2br w:val="nil"/>
                    <w:tr2bl w:val="nil"/>
                  </w:tcBorders>
                  <w:vAlign w:val="center"/>
                </w:tcPr>
                <w:p w14:paraId="5BCA2119">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p>
              </w:tc>
              <w:tc>
                <w:tcPr>
                  <w:tcW w:w="516" w:type="pct"/>
                  <w:vMerge w:val="continue"/>
                  <w:tcBorders>
                    <w:tl2br w:val="nil"/>
                    <w:tr2bl w:val="nil"/>
                  </w:tcBorders>
                  <w:vAlign w:val="center"/>
                </w:tcPr>
                <w:p w14:paraId="4AF37D06">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p>
              </w:tc>
              <w:tc>
                <w:tcPr>
                  <w:tcW w:w="333" w:type="pct"/>
                  <w:tcBorders>
                    <w:tl2br w:val="nil"/>
                    <w:tr2bl w:val="nil"/>
                  </w:tcBorders>
                  <w:vAlign w:val="center"/>
                </w:tcPr>
                <w:p w14:paraId="3470E15F">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eastAsia" w:ascii="Times New Roman" w:hAnsi="Times New Roman" w:cs="Times New Roman"/>
                      <w:color w:val="auto"/>
                      <w:spacing w:val="0"/>
                      <w:w w:val="100"/>
                      <w:kern w:val="0"/>
                      <w:sz w:val="21"/>
                      <w:szCs w:val="21"/>
                      <w:lang w:val="en-US" w:eastAsia="zh-CN" w:bidi="ar-SA"/>
                    </w:rPr>
                  </w:pPr>
                  <w:r>
                    <w:rPr>
                      <w:rFonts w:hint="eastAsia" w:ascii="Times New Roman" w:hAnsi="Times New Roman" w:eastAsia="宋体" w:cs="Times New Roman"/>
                      <w:color w:val="auto"/>
                      <w:spacing w:val="0"/>
                      <w:w w:val="100"/>
                      <w:kern w:val="0"/>
                      <w:sz w:val="21"/>
                      <w:szCs w:val="21"/>
                      <w:u w:val="single"/>
                      <w:lang w:val="en-US" w:eastAsia="zh-CN" w:bidi="ar-SA"/>
                    </w:rPr>
                    <w:t>X</w:t>
                  </w:r>
                </w:p>
              </w:tc>
              <w:tc>
                <w:tcPr>
                  <w:tcW w:w="333" w:type="pct"/>
                  <w:tcBorders>
                    <w:tl2br w:val="nil"/>
                    <w:tr2bl w:val="nil"/>
                  </w:tcBorders>
                  <w:vAlign w:val="center"/>
                </w:tcPr>
                <w:p w14:paraId="65191E6F">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eastAsia" w:ascii="Times New Roman" w:hAnsi="Times New Roman" w:cs="Times New Roman"/>
                      <w:color w:val="auto"/>
                      <w:spacing w:val="0"/>
                      <w:w w:val="100"/>
                      <w:kern w:val="0"/>
                      <w:sz w:val="21"/>
                      <w:szCs w:val="21"/>
                      <w:lang w:val="en-US" w:eastAsia="zh-CN" w:bidi="ar-SA"/>
                    </w:rPr>
                  </w:pPr>
                  <w:r>
                    <w:rPr>
                      <w:rFonts w:hint="eastAsia" w:ascii="Times New Roman" w:hAnsi="Times New Roman" w:eastAsia="宋体" w:cs="Times New Roman"/>
                      <w:color w:val="auto"/>
                      <w:spacing w:val="0"/>
                      <w:w w:val="100"/>
                      <w:kern w:val="0"/>
                      <w:sz w:val="21"/>
                      <w:szCs w:val="21"/>
                      <w:u w:val="single"/>
                      <w:lang w:val="en-US" w:eastAsia="zh-CN" w:bidi="ar-SA"/>
                    </w:rPr>
                    <w:t>Y</w:t>
                  </w:r>
                </w:p>
              </w:tc>
              <w:tc>
                <w:tcPr>
                  <w:tcW w:w="336" w:type="pct"/>
                  <w:tcBorders>
                    <w:tl2br w:val="nil"/>
                    <w:tr2bl w:val="nil"/>
                  </w:tcBorders>
                  <w:vAlign w:val="center"/>
                </w:tcPr>
                <w:p w14:paraId="23F4BBDD">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eastAsia" w:ascii="Times New Roman" w:hAnsi="Times New Roman" w:cs="Times New Roman"/>
                      <w:color w:val="auto"/>
                      <w:spacing w:val="0"/>
                      <w:w w:val="100"/>
                      <w:kern w:val="0"/>
                      <w:sz w:val="21"/>
                      <w:szCs w:val="21"/>
                      <w:lang w:val="en-US" w:eastAsia="zh-CN" w:bidi="ar-SA"/>
                    </w:rPr>
                  </w:pPr>
                  <w:r>
                    <w:rPr>
                      <w:rFonts w:hint="eastAsia" w:ascii="Times New Roman" w:hAnsi="Times New Roman" w:eastAsia="宋体" w:cs="Times New Roman"/>
                      <w:color w:val="auto"/>
                      <w:spacing w:val="0"/>
                      <w:w w:val="100"/>
                      <w:kern w:val="0"/>
                      <w:sz w:val="21"/>
                      <w:szCs w:val="21"/>
                      <w:u w:val="single"/>
                      <w:lang w:val="en-US" w:eastAsia="zh-CN" w:bidi="ar-SA"/>
                    </w:rPr>
                    <w:t>Z</w:t>
                  </w:r>
                </w:p>
              </w:tc>
              <w:tc>
                <w:tcPr>
                  <w:tcW w:w="333" w:type="pct"/>
                  <w:vMerge w:val="continue"/>
                  <w:tcBorders>
                    <w:tl2br w:val="nil"/>
                    <w:tr2bl w:val="nil"/>
                  </w:tcBorders>
                  <w:vAlign w:val="center"/>
                </w:tcPr>
                <w:p w14:paraId="42B5EFAE">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p>
              </w:tc>
              <w:tc>
                <w:tcPr>
                  <w:tcW w:w="858" w:type="pct"/>
                  <w:vMerge w:val="continue"/>
                  <w:tcBorders>
                    <w:tl2br w:val="nil"/>
                    <w:tr2bl w:val="nil"/>
                  </w:tcBorders>
                  <w:vAlign w:val="center"/>
                </w:tcPr>
                <w:p w14:paraId="0E3BE3FF">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p>
              </w:tc>
              <w:tc>
                <w:tcPr>
                  <w:tcW w:w="425" w:type="pct"/>
                  <w:vMerge w:val="continue"/>
                  <w:tcBorders>
                    <w:tl2br w:val="nil"/>
                    <w:tr2bl w:val="nil"/>
                  </w:tcBorders>
                  <w:vAlign w:val="center"/>
                </w:tcPr>
                <w:p w14:paraId="3F7FA050">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p>
              </w:tc>
              <w:tc>
                <w:tcPr>
                  <w:tcW w:w="472" w:type="pct"/>
                  <w:vMerge w:val="continue"/>
                  <w:tcBorders>
                    <w:tl2br w:val="nil"/>
                    <w:tr2bl w:val="nil"/>
                  </w:tcBorders>
                  <w:vAlign w:val="center"/>
                </w:tcPr>
                <w:p w14:paraId="09C46027">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p>
              </w:tc>
            </w:tr>
            <w:tr w14:paraId="39A985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258" w:type="pct"/>
                  <w:tcBorders>
                    <w:tl2br w:val="nil"/>
                    <w:tr2bl w:val="nil"/>
                  </w:tcBorders>
                  <w:vAlign w:val="center"/>
                </w:tcPr>
                <w:p w14:paraId="521489ED">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1</w:t>
                  </w:r>
                </w:p>
              </w:tc>
              <w:tc>
                <w:tcPr>
                  <w:tcW w:w="578" w:type="pct"/>
                  <w:tcBorders>
                    <w:tl2br w:val="nil"/>
                    <w:tr2bl w:val="nil"/>
                  </w:tcBorders>
                  <w:vAlign w:val="center"/>
                </w:tcPr>
                <w:p w14:paraId="33C155E5">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潜污泵</w:t>
                  </w:r>
                </w:p>
              </w:tc>
              <w:tc>
                <w:tcPr>
                  <w:tcW w:w="553" w:type="pct"/>
                  <w:tcBorders>
                    <w:tl2br w:val="nil"/>
                    <w:tr2bl w:val="nil"/>
                  </w:tcBorders>
                  <w:vAlign w:val="center"/>
                </w:tcPr>
                <w:p w14:paraId="76F9F504">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90</w:t>
                  </w:r>
                </w:p>
              </w:tc>
              <w:tc>
                <w:tcPr>
                  <w:tcW w:w="516" w:type="pct"/>
                  <w:tcBorders>
                    <w:tl2br w:val="nil"/>
                    <w:tr2bl w:val="nil"/>
                  </w:tcBorders>
                  <w:vAlign w:val="center"/>
                </w:tcPr>
                <w:p w14:paraId="7C2671F4">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cs="Times New Roman"/>
                      <w:color w:val="auto"/>
                      <w:spacing w:val="0"/>
                      <w:w w:val="100"/>
                      <w:kern w:val="0"/>
                      <w:sz w:val="21"/>
                      <w:szCs w:val="21"/>
                      <w:lang w:val="en-US" w:eastAsia="zh-CN" w:bidi="ar-SA"/>
                    </w:rPr>
                    <w:t>4</w:t>
                  </w:r>
                </w:p>
              </w:tc>
              <w:tc>
                <w:tcPr>
                  <w:tcW w:w="576" w:type="dxa"/>
                  <w:tcBorders>
                    <w:tl2br w:val="nil"/>
                    <w:tr2bl w:val="nil"/>
                  </w:tcBorders>
                  <w:vAlign w:val="center"/>
                </w:tcPr>
                <w:p w14:paraId="0B183731">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eastAsia="宋体" w:cs="Times New Roman"/>
                      <w:color w:val="auto"/>
                      <w:spacing w:val="0"/>
                      <w:w w:val="100"/>
                      <w:kern w:val="0"/>
                      <w:sz w:val="21"/>
                      <w:szCs w:val="21"/>
                      <w:u w:val="single"/>
                      <w:lang w:val="en-US" w:eastAsia="zh-CN" w:bidi="ar-SA"/>
                    </w:rPr>
                    <w:t>1</w:t>
                  </w:r>
                  <w:r>
                    <w:rPr>
                      <w:rFonts w:hint="eastAsia" w:ascii="Times New Roman" w:hAnsi="Times New Roman" w:cs="Times New Roman"/>
                      <w:color w:val="auto"/>
                      <w:spacing w:val="0"/>
                      <w:w w:val="100"/>
                      <w:kern w:val="0"/>
                      <w:sz w:val="21"/>
                      <w:szCs w:val="21"/>
                      <w:u w:val="single"/>
                      <w:lang w:val="en-US" w:eastAsia="zh-CN" w:bidi="ar-SA"/>
                    </w:rPr>
                    <w:t>0</w:t>
                  </w:r>
                  <w:r>
                    <w:rPr>
                      <w:rFonts w:hint="eastAsia" w:ascii="Times New Roman" w:hAnsi="Times New Roman" w:eastAsia="宋体" w:cs="Times New Roman"/>
                      <w:color w:val="auto"/>
                      <w:spacing w:val="0"/>
                      <w:w w:val="100"/>
                      <w:kern w:val="0"/>
                      <w:sz w:val="21"/>
                      <w:szCs w:val="21"/>
                      <w:u w:val="single"/>
                      <w:lang w:val="en-US" w:eastAsia="zh-CN" w:bidi="ar-SA"/>
                    </w:rPr>
                    <w:t>2</w:t>
                  </w:r>
                </w:p>
              </w:tc>
              <w:tc>
                <w:tcPr>
                  <w:tcW w:w="576" w:type="dxa"/>
                  <w:tcBorders>
                    <w:tl2br w:val="nil"/>
                    <w:tr2bl w:val="nil"/>
                  </w:tcBorders>
                  <w:vAlign w:val="center"/>
                </w:tcPr>
                <w:p w14:paraId="46DAC214">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eastAsia="宋体" w:cs="Times New Roman"/>
                      <w:color w:val="auto"/>
                      <w:spacing w:val="0"/>
                      <w:w w:val="100"/>
                      <w:kern w:val="0"/>
                      <w:sz w:val="21"/>
                      <w:szCs w:val="21"/>
                      <w:u w:val="single"/>
                      <w:lang w:val="en-US" w:eastAsia="zh-CN" w:bidi="ar-SA"/>
                    </w:rPr>
                    <w:t>5</w:t>
                  </w:r>
                  <w:r>
                    <w:rPr>
                      <w:rFonts w:hint="eastAsia" w:ascii="Times New Roman" w:hAnsi="Times New Roman" w:cs="Times New Roman"/>
                      <w:color w:val="auto"/>
                      <w:spacing w:val="0"/>
                      <w:w w:val="100"/>
                      <w:kern w:val="0"/>
                      <w:sz w:val="21"/>
                      <w:szCs w:val="21"/>
                      <w:u w:val="single"/>
                      <w:lang w:val="en-US" w:eastAsia="zh-CN" w:bidi="ar-SA"/>
                    </w:rPr>
                    <w:t>2</w:t>
                  </w:r>
                </w:p>
              </w:tc>
              <w:tc>
                <w:tcPr>
                  <w:tcW w:w="581" w:type="dxa"/>
                  <w:tcBorders>
                    <w:tl2br w:val="nil"/>
                    <w:tr2bl w:val="nil"/>
                  </w:tcBorders>
                  <w:vAlign w:val="center"/>
                </w:tcPr>
                <w:p w14:paraId="18743A11">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eastAsia="宋体" w:cs="Times New Roman"/>
                      <w:color w:val="auto"/>
                      <w:spacing w:val="0"/>
                      <w:w w:val="100"/>
                      <w:kern w:val="0"/>
                      <w:sz w:val="21"/>
                      <w:szCs w:val="21"/>
                      <w:u w:val="single"/>
                      <w:lang w:val="en-US" w:eastAsia="zh-CN" w:bidi="ar-SA"/>
                    </w:rPr>
                    <w:t>1</w:t>
                  </w:r>
                </w:p>
              </w:tc>
              <w:tc>
                <w:tcPr>
                  <w:tcW w:w="333" w:type="pct"/>
                  <w:tcBorders>
                    <w:tl2br w:val="nil"/>
                    <w:tr2bl w:val="nil"/>
                  </w:tcBorders>
                  <w:vAlign w:val="center"/>
                </w:tcPr>
                <w:p w14:paraId="7FCB1516">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2台</w:t>
                  </w:r>
                </w:p>
              </w:tc>
              <w:tc>
                <w:tcPr>
                  <w:tcW w:w="858" w:type="pct"/>
                  <w:tcBorders>
                    <w:tl2br w:val="nil"/>
                    <w:tr2bl w:val="nil"/>
                  </w:tcBorders>
                  <w:vAlign w:val="center"/>
                </w:tcPr>
                <w:p w14:paraId="542FA1D0">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潜水作业，基础减震</w:t>
                  </w:r>
                </w:p>
              </w:tc>
              <w:tc>
                <w:tcPr>
                  <w:tcW w:w="425" w:type="pct"/>
                  <w:tcBorders>
                    <w:tl2br w:val="nil"/>
                    <w:tr2bl w:val="nil"/>
                  </w:tcBorders>
                  <w:vAlign w:val="center"/>
                </w:tcPr>
                <w:p w14:paraId="44C92155">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70</w:t>
                  </w:r>
                </w:p>
              </w:tc>
              <w:tc>
                <w:tcPr>
                  <w:tcW w:w="472" w:type="pct"/>
                  <w:tcBorders>
                    <w:tl2br w:val="nil"/>
                    <w:tr2bl w:val="nil"/>
                  </w:tcBorders>
                  <w:vAlign w:val="center"/>
                </w:tcPr>
                <w:p w14:paraId="0326F2E7">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连续</w:t>
                  </w:r>
                </w:p>
              </w:tc>
            </w:tr>
            <w:tr w14:paraId="249D02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 w:type="pct"/>
                  <w:tcBorders>
                    <w:tl2br w:val="nil"/>
                    <w:tr2bl w:val="nil"/>
                  </w:tcBorders>
                  <w:vAlign w:val="center"/>
                </w:tcPr>
                <w:p w14:paraId="22C633C4">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2</w:t>
                  </w:r>
                </w:p>
              </w:tc>
              <w:tc>
                <w:tcPr>
                  <w:tcW w:w="578" w:type="pct"/>
                  <w:tcBorders>
                    <w:tl2br w:val="nil"/>
                    <w:tr2bl w:val="nil"/>
                  </w:tcBorders>
                  <w:vAlign w:val="center"/>
                </w:tcPr>
                <w:p w14:paraId="6A2033EB">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风机</w:t>
                  </w:r>
                </w:p>
              </w:tc>
              <w:tc>
                <w:tcPr>
                  <w:tcW w:w="553" w:type="pct"/>
                  <w:tcBorders>
                    <w:tl2br w:val="nil"/>
                    <w:tr2bl w:val="nil"/>
                  </w:tcBorders>
                  <w:vAlign w:val="center"/>
                </w:tcPr>
                <w:p w14:paraId="2CDD90B7">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90</w:t>
                  </w:r>
                </w:p>
              </w:tc>
              <w:tc>
                <w:tcPr>
                  <w:tcW w:w="516" w:type="pct"/>
                  <w:tcBorders>
                    <w:tl2br w:val="nil"/>
                    <w:tr2bl w:val="nil"/>
                  </w:tcBorders>
                  <w:vAlign w:val="center"/>
                </w:tcPr>
                <w:p w14:paraId="5B09A1BF">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cs="Times New Roman"/>
                      <w:color w:val="auto"/>
                      <w:spacing w:val="0"/>
                      <w:w w:val="100"/>
                      <w:kern w:val="0"/>
                      <w:sz w:val="21"/>
                      <w:szCs w:val="21"/>
                      <w:lang w:val="en-US" w:eastAsia="zh-CN" w:bidi="ar-SA"/>
                    </w:rPr>
                    <w:t>3</w:t>
                  </w:r>
                </w:p>
              </w:tc>
              <w:tc>
                <w:tcPr>
                  <w:tcW w:w="576" w:type="dxa"/>
                  <w:tcBorders>
                    <w:tl2br w:val="nil"/>
                    <w:tr2bl w:val="nil"/>
                  </w:tcBorders>
                  <w:vAlign w:val="center"/>
                </w:tcPr>
                <w:p w14:paraId="38A2FEFC">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cs="Times New Roman"/>
                      <w:color w:val="auto"/>
                      <w:spacing w:val="0"/>
                      <w:w w:val="100"/>
                      <w:kern w:val="0"/>
                      <w:sz w:val="21"/>
                      <w:szCs w:val="21"/>
                      <w:u w:val="single"/>
                      <w:lang w:val="en-US" w:eastAsia="zh-CN" w:bidi="ar-SA"/>
                    </w:rPr>
                    <w:t>59</w:t>
                  </w:r>
                </w:p>
              </w:tc>
              <w:tc>
                <w:tcPr>
                  <w:tcW w:w="576" w:type="dxa"/>
                  <w:tcBorders>
                    <w:tl2br w:val="nil"/>
                    <w:tr2bl w:val="nil"/>
                  </w:tcBorders>
                  <w:vAlign w:val="center"/>
                </w:tcPr>
                <w:p w14:paraId="262BD4A8">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eastAsia="宋体" w:cs="Times New Roman"/>
                      <w:color w:val="auto"/>
                      <w:spacing w:val="0"/>
                      <w:w w:val="100"/>
                      <w:kern w:val="0"/>
                      <w:sz w:val="21"/>
                      <w:szCs w:val="21"/>
                      <w:u w:val="single"/>
                      <w:lang w:val="en-US" w:eastAsia="zh-CN" w:bidi="ar-SA"/>
                    </w:rPr>
                    <w:t>1</w:t>
                  </w:r>
                  <w:r>
                    <w:rPr>
                      <w:rFonts w:hint="eastAsia" w:ascii="Times New Roman" w:hAnsi="Times New Roman" w:cs="Times New Roman"/>
                      <w:color w:val="auto"/>
                      <w:spacing w:val="0"/>
                      <w:w w:val="100"/>
                      <w:kern w:val="0"/>
                      <w:sz w:val="21"/>
                      <w:szCs w:val="21"/>
                      <w:u w:val="single"/>
                      <w:lang w:val="en-US" w:eastAsia="zh-CN" w:bidi="ar-SA"/>
                    </w:rPr>
                    <w:t>00</w:t>
                  </w:r>
                </w:p>
              </w:tc>
              <w:tc>
                <w:tcPr>
                  <w:tcW w:w="581" w:type="dxa"/>
                  <w:tcBorders>
                    <w:tl2br w:val="nil"/>
                    <w:tr2bl w:val="nil"/>
                  </w:tcBorders>
                  <w:vAlign w:val="center"/>
                </w:tcPr>
                <w:p w14:paraId="056D5C8C">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eastAsia="宋体" w:cs="Times New Roman"/>
                      <w:color w:val="auto"/>
                      <w:spacing w:val="0"/>
                      <w:w w:val="100"/>
                      <w:kern w:val="0"/>
                      <w:sz w:val="21"/>
                      <w:szCs w:val="21"/>
                      <w:u w:val="single"/>
                      <w:lang w:val="en-US" w:eastAsia="zh-CN" w:bidi="ar-SA"/>
                    </w:rPr>
                    <w:t>1</w:t>
                  </w:r>
                </w:p>
              </w:tc>
              <w:tc>
                <w:tcPr>
                  <w:tcW w:w="333" w:type="pct"/>
                  <w:tcBorders>
                    <w:tl2br w:val="nil"/>
                    <w:tr2bl w:val="nil"/>
                  </w:tcBorders>
                  <w:vAlign w:val="center"/>
                </w:tcPr>
                <w:p w14:paraId="3128B237">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2台</w:t>
                  </w:r>
                </w:p>
              </w:tc>
              <w:tc>
                <w:tcPr>
                  <w:tcW w:w="858" w:type="pct"/>
                  <w:tcBorders>
                    <w:tl2br w:val="nil"/>
                    <w:tr2bl w:val="nil"/>
                  </w:tcBorders>
                  <w:vAlign w:val="center"/>
                </w:tcPr>
                <w:p w14:paraId="458004AF">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基础减震，室内隔声</w:t>
                  </w:r>
                </w:p>
              </w:tc>
              <w:tc>
                <w:tcPr>
                  <w:tcW w:w="425" w:type="pct"/>
                  <w:tcBorders>
                    <w:tl2br w:val="nil"/>
                    <w:tr2bl w:val="nil"/>
                  </w:tcBorders>
                  <w:vAlign w:val="center"/>
                </w:tcPr>
                <w:p w14:paraId="46D51809">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70</w:t>
                  </w:r>
                </w:p>
              </w:tc>
              <w:tc>
                <w:tcPr>
                  <w:tcW w:w="472" w:type="pct"/>
                  <w:tcBorders>
                    <w:tl2br w:val="nil"/>
                    <w:tr2bl w:val="nil"/>
                  </w:tcBorders>
                  <w:vAlign w:val="center"/>
                </w:tcPr>
                <w:p w14:paraId="04856D31">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连续</w:t>
                  </w:r>
                </w:p>
              </w:tc>
            </w:tr>
            <w:tr w14:paraId="70CB63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 w:type="pct"/>
                  <w:tcBorders>
                    <w:tl2br w:val="nil"/>
                    <w:tr2bl w:val="nil"/>
                  </w:tcBorders>
                  <w:vAlign w:val="center"/>
                </w:tcPr>
                <w:p w14:paraId="5F2D21E8">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3</w:t>
                  </w:r>
                </w:p>
              </w:tc>
              <w:tc>
                <w:tcPr>
                  <w:tcW w:w="578" w:type="pct"/>
                  <w:tcBorders>
                    <w:tl2br w:val="nil"/>
                    <w:tr2bl w:val="nil"/>
                  </w:tcBorders>
                  <w:vAlign w:val="center"/>
                </w:tcPr>
                <w:p w14:paraId="12BD5DB0">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搅拌机</w:t>
                  </w:r>
                </w:p>
              </w:tc>
              <w:tc>
                <w:tcPr>
                  <w:tcW w:w="553" w:type="pct"/>
                  <w:tcBorders>
                    <w:tl2br w:val="nil"/>
                    <w:tr2bl w:val="nil"/>
                  </w:tcBorders>
                  <w:vAlign w:val="center"/>
                </w:tcPr>
                <w:p w14:paraId="3A9BC0CE">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85</w:t>
                  </w:r>
                </w:p>
              </w:tc>
              <w:tc>
                <w:tcPr>
                  <w:tcW w:w="516" w:type="pct"/>
                  <w:tcBorders>
                    <w:tl2br w:val="nil"/>
                    <w:tr2bl w:val="nil"/>
                  </w:tcBorders>
                  <w:vAlign w:val="center"/>
                </w:tcPr>
                <w:p w14:paraId="3A28C63D">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cs="Times New Roman"/>
                      <w:color w:val="auto"/>
                      <w:spacing w:val="0"/>
                      <w:w w:val="100"/>
                      <w:kern w:val="0"/>
                      <w:sz w:val="21"/>
                      <w:szCs w:val="21"/>
                      <w:lang w:val="en-US" w:eastAsia="zh-CN" w:bidi="ar-SA"/>
                    </w:rPr>
                    <w:t>5</w:t>
                  </w:r>
                </w:p>
              </w:tc>
              <w:tc>
                <w:tcPr>
                  <w:tcW w:w="576" w:type="dxa"/>
                  <w:tcBorders>
                    <w:tl2br w:val="nil"/>
                    <w:tr2bl w:val="nil"/>
                  </w:tcBorders>
                  <w:vAlign w:val="center"/>
                </w:tcPr>
                <w:p w14:paraId="4443B4F4">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cs="Times New Roman"/>
                      <w:color w:val="auto"/>
                      <w:spacing w:val="0"/>
                      <w:w w:val="100"/>
                      <w:kern w:val="0"/>
                      <w:sz w:val="21"/>
                      <w:szCs w:val="21"/>
                      <w:u w:val="single"/>
                      <w:lang w:val="en-US" w:eastAsia="zh-CN" w:bidi="ar-SA"/>
                    </w:rPr>
                    <w:t>60</w:t>
                  </w:r>
                </w:p>
              </w:tc>
              <w:tc>
                <w:tcPr>
                  <w:tcW w:w="576" w:type="dxa"/>
                  <w:tcBorders>
                    <w:tl2br w:val="nil"/>
                    <w:tr2bl w:val="nil"/>
                  </w:tcBorders>
                  <w:vAlign w:val="center"/>
                </w:tcPr>
                <w:p w14:paraId="0D18CECC">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cs="Times New Roman"/>
                      <w:color w:val="auto"/>
                      <w:spacing w:val="0"/>
                      <w:w w:val="100"/>
                      <w:kern w:val="0"/>
                      <w:sz w:val="21"/>
                      <w:szCs w:val="21"/>
                      <w:u w:val="single"/>
                      <w:lang w:val="en-US" w:eastAsia="zh-CN" w:bidi="ar-SA"/>
                    </w:rPr>
                    <w:t>98</w:t>
                  </w:r>
                </w:p>
              </w:tc>
              <w:tc>
                <w:tcPr>
                  <w:tcW w:w="581" w:type="dxa"/>
                  <w:tcBorders>
                    <w:tl2br w:val="nil"/>
                    <w:tr2bl w:val="nil"/>
                  </w:tcBorders>
                  <w:vAlign w:val="center"/>
                </w:tcPr>
                <w:p w14:paraId="6F054195">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eastAsia="宋体" w:cs="Times New Roman"/>
                      <w:color w:val="auto"/>
                      <w:spacing w:val="0"/>
                      <w:w w:val="100"/>
                      <w:kern w:val="0"/>
                      <w:sz w:val="21"/>
                      <w:szCs w:val="21"/>
                      <w:u w:val="single"/>
                      <w:lang w:val="en-US" w:eastAsia="zh-CN" w:bidi="ar-SA"/>
                    </w:rPr>
                    <w:t>1</w:t>
                  </w:r>
                </w:p>
              </w:tc>
              <w:tc>
                <w:tcPr>
                  <w:tcW w:w="333" w:type="pct"/>
                  <w:tcBorders>
                    <w:tl2br w:val="nil"/>
                    <w:tr2bl w:val="nil"/>
                  </w:tcBorders>
                  <w:vAlign w:val="center"/>
                </w:tcPr>
                <w:p w14:paraId="13B9ACD9">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cs="Times New Roman"/>
                      <w:color w:val="auto"/>
                      <w:spacing w:val="0"/>
                      <w:w w:val="100"/>
                      <w:kern w:val="0"/>
                      <w:sz w:val="21"/>
                      <w:szCs w:val="21"/>
                      <w:lang w:val="en-US" w:eastAsia="zh-CN" w:bidi="ar-SA"/>
                    </w:rPr>
                    <w:t>2</w:t>
                  </w:r>
                  <w:r>
                    <w:rPr>
                      <w:rFonts w:hint="default" w:ascii="Times New Roman" w:hAnsi="Times New Roman" w:eastAsia="宋体" w:cs="Times New Roman"/>
                      <w:color w:val="auto"/>
                      <w:spacing w:val="0"/>
                      <w:w w:val="100"/>
                      <w:kern w:val="0"/>
                      <w:sz w:val="21"/>
                      <w:szCs w:val="21"/>
                      <w:lang w:val="en-US" w:eastAsia="zh-CN" w:bidi="ar-SA"/>
                    </w:rPr>
                    <w:t>台</w:t>
                  </w:r>
                </w:p>
              </w:tc>
              <w:tc>
                <w:tcPr>
                  <w:tcW w:w="858" w:type="pct"/>
                  <w:tcBorders>
                    <w:tl2br w:val="nil"/>
                    <w:tr2bl w:val="nil"/>
                  </w:tcBorders>
                  <w:vAlign w:val="center"/>
                </w:tcPr>
                <w:p w14:paraId="0C2A1695">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潜水作业，基础减震</w:t>
                  </w:r>
                </w:p>
              </w:tc>
              <w:tc>
                <w:tcPr>
                  <w:tcW w:w="425" w:type="pct"/>
                  <w:tcBorders>
                    <w:tl2br w:val="nil"/>
                    <w:tr2bl w:val="nil"/>
                  </w:tcBorders>
                  <w:vAlign w:val="center"/>
                </w:tcPr>
                <w:p w14:paraId="0A21602C">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65</w:t>
                  </w:r>
                </w:p>
              </w:tc>
              <w:tc>
                <w:tcPr>
                  <w:tcW w:w="472" w:type="pct"/>
                  <w:tcBorders>
                    <w:tl2br w:val="nil"/>
                    <w:tr2bl w:val="nil"/>
                  </w:tcBorders>
                  <w:vAlign w:val="center"/>
                </w:tcPr>
                <w:p w14:paraId="57DA764F">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间歇</w:t>
                  </w:r>
                </w:p>
              </w:tc>
            </w:tr>
            <w:tr w14:paraId="48100D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 w:type="pct"/>
                  <w:tcBorders>
                    <w:tl2br w:val="nil"/>
                    <w:tr2bl w:val="nil"/>
                  </w:tcBorders>
                  <w:vAlign w:val="center"/>
                </w:tcPr>
                <w:p w14:paraId="42BFAB95">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4</w:t>
                  </w:r>
                </w:p>
              </w:tc>
              <w:tc>
                <w:tcPr>
                  <w:tcW w:w="578" w:type="pct"/>
                  <w:tcBorders>
                    <w:tl2br w:val="nil"/>
                    <w:tr2bl w:val="nil"/>
                  </w:tcBorders>
                  <w:vAlign w:val="center"/>
                </w:tcPr>
                <w:p w14:paraId="4C21A0B4">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各种水泵</w:t>
                  </w:r>
                </w:p>
              </w:tc>
              <w:tc>
                <w:tcPr>
                  <w:tcW w:w="553" w:type="pct"/>
                  <w:tcBorders>
                    <w:tl2br w:val="nil"/>
                    <w:tr2bl w:val="nil"/>
                  </w:tcBorders>
                  <w:vAlign w:val="center"/>
                </w:tcPr>
                <w:p w14:paraId="63290636">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85</w:t>
                  </w:r>
                </w:p>
              </w:tc>
              <w:tc>
                <w:tcPr>
                  <w:tcW w:w="516" w:type="pct"/>
                  <w:tcBorders>
                    <w:tl2br w:val="nil"/>
                    <w:tr2bl w:val="nil"/>
                  </w:tcBorders>
                  <w:vAlign w:val="center"/>
                </w:tcPr>
                <w:p w14:paraId="4BEFF65B">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cs="Times New Roman"/>
                      <w:color w:val="auto"/>
                      <w:spacing w:val="0"/>
                      <w:w w:val="100"/>
                      <w:kern w:val="0"/>
                      <w:sz w:val="21"/>
                      <w:szCs w:val="21"/>
                      <w:lang w:val="en-US" w:eastAsia="zh-CN" w:bidi="ar-SA"/>
                    </w:rPr>
                    <w:t>4</w:t>
                  </w:r>
                </w:p>
              </w:tc>
              <w:tc>
                <w:tcPr>
                  <w:tcW w:w="576" w:type="dxa"/>
                  <w:tcBorders>
                    <w:tl2br w:val="nil"/>
                    <w:tr2bl w:val="nil"/>
                  </w:tcBorders>
                  <w:vAlign w:val="center"/>
                </w:tcPr>
                <w:p w14:paraId="03272822">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eastAsia="宋体" w:cs="Times New Roman"/>
                      <w:color w:val="auto"/>
                      <w:spacing w:val="0"/>
                      <w:w w:val="100"/>
                      <w:kern w:val="0"/>
                      <w:sz w:val="21"/>
                      <w:szCs w:val="21"/>
                      <w:u w:val="single"/>
                      <w:lang w:val="en-US" w:eastAsia="zh-CN" w:bidi="ar-SA"/>
                    </w:rPr>
                    <w:t>1</w:t>
                  </w:r>
                  <w:r>
                    <w:rPr>
                      <w:rFonts w:hint="eastAsia" w:ascii="Times New Roman" w:hAnsi="Times New Roman" w:cs="Times New Roman"/>
                      <w:color w:val="auto"/>
                      <w:spacing w:val="0"/>
                      <w:w w:val="100"/>
                      <w:kern w:val="0"/>
                      <w:sz w:val="21"/>
                      <w:szCs w:val="21"/>
                      <w:u w:val="single"/>
                      <w:lang w:val="en-US" w:eastAsia="zh-CN" w:bidi="ar-SA"/>
                    </w:rPr>
                    <w:t>1</w:t>
                  </w:r>
                  <w:r>
                    <w:rPr>
                      <w:rFonts w:hint="eastAsia" w:ascii="Times New Roman" w:hAnsi="Times New Roman" w:eastAsia="宋体" w:cs="Times New Roman"/>
                      <w:color w:val="auto"/>
                      <w:spacing w:val="0"/>
                      <w:w w:val="100"/>
                      <w:kern w:val="0"/>
                      <w:sz w:val="21"/>
                      <w:szCs w:val="21"/>
                      <w:u w:val="single"/>
                      <w:lang w:val="en-US" w:eastAsia="zh-CN" w:bidi="ar-SA"/>
                    </w:rPr>
                    <w:t>2</w:t>
                  </w:r>
                </w:p>
              </w:tc>
              <w:tc>
                <w:tcPr>
                  <w:tcW w:w="576" w:type="dxa"/>
                  <w:tcBorders>
                    <w:tl2br w:val="nil"/>
                    <w:tr2bl w:val="nil"/>
                  </w:tcBorders>
                  <w:vAlign w:val="center"/>
                </w:tcPr>
                <w:p w14:paraId="452658C1">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cs="Times New Roman"/>
                      <w:color w:val="auto"/>
                      <w:spacing w:val="0"/>
                      <w:w w:val="100"/>
                      <w:kern w:val="0"/>
                      <w:sz w:val="21"/>
                      <w:szCs w:val="21"/>
                      <w:u w:val="single"/>
                      <w:lang w:val="en-US" w:eastAsia="zh-CN" w:bidi="ar-SA"/>
                    </w:rPr>
                    <w:t>87</w:t>
                  </w:r>
                </w:p>
              </w:tc>
              <w:tc>
                <w:tcPr>
                  <w:tcW w:w="581" w:type="dxa"/>
                  <w:tcBorders>
                    <w:tl2br w:val="nil"/>
                    <w:tr2bl w:val="nil"/>
                  </w:tcBorders>
                  <w:vAlign w:val="center"/>
                </w:tcPr>
                <w:p w14:paraId="7AC3BEF7">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eastAsia="宋体" w:cs="Times New Roman"/>
                      <w:color w:val="auto"/>
                      <w:spacing w:val="0"/>
                      <w:w w:val="100"/>
                      <w:kern w:val="0"/>
                      <w:sz w:val="21"/>
                      <w:szCs w:val="21"/>
                      <w:u w:val="single"/>
                      <w:lang w:val="en-US" w:eastAsia="zh-CN" w:bidi="ar-SA"/>
                    </w:rPr>
                    <w:t>1</w:t>
                  </w:r>
                </w:p>
              </w:tc>
              <w:tc>
                <w:tcPr>
                  <w:tcW w:w="333" w:type="pct"/>
                  <w:tcBorders>
                    <w:tl2br w:val="nil"/>
                    <w:tr2bl w:val="nil"/>
                  </w:tcBorders>
                  <w:vAlign w:val="center"/>
                </w:tcPr>
                <w:p w14:paraId="369A3244">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cs="Times New Roman"/>
                      <w:color w:val="auto"/>
                      <w:spacing w:val="0"/>
                      <w:w w:val="100"/>
                      <w:kern w:val="0"/>
                      <w:sz w:val="21"/>
                      <w:szCs w:val="21"/>
                      <w:lang w:val="en-US" w:eastAsia="zh-CN" w:bidi="ar-SA"/>
                    </w:rPr>
                    <w:t>4</w:t>
                  </w:r>
                  <w:r>
                    <w:rPr>
                      <w:rFonts w:hint="default" w:ascii="Times New Roman" w:hAnsi="Times New Roman" w:eastAsia="宋体" w:cs="Times New Roman"/>
                      <w:color w:val="auto"/>
                      <w:spacing w:val="0"/>
                      <w:w w:val="100"/>
                      <w:kern w:val="0"/>
                      <w:sz w:val="21"/>
                      <w:szCs w:val="21"/>
                      <w:lang w:val="en-US" w:eastAsia="zh-CN" w:bidi="ar-SA"/>
                    </w:rPr>
                    <w:t>台</w:t>
                  </w:r>
                </w:p>
              </w:tc>
              <w:tc>
                <w:tcPr>
                  <w:tcW w:w="858" w:type="pct"/>
                  <w:tcBorders>
                    <w:tl2br w:val="nil"/>
                    <w:tr2bl w:val="nil"/>
                  </w:tcBorders>
                  <w:vAlign w:val="center"/>
                </w:tcPr>
                <w:p w14:paraId="5F897862">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潜水作业，基础减震</w:t>
                  </w:r>
                </w:p>
              </w:tc>
              <w:tc>
                <w:tcPr>
                  <w:tcW w:w="425" w:type="pct"/>
                  <w:tcBorders>
                    <w:tl2br w:val="nil"/>
                    <w:tr2bl w:val="nil"/>
                  </w:tcBorders>
                  <w:vAlign w:val="center"/>
                </w:tcPr>
                <w:p w14:paraId="7F74DE06">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65</w:t>
                  </w:r>
                </w:p>
              </w:tc>
              <w:tc>
                <w:tcPr>
                  <w:tcW w:w="472" w:type="pct"/>
                  <w:tcBorders>
                    <w:tl2br w:val="nil"/>
                    <w:tr2bl w:val="nil"/>
                  </w:tcBorders>
                  <w:vAlign w:val="center"/>
                </w:tcPr>
                <w:p w14:paraId="35BC77A8">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连续</w:t>
                  </w:r>
                </w:p>
              </w:tc>
            </w:tr>
            <w:tr w14:paraId="23DAB6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 w:type="pct"/>
                  <w:tcBorders>
                    <w:tl2br w:val="nil"/>
                    <w:tr2bl w:val="nil"/>
                  </w:tcBorders>
                  <w:vAlign w:val="center"/>
                </w:tcPr>
                <w:p w14:paraId="4FB89A82">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5</w:t>
                  </w:r>
                </w:p>
              </w:tc>
              <w:tc>
                <w:tcPr>
                  <w:tcW w:w="578" w:type="pct"/>
                  <w:tcBorders>
                    <w:tl2br w:val="nil"/>
                    <w:tr2bl w:val="nil"/>
                  </w:tcBorders>
                  <w:vAlign w:val="center"/>
                </w:tcPr>
                <w:p w14:paraId="1A6AB018">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left="0" w:leftChars="0" w:right="0" w:rightChars="0" w:firstLine="0" w:firstLineChars="0"/>
                    <w:jc w:val="center"/>
                    <w:textAlignment w:val="baseline"/>
                    <w:rPr>
                      <w:rFonts w:hint="default" w:ascii="Times New Roman" w:hAnsi="Times New Roman" w:eastAsia="宋体" w:cs="Times New Roman"/>
                      <w:color w:val="auto"/>
                      <w:spacing w:val="0"/>
                      <w:w w:val="100"/>
                      <w:kern w:val="0"/>
                      <w:sz w:val="21"/>
                      <w:szCs w:val="21"/>
                      <w:lang w:val="zh-CN" w:eastAsia="zh-CN" w:bidi="ar-SA"/>
                    </w:rPr>
                  </w:pPr>
                  <w:r>
                    <w:rPr>
                      <w:rFonts w:hint="default" w:ascii="Times New Roman" w:hAnsi="Times New Roman" w:eastAsia="宋体" w:cs="Times New Roman"/>
                      <w:color w:val="auto"/>
                      <w:spacing w:val="0"/>
                      <w:w w:val="100"/>
                      <w:kern w:val="0"/>
                      <w:sz w:val="21"/>
                      <w:szCs w:val="21"/>
                      <w:lang w:val="en-US" w:eastAsia="zh-CN" w:bidi="ar-SA"/>
                    </w:rPr>
                    <w:t>加药计量泵</w:t>
                  </w:r>
                </w:p>
              </w:tc>
              <w:tc>
                <w:tcPr>
                  <w:tcW w:w="553" w:type="pct"/>
                  <w:tcBorders>
                    <w:tl2br w:val="nil"/>
                    <w:tr2bl w:val="nil"/>
                  </w:tcBorders>
                  <w:vAlign w:val="center"/>
                </w:tcPr>
                <w:p w14:paraId="39530C31">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left="0" w:leftChars="0" w:right="0" w:rightChars="0" w:firstLine="0" w:firstLineChars="0"/>
                    <w:jc w:val="center"/>
                    <w:textAlignment w:val="baseline"/>
                    <w:rPr>
                      <w:rFonts w:hint="default" w:ascii="Times New Roman" w:hAnsi="Times New Roman" w:eastAsia="宋体" w:cs="Times New Roman"/>
                      <w:color w:val="auto"/>
                      <w:spacing w:val="0"/>
                      <w:w w:val="100"/>
                      <w:kern w:val="0"/>
                      <w:sz w:val="21"/>
                      <w:szCs w:val="21"/>
                      <w:lang w:val="zh-CN" w:eastAsia="zh-CN" w:bidi="ar-SA"/>
                    </w:rPr>
                  </w:pPr>
                  <w:r>
                    <w:rPr>
                      <w:rFonts w:hint="default" w:ascii="Times New Roman" w:hAnsi="Times New Roman" w:eastAsia="宋体" w:cs="Times New Roman"/>
                      <w:color w:val="auto"/>
                      <w:spacing w:val="0"/>
                      <w:w w:val="100"/>
                      <w:kern w:val="0"/>
                      <w:sz w:val="21"/>
                      <w:szCs w:val="21"/>
                      <w:lang w:val="en-US" w:eastAsia="zh-CN" w:bidi="ar-SA"/>
                    </w:rPr>
                    <w:t>80</w:t>
                  </w:r>
                </w:p>
              </w:tc>
              <w:tc>
                <w:tcPr>
                  <w:tcW w:w="516" w:type="pct"/>
                  <w:tcBorders>
                    <w:tl2br w:val="nil"/>
                    <w:tr2bl w:val="nil"/>
                  </w:tcBorders>
                  <w:vAlign w:val="center"/>
                </w:tcPr>
                <w:p w14:paraId="137FF1A7">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left="0" w:leftChars="0" w:right="0" w:rightChars="0"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cs="Times New Roman"/>
                      <w:color w:val="auto"/>
                      <w:spacing w:val="0"/>
                      <w:w w:val="100"/>
                      <w:kern w:val="0"/>
                      <w:sz w:val="21"/>
                      <w:szCs w:val="21"/>
                      <w:lang w:val="en-US" w:eastAsia="zh-CN" w:bidi="ar-SA"/>
                    </w:rPr>
                    <w:t>4</w:t>
                  </w:r>
                </w:p>
              </w:tc>
              <w:tc>
                <w:tcPr>
                  <w:tcW w:w="576" w:type="dxa"/>
                  <w:tcBorders>
                    <w:tl2br w:val="nil"/>
                    <w:tr2bl w:val="nil"/>
                  </w:tcBorders>
                  <w:vAlign w:val="center"/>
                </w:tcPr>
                <w:p w14:paraId="3D887A12">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eastAsia="宋体" w:cs="Times New Roman"/>
                      <w:color w:val="auto"/>
                      <w:spacing w:val="0"/>
                      <w:w w:val="100"/>
                      <w:kern w:val="0"/>
                      <w:sz w:val="21"/>
                      <w:szCs w:val="21"/>
                      <w:u w:val="single"/>
                      <w:lang w:val="en-US" w:eastAsia="zh-CN" w:bidi="ar-SA"/>
                    </w:rPr>
                    <w:t>1</w:t>
                  </w:r>
                  <w:r>
                    <w:rPr>
                      <w:rFonts w:hint="eastAsia" w:ascii="Times New Roman" w:hAnsi="Times New Roman" w:cs="Times New Roman"/>
                      <w:color w:val="auto"/>
                      <w:spacing w:val="0"/>
                      <w:w w:val="100"/>
                      <w:kern w:val="0"/>
                      <w:sz w:val="21"/>
                      <w:szCs w:val="21"/>
                      <w:u w:val="single"/>
                      <w:lang w:val="en-US" w:eastAsia="zh-CN" w:bidi="ar-SA"/>
                    </w:rPr>
                    <w:t>2</w:t>
                  </w:r>
                  <w:r>
                    <w:rPr>
                      <w:rFonts w:hint="eastAsia" w:ascii="Times New Roman" w:hAnsi="Times New Roman" w:eastAsia="宋体" w:cs="Times New Roman"/>
                      <w:color w:val="auto"/>
                      <w:spacing w:val="0"/>
                      <w:w w:val="100"/>
                      <w:kern w:val="0"/>
                      <w:sz w:val="21"/>
                      <w:szCs w:val="21"/>
                      <w:u w:val="single"/>
                      <w:lang w:val="en-US" w:eastAsia="zh-CN" w:bidi="ar-SA"/>
                    </w:rPr>
                    <w:t>2</w:t>
                  </w:r>
                </w:p>
              </w:tc>
              <w:tc>
                <w:tcPr>
                  <w:tcW w:w="576" w:type="dxa"/>
                  <w:tcBorders>
                    <w:tl2br w:val="nil"/>
                    <w:tr2bl w:val="nil"/>
                  </w:tcBorders>
                  <w:vAlign w:val="center"/>
                </w:tcPr>
                <w:p w14:paraId="67CFA6A7">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eastAsia="宋体" w:cs="Times New Roman"/>
                      <w:color w:val="auto"/>
                      <w:spacing w:val="0"/>
                      <w:w w:val="100"/>
                      <w:kern w:val="0"/>
                      <w:sz w:val="21"/>
                      <w:szCs w:val="21"/>
                      <w:u w:val="single"/>
                      <w:lang w:val="en-US" w:eastAsia="zh-CN" w:bidi="ar-SA"/>
                    </w:rPr>
                    <w:t>9</w:t>
                  </w:r>
                  <w:r>
                    <w:rPr>
                      <w:rFonts w:hint="eastAsia" w:ascii="Times New Roman" w:hAnsi="Times New Roman" w:cs="Times New Roman"/>
                      <w:color w:val="auto"/>
                      <w:spacing w:val="0"/>
                      <w:w w:val="100"/>
                      <w:kern w:val="0"/>
                      <w:sz w:val="21"/>
                      <w:szCs w:val="21"/>
                      <w:u w:val="single"/>
                      <w:lang w:val="en-US" w:eastAsia="zh-CN" w:bidi="ar-SA"/>
                    </w:rPr>
                    <w:t>0</w:t>
                  </w:r>
                </w:p>
              </w:tc>
              <w:tc>
                <w:tcPr>
                  <w:tcW w:w="581" w:type="dxa"/>
                  <w:tcBorders>
                    <w:tl2br w:val="nil"/>
                    <w:tr2bl w:val="nil"/>
                  </w:tcBorders>
                  <w:vAlign w:val="center"/>
                </w:tcPr>
                <w:p w14:paraId="1CDF640E">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eastAsia="宋体" w:cs="Times New Roman"/>
                      <w:color w:val="auto"/>
                      <w:spacing w:val="0"/>
                      <w:w w:val="100"/>
                      <w:kern w:val="0"/>
                      <w:sz w:val="21"/>
                      <w:szCs w:val="21"/>
                      <w:u w:val="single"/>
                      <w:lang w:val="en-US" w:eastAsia="zh-CN" w:bidi="ar-SA"/>
                    </w:rPr>
                    <w:t>1</w:t>
                  </w:r>
                </w:p>
              </w:tc>
              <w:tc>
                <w:tcPr>
                  <w:tcW w:w="333" w:type="pct"/>
                  <w:tcBorders>
                    <w:tl2br w:val="nil"/>
                    <w:tr2bl w:val="nil"/>
                  </w:tcBorders>
                  <w:vAlign w:val="center"/>
                </w:tcPr>
                <w:p w14:paraId="78691B66">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left="0" w:leftChars="0" w:right="0" w:rightChars="0"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cs="Times New Roman"/>
                      <w:color w:val="auto"/>
                      <w:spacing w:val="0"/>
                      <w:w w:val="100"/>
                      <w:kern w:val="0"/>
                      <w:sz w:val="21"/>
                      <w:szCs w:val="21"/>
                      <w:lang w:val="en-US" w:eastAsia="zh-CN" w:bidi="ar-SA"/>
                    </w:rPr>
                    <w:t>2</w:t>
                  </w:r>
                  <w:r>
                    <w:rPr>
                      <w:rFonts w:hint="default" w:ascii="Times New Roman" w:hAnsi="Times New Roman" w:eastAsia="宋体" w:cs="Times New Roman"/>
                      <w:color w:val="auto"/>
                      <w:spacing w:val="0"/>
                      <w:w w:val="100"/>
                      <w:kern w:val="0"/>
                      <w:sz w:val="21"/>
                      <w:szCs w:val="21"/>
                      <w:lang w:val="en-US" w:eastAsia="zh-CN" w:bidi="ar-SA"/>
                    </w:rPr>
                    <w:t>台</w:t>
                  </w:r>
                </w:p>
              </w:tc>
              <w:tc>
                <w:tcPr>
                  <w:tcW w:w="858" w:type="pct"/>
                  <w:tcBorders>
                    <w:tl2br w:val="nil"/>
                    <w:tr2bl w:val="nil"/>
                  </w:tcBorders>
                  <w:vAlign w:val="center"/>
                </w:tcPr>
                <w:p w14:paraId="0FBC385D">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left="0" w:leftChars="0" w:right="0" w:rightChars="0" w:firstLine="0" w:firstLineChars="0"/>
                    <w:jc w:val="center"/>
                    <w:textAlignment w:val="baseline"/>
                    <w:rPr>
                      <w:rFonts w:hint="default" w:ascii="Times New Roman" w:hAnsi="Times New Roman" w:eastAsia="宋体" w:cs="Times New Roman"/>
                      <w:color w:val="auto"/>
                      <w:spacing w:val="0"/>
                      <w:w w:val="100"/>
                      <w:kern w:val="0"/>
                      <w:sz w:val="21"/>
                      <w:szCs w:val="21"/>
                      <w:lang w:val="zh-CN" w:eastAsia="zh-CN" w:bidi="ar-SA"/>
                    </w:rPr>
                  </w:pPr>
                  <w:r>
                    <w:rPr>
                      <w:rFonts w:hint="default" w:ascii="Times New Roman" w:hAnsi="Times New Roman" w:eastAsia="宋体" w:cs="Times New Roman"/>
                      <w:color w:val="auto"/>
                      <w:spacing w:val="0"/>
                      <w:w w:val="100"/>
                      <w:kern w:val="0"/>
                      <w:sz w:val="21"/>
                      <w:szCs w:val="21"/>
                      <w:lang w:val="en-US" w:eastAsia="zh-CN" w:bidi="ar-SA"/>
                    </w:rPr>
                    <w:t>选用低噪设备，基础减震</w:t>
                  </w:r>
                </w:p>
              </w:tc>
              <w:tc>
                <w:tcPr>
                  <w:tcW w:w="425" w:type="pct"/>
                  <w:tcBorders>
                    <w:tl2br w:val="nil"/>
                    <w:tr2bl w:val="nil"/>
                  </w:tcBorders>
                  <w:vAlign w:val="center"/>
                </w:tcPr>
                <w:p w14:paraId="1CE44216">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left="0" w:leftChars="0" w:right="0" w:rightChars="0"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60</w:t>
                  </w:r>
                </w:p>
              </w:tc>
              <w:tc>
                <w:tcPr>
                  <w:tcW w:w="472" w:type="pct"/>
                  <w:tcBorders>
                    <w:tl2br w:val="nil"/>
                    <w:tr2bl w:val="nil"/>
                  </w:tcBorders>
                  <w:vAlign w:val="center"/>
                </w:tcPr>
                <w:p w14:paraId="22A6CDD4">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left="0" w:leftChars="0" w:right="0" w:rightChars="0" w:firstLine="0" w:firstLineChars="0"/>
                    <w:jc w:val="center"/>
                    <w:textAlignment w:val="baseline"/>
                    <w:rPr>
                      <w:rFonts w:hint="default" w:ascii="Times New Roman" w:hAnsi="Times New Roman" w:eastAsia="宋体" w:cs="Times New Roman"/>
                      <w:color w:val="auto"/>
                      <w:spacing w:val="0"/>
                      <w:w w:val="100"/>
                      <w:kern w:val="0"/>
                      <w:sz w:val="21"/>
                      <w:szCs w:val="21"/>
                      <w:lang w:val="zh-CN" w:eastAsia="zh-CN" w:bidi="ar-SA"/>
                    </w:rPr>
                  </w:pPr>
                  <w:r>
                    <w:rPr>
                      <w:rFonts w:hint="default" w:ascii="Times New Roman" w:hAnsi="Times New Roman" w:eastAsia="宋体" w:cs="Times New Roman"/>
                      <w:color w:val="auto"/>
                      <w:spacing w:val="0"/>
                      <w:w w:val="100"/>
                      <w:kern w:val="0"/>
                      <w:sz w:val="21"/>
                      <w:szCs w:val="21"/>
                      <w:lang w:val="en-US" w:eastAsia="zh-CN" w:bidi="ar-SA"/>
                    </w:rPr>
                    <w:t>连续</w:t>
                  </w:r>
                </w:p>
              </w:tc>
            </w:tr>
            <w:tr w14:paraId="046CA60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8" w:type="pct"/>
                  <w:tcBorders>
                    <w:tl2br w:val="nil"/>
                    <w:tr2bl w:val="nil"/>
                  </w:tcBorders>
                  <w:vAlign w:val="center"/>
                </w:tcPr>
                <w:p w14:paraId="754AE9DA">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6</w:t>
                  </w:r>
                </w:p>
              </w:tc>
              <w:tc>
                <w:tcPr>
                  <w:tcW w:w="578" w:type="pct"/>
                  <w:tcBorders>
                    <w:tl2br w:val="nil"/>
                    <w:tr2bl w:val="nil"/>
                  </w:tcBorders>
                  <w:vAlign w:val="center"/>
                </w:tcPr>
                <w:p w14:paraId="25B596A6">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left="0" w:leftChars="0" w:right="0" w:rightChars="0"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噪声叠加值</w:t>
                  </w:r>
                </w:p>
              </w:tc>
              <w:tc>
                <w:tcPr>
                  <w:tcW w:w="553" w:type="pct"/>
                  <w:tcBorders>
                    <w:tl2br w:val="nil"/>
                    <w:tr2bl w:val="nil"/>
                  </w:tcBorders>
                  <w:vAlign w:val="center"/>
                </w:tcPr>
                <w:p w14:paraId="5DF0BB50">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left="0" w:leftChars="0" w:right="0" w:rightChars="0"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95.6</w:t>
                  </w:r>
                </w:p>
              </w:tc>
              <w:tc>
                <w:tcPr>
                  <w:tcW w:w="516" w:type="pct"/>
                  <w:tcBorders>
                    <w:tl2br w:val="nil"/>
                    <w:tr2bl w:val="nil"/>
                  </w:tcBorders>
                  <w:vAlign w:val="center"/>
                </w:tcPr>
                <w:p w14:paraId="0DFED7C4">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left="0" w:leftChars="0" w:right="0" w:rightChars="0"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cs="Times New Roman"/>
                      <w:color w:val="auto"/>
                      <w:spacing w:val="0"/>
                      <w:w w:val="100"/>
                      <w:kern w:val="0"/>
                      <w:sz w:val="21"/>
                      <w:szCs w:val="21"/>
                      <w:lang w:val="en-US" w:eastAsia="zh-CN" w:bidi="ar-SA"/>
                    </w:rPr>
                    <w:t>/</w:t>
                  </w:r>
                </w:p>
              </w:tc>
              <w:tc>
                <w:tcPr>
                  <w:tcW w:w="333" w:type="pct"/>
                  <w:tcBorders>
                    <w:tl2br w:val="nil"/>
                    <w:tr2bl w:val="nil"/>
                  </w:tcBorders>
                  <w:vAlign w:val="center"/>
                </w:tcPr>
                <w:p w14:paraId="663502C3">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left="0" w:leftChars="0" w:right="0" w:rightChars="0"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cs="Times New Roman"/>
                      <w:color w:val="auto"/>
                      <w:spacing w:val="0"/>
                      <w:w w:val="100"/>
                      <w:kern w:val="0"/>
                      <w:sz w:val="21"/>
                      <w:szCs w:val="21"/>
                      <w:lang w:val="en-US" w:eastAsia="zh-CN" w:bidi="ar-SA"/>
                    </w:rPr>
                    <w:t>/</w:t>
                  </w:r>
                </w:p>
              </w:tc>
              <w:tc>
                <w:tcPr>
                  <w:tcW w:w="333" w:type="pct"/>
                  <w:tcBorders>
                    <w:tl2br w:val="nil"/>
                    <w:tr2bl w:val="nil"/>
                  </w:tcBorders>
                  <w:vAlign w:val="center"/>
                </w:tcPr>
                <w:p w14:paraId="5AD9BC49">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left="0" w:leftChars="0" w:right="0" w:rightChars="0"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cs="Times New Roman"/>
                      <w:color w:val="auto"/>
                      <w:spacing w:val="0"/>
                      <w:w w:val="100"/>
                      <w:kern w:val="0"/>
                      <w:sz w:val="21"/>
                      <w:szCs w:val="21"/>
                      <w:lang w:val="en-US" w:eastAsia="zh-CN" w:bidi="ar-SA"/>
                    </w:rPr>
                    <w:t>/</w:t>
                  </w:r>
                </w:p>
              </w:tc>
              <w:tc>
                <w:tcPr>
                  <w:tcW w:w="336" w:type="pct"/>
                  <w:tcBorders>
                    <w:tl2br w:val="nil"/>
                    <w:tr2bl w:val="nil"/>
                  </w:tcBorders>
                  <w:vAlign w:val="center"/>
                </w:tcPr>
                <w:p w14:paraId="3034C395">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left="0" w:leftChars="0" w:right="0" w:rightChars="0"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cs="Times New Roman"/>
                      <w:color w:val="auto"/>
                      <w:spacing w:val="0"/>
                      <w:w w:val="100"/>
                      <w:kern w:val="0"/>
                      <w:sz w:val="21"/>
                      <w:szCs w:val="21"/>
                      <w:lang w:val="en-US" w:eastAsia="zh-CN" w:bidi="ar-SA"/>
                    </w:rPr>
                    <w:t>/</w:t>
                  </w:r>
                </w:p>
              </w:tc>
              <w:tc>
                <w:tcPr>
                  <w:tcW w:w="333" w:type="pct"/>
                  <w:tcBorders>
                    <w:tl2br w:val="nil"/>
                    <w:tr2bl w:val="nil"/>
                  </w:tcBorders>
                  <w:vAlign w:val="center"/>
                </w:tcPr>
                <w:p w14:paraId="7C5403FA">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left="0" w:leftChars="0" w:right="0" w:rightChars="0"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w:t>
                  </w:r>
                </w:p>
              </w:tc>
              <w:tc>
                <w:tcPr>
                  <w:tcW w:w="858" w:type="pct"/>
                  <w:tcBorders>
                    <w:tl2br w:val="nil"/>
                    <w:tr2bl w:val="nil"/>
                  </w:tcBorders>
                  <w:vAlign w:val="center"/>
                </w:tcPr>
                <w:p w14:paraId="6C43978F">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left="0" w:leftChars="0" w:right="0" w:rightChars="0"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w:t>
                  </w:r>
                </w:p>
              </w:tc>
              <w:tc>
                <w:tcPr>
                  <w:tcW w:w="425" w:type="pct"/>
                  <w:tcBorders>
                    <w:tl2br w:val="nil"/>
                    <w:tr2bl w:val="nil"/>
                  </w:tcBorders>
                  <w:vAlign w:val="center"/>
                </w:tcPr>
                <w:p w14:paraId="3A0C2977">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left="0" w:leftChars="0" w:right="0" w:rightChars="0"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75.6</w:t>
                  </w:r>
                </w:p>
              </w:tc>
              <w:tc>
                <w:tcPr>
                  <w:tcW w:w="472" w:type="pct"/>
                  <w:tcBorders>
                    <w:tl2br w:val="nil"/>
                    <w:tr2bl w:val="nil"/>
                  </w:tcBorders>
                  <w:vAlign w:val="center"/>
                </w:tcPr>
                <w:p w14:paraId="2DB97A1E">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left="0" w:leftChars="0" w:right="0" w:rightChars="0"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w:t>
                  </w:r>
                </w:p>
              </w:tc>
            </w:tr>
          </w:tbl>
          <w:p w14:paraId="3B51427D">
            <w:pPr>
              <w:adjustRightInd w:val="0"/>
              <w:snapToGrid w:val="0"/>
              <w:spacing w:line="360" w:lineRule="auto"/>
              <w:ind w:firstLine="480" w:firstLineChars="200"/>
              <w:rPr>
                <w:rFonts w:hint="eastAsia"/>
                <w:color w:val="auto"/>
                <w:sz w:val="24"/>
                <w:szCs w:val="20"/>
                <w:u w:val="single"/>
              </w:rPr>
            </w:pPr>
            <w:r>
              <w:rPr>
                <w:rFonts w:hint="eastAsia"/>
                <w:color w:val="auto"/>
                <w:sz w:val="24"/>
                <w:szCs w:val="20"/>
                <w:u w:val="single"/>
              </w:rPr>
              <w:t>本次噪声预测计算从偏保守出发，只考虑声波随距离的衰减Adiv，以保证实际效果优于预测结果。</w:t>
            </w:r>
          </w:p>
          <w:p w14:paraId="01514352">
            <w:pPr>
              <w:adjustRightInd w:val="0"/>
              <w:snapToGrid w:val="0"/>
              <w:spacing w:line="360" w:lineRule="auto"/>
              <w:ind w:firstLine="480" w:firstLineChars="200"/>
              <w:rPr>
                <w:rFonts w:hint="eastAsia"/>
                <w:color w:val="auto"/>
                <w:sz w:val="24"/>
                <w:szCs w:val="20"/>
                <w:u w:val="single"/>
                <w:lang w:eastAsia="zh-CN"/>
              </w:rPr>
            </w:pPr>
            <w:r>
              <w:rPr>
                <w:rFonts w:hint="eastAsia"/>
                <w:color w:val="auto"/>
                <w:sz w:val="24"/>
                <w:szCs w:val="20"/>
                <w:u w:val="single"/>
              </w:rPr>
              <w:t>预测模式根据《环境影响评价技术导则声环境》（HJ2.4-20</w:t>
            </w:r>
            <w:r>
              <w:rPr>
                <w:rFonts w:hint="eastAsia"/>
                <w:color w:val="auto"/>
                <w:sz w:val="24"/>
                <w:szCs w:val="20"/>
                <w:u w:val="single"/>
                <w:lang w:val="en-US" w:eastAsia="zh-CN"/>
              </w:rPr>
              <w:t>21</w:t>
            </w:r>
            <w:r>
              <w:rPr>
                <w:rFonts w:hint="eastAsia"/>
                <w:color w:val="auto"/>
                <w:sz w:val="24"/>
                <w:szCs w:val="20"/>
                <w:u w:val="single"/>
              </w:rPr>
              <w:t>）推荐的公式</w:t>
            </w:r>
          </w:p>
          <w:p w14:paraId="4F56D54A">
            <w:pPr>
              <w:adjustRightInd w:val="0"/>
              <w:snapToGrid w:val="0"/>
              <w:spacing w:line="360" w:lineRule="auto"/>
              <w:ind w:firstLine="480" w:firstLineChars="200"/>
              <w:rPr>
                <w:rFonts w:hint="eastAsia"/>
                <w:color w:val="auto"/>
                <w:sz w:val="24"/>
                <w:szCs w:val="20"/>
                <w:u w:val="single"/>
              </w:rPr>
            </w:pPr>
            <w:r>
              <w:rPr>
                <w:rFonts w:hint="eastAsia"/>
                <w:color w:val="auto"/>
                <w:sz w:val="24"/>
                <w:szCs w:val="20"/>
                <w:u w:val="single"/>
              </w:rPr>
              <w:t>LA（r）=LA（r0）—（Adiv+Aatm+Abar+Agr+Amisc）</w:t>
            </w:r>
            <w:r>
              <w:rPr>
                <w:rFonts w:hint="eastAsia"/>
                <w:color w:val="auto"/>
                <w:sz w:val="24"/>
                <w:szCs w:val="20"/>
                <w:u w:val="single"/>
                <w:lang w:val="en-US" w:eastAsia="zh-CN"/>
              </w:rPr>
              <w:t>........</w:t>
            </w:r>
            <w:r>
              <w:rPr>
                <w:rFonts w:hint="eastAsia"/>
                <w:color w:val="auto"/>
                <w:sz w:val="24"/>
                <w:szCs w:val="20"/>
                <w:u w:val="single"/>
              </w:rPr>
              <w:t>（1）</w:t>
            </w:r>
          </w:p>
          <w:p w14:paraId="2A1AD46B">
            <w:pPr>
              <w:adjustRightInd w:val="0"/>
              <w:snapToGrid w:val="0"/>
              <w:spacing w:line="360" w:lineRule="auto"/>
              <w:ind w:firstLine="480" w:firstLineChars="200"/>
              <w:rPr>
                <w:rFonts w:hint="eastAsia"/>
                <w:color w:val="auto"/>
                <w:sz w:val="24"/>
                <w:szCs w:val="20"/>
                <w:u w:val="single"/>
              </w:rPr>
            </w:pPr>
            <w:r>
              <w:rPr>
                <w:rFonts w:hint="eastAsia"/>
                <w:color w:val="auto"/>
                <w:sz w:val="24"/>
                <w:szCs w:val="20"/>
                <w:u w:val="single"/>
              </w:rPr>
              <w:t>本次噪声预测计算将从偏保守角度出发，仅考虑声波随距离的衰减Adiv</w:t>
            </w:r>
          </w:p>
          <w:p w14:paraId="76820EBE">
            <w:pPr>
              <w:adjustRightInd w:val="0"/>
              <w:snapToGrid w:val="0"/>
              <w:spacing w:line="360" w:lineRule="auto"/>
              <w:ind w:firstLine="480" w:firstLineChars="200"/>
              <w:rPr>
                <w:rFonts w:hint="eastAsia"/>
                <w:color w:val="auto"/>
                <w:sz w:val="24"/>
                <w:szCs w:val="20"/>
                <w:u w:val="single"/>
                <w:lang w:eastAsia="zh-CN"/>
              </w:rPr>
            </w:pPr>
            <w:r>
              <w:rPr>
                <w:rFonts w:hint="eastAsia"/>
                <w:color w:val="auto"/>
                <w:sz w:val="24"/>
                <w:szCs w:val="20"/>
                <w:u w:val="single"/>
              </w:rPr>
              <w:t>对单个点声源的几何衰减用以下公式计算</w:t>
            </w:r>
          </w:p>
          <w:p w14:paraId="69E595BF">
            <w:pPr>
              <w:adjustRightInd w:val="0"/>
              <w:snapToGrid w:val="0"/>
              <w:spacing w:line="360" w:lineRule="auto"/>
              <w:ind w:firstLine="480" w:firstLineChars="200"/>
              <w:rPr>
                <w:rFonts w:hint="eastAsia"/>
                <w:color w:val="auto"/>
                <w:sz w:val="24"/>
                <w:szCs w:val="20"/>
                <w:u w:val="single"/>
              </w:rPr>
            </w:pPr>
            <w:r>
              <w:rPr>
                <w:rFonts w:hint="eastAsia"/>
                <w:color w:val="auto"/>
                <w:sz w:val="24"/>
                <w:szCs w:val="20"/>
                <w:u w:val="single"/>
              </w:rPr>
              <w:t xml:space="preserve">LA（r）= LA（r0）-20lg(r/r0) </w:t>
            </w:r>
            <w:r>
              <w:rPr>
                <w:rFonts w:hint="eastAsia"/>
                <w:color w:val="auto"/>
                <w:sz w:val="24"/>
                <w:szCs w:val="20"/>
                <w:u w:val="single"/>
                <w:lang w:val="en-US" w:eastAsia="zh-CN"/>
              </w:rPr>
              <w:t>..........</w:t>
            </w:r>
            <w:r>
              <w:rPr>
                <w:rFonts w:hint="eastAsia"/>
                <w:color w:val="auto"/>
                <w:sz w:val="24"/>
                <w:szCs w:val="20"/>
                <w:u w:val="single"/>
              </w:rPr>
              <w:t>（2）</w:t>
            </w:r>
          </w:p>
          <w:p w14:paraId="3FB5EBFC">
            <w:pPr>
              <w:adjustRightInd w:val="0"/>
              <w:snapToGrid w:val="0"/>
              <w:spacing w:line="360" w:lineRule="auto"/>
              <w:ind w:firstLine="480" w:firstLineChars="200"/>
              <w:rPr>
                <w:rFonts w:hint="eastAsia"/>
                <w:color w:val="auto"/>
                <w:sz w:val="24"/>
                <w:szCs w:val="20"/>
                <w:u w:val="single"/>
                <w:lang w:eastAsia="zh-CN"/>
              </w:rPr>
            </w:pPr>
            <w:r>
              <w:rPr>
                <w:rFonts w:hint="eastAsia"/>
                <w:color w:val="auto"/>
                <w:sz w:val="24"/>
                <w:szCs w:val="20"/>
                <w:u w:val="single"/>
              </w:rPr>
              <w:t>两个以上的多个噪声源同时存在时，总声级计算公式为</w:t>
            </w:r>
          </w:p>
          <w:p w14:paraId="272BF9E2">
            <w:pPr>
              <w:adjustRightInd w:val="0"/>
              <w:snapToGrid w:val="0"/>
              <w:spacing w:line="360" w:lineRule="auto"/>
              <w:ind w:firstLine="480" w:firstLineChars="200"/>
              <w:rPr>
                <w:rFonts w:hint="eastAsia"/>
                <w:color w:val="auto"/>
                <w:sz w:val="24"/>
                <w:szCs w:val="20"/>
                <w:u w:val="single"/>
              </w:rPr>
            </w:pPr>
            <w:r>
              <w:rPr>
                <w:rFonts w:hint="eastAsia"/>
                <w:color w:val="auto"/>
                <w:sz w:val="24"/>
                <w:szCs w:val="20"/>
                <w:u w:val="single"/>
              </w:rPr>
              <w:drawing>
                <wp:inline distT="0" distB="0" distL="0" distR="0">
                  <wp:extent cx="1440180" cy="424180"/>
                  <wp:effectExtent l="0" t="0" r="7620" b="1397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28" cstate="print">
                            <a:extLst>
                              <a:ext uri="{28A0092B-C50C-407E-A947-70E740481C1C}">
                                <a14:useLocalDpi xmlns:a14="http://schemas.microsoft.com/office/drawing/2010/main" val="0"/>
                              </a:ext>
                            </a:extLst>
                          </a:blip>
                          <a:srcRect t="13686" b="9138"/>
                          <a:stretch>
                            <a:fillRect/>
                          </a:stretch>
                        </pic:blipFill>
                        <pic:spPr>
                          <a:xfrm>
                            <a:off x="0" y="0"/>
                            <a:ext cx="1440180" cy="424180"/>
                          </a:xfrm>
                          <a:prstGeom prst="rect">
                            <a:avLst/>
                          </a:prstGeom>
                          <a:noFill/>
                          <a:ln>
                            <a:noFill/>
                          </a:ln>
                        </pic:spPr>
                      </pic:pic>
                    </a:graphicData>
                  </a:graphic>
                </wp:inline>
              </w:drawing>
            </w:r>
            <w:r>
              <w:rPr>
                <w:rFonts w:hint="eastAsia"/>
                <w:color w:val="auto"/>
                <w:sz w:val="24"/>
                <w:szCs w:val="20"/>
                <w:u w:val="single"/>
                <w:lang w:val="en-US" w:eastAsia="zh-CN"/>
              </w:rPr>
              <w:t>..........</w:t>
            </w:r>
            <w:r>
              <w:rPr>
                <w:rFonts w:hint="eastAsia"/>
                <w:color w:val="auto"/>
                <w:sz w:val="24"/>
                <w:szCs w:val="20"/>
                <w:u w:val="single"/>
              </w:rPr>
              <w:t>（3）</w:t>
            </w:r>
          </w:p>
          <w:p w14:paraId="0782C040">
            <w:pPr>
              <w:adjustRightInd w:val="0"/>
              <w:snapToGrid w:val="0"/>
              <w:spacing w:line="360" w:lineRule="auto"/>
              <w:ind w:firstLine="480" w:firstLineChars="200"/>
              <w:rPr>
                <w:rFonts w:hint="eastAsia"/>
                <w:color w:val="auto"/>
                <w:sz w:val="24"/>
                <w:szCs w:val="20"/>
                <w:u w:val="single"/>
                <w:lang w:eastAsia="zh-CN"/>
              </w:rPr>
            </w:pPr>
            <w:r>
              <w:rPr>
                <w:rFonts w:hint="eastAsia"/>
                <w:color w:val="auto"/>
                <w:sz w:val="24"/>
                <w:szCs w:val="20"/>
                <w:u w:val="single"/>
              </w:rPr>
              <w:t>以上式中</w:t>
            </w:r>
          </w:p>
          <w:p w14:paraId="224BF18A">
            <w:pPr>
              <w:adjustRightInd w:val="0"/>
              <w:snapToGrid w:val="0"/>
              <w:spacing w:line="360" w:lineRule="auto"/>
              <w:ind w:firstLine="480" w:firstLineChars="200"/>
              <w:rPr>
                <w:rFonts w:hint="eastAsia"/>
                <w:color w:val="auto"/>
                <w:sz w:val="24"/>
                <w:szCs w:val="20"/>
                <w:u w:val="single"/>
              </w:rPr>
            </w:pPr>
            <w:r>
              <w:rPr>
                <w:rFonts w:hint="eastAsia"/>
                <w:color w:val="auto"/>
                <w:sz w:val="24"/>
                <w:szCs w:val="20"/>
                <w:u w:val="single"/>
              </w:rPr>
              <w:t>r 预测点到声源的距离；</w:t>
            </w:r>
          </w:p>
          <w:p w14:paraId="0368D6B8">
            <w:pPr>
              <w:adjustRightInd w:val="0"/>
              <w:snapToGrid w:val="0"/>
              <w:spacing w:line="360" w:lineRule="auto"/>
              <w:ind w:firstLine="480" w:firstLineChars="200"/>
              <w:rPr>
                <w:rFonts w:hint="eastAsia"/>
                <w:color w:val="auto"/>
                <w:sz w:val="24"/>
                <w:szCs w:val="20"/>
                <w:u w:val="single"/>
              </w:rPr>
            </w:pPr>
            <w:r>
              <w:rPr>
                <w:rFonts w:hint="eastAsia"/>
                <w:color w:val="auto"/>
                <w:sz w:val="24"/>
                <w:szCs w:val="20"/>
                <w:u w:val="single"/>
              </w:rPr>
              <w:t>Adiv距离衰减，dB(A)；</w:t>
            </w:r>
          </w:p>
          <w:p w14:paraId="2AAB0B0E">
            <w:pPr>
              <w:adjustRightInd w:val="0"/>
              <w:snapToGrid w:val="0"/>
              <w:spacing w:line="360" w:lineRule="auto"/>
              <w:ind w:firstLine="480" w:firstLineChars="200"/>
              <w:rPr>
                <w:rFonts w:hint="eastAsia"/>
                <w:color w:val="auto"/>
                <w:sz w:val="24"/>
                <w:szCs w:val="20"/>
                <w:u w:val="single"/>
              </w:rPr>
            </w:pPr>
            <w:r>
              <w:rPr>
                <w:rFonts w:hint="eastAsia"/>
                <w:color w:val="auto"/>
                <w:sz w:val="24"/>
                <w:szCs w:val="20"/>
                <w:u w:val="single"/>
              </w:rPr>
              <w:t>Aatm 空气吸收衰减，dB；</w:t>
            </w:r>
          </w:p>
          <w:p w14:paraId="196A4D1B">
            <w:pPr>
              <w:adjustRightInd w:val="0"/>
              <w:snapToGrid w:val="0"/>
              <w:spacing w:line="360" w:lineRule="auto"/>
              <w:ind w:firstLine="480" w:firstLineChars="200"/>
              <w:rPr>
                <w:rFonts w:hint="eastAsia"/>
                <w:color w:val="auto"/>
                <w:sz w:val="24"/>
                <w:szCs w:val="20"/>
                <w:u w:val="single"/>
              </w:rPr>
            </w:pPr>
            <w:r>
              <w:rPr>
                <w:rFonts w:hint="eastAsia"/>
                <w:color w:val="auto"/>
                <w:sz w:val="24"/>
                <w:szCs w:val="20"/>
                <w:u w:val="single"/>
              </w:rPr>
              <w:t>Abar 遮挡物衰减，dB(A)；</w:t>
            </w:r>
          </w:p>
          <w:p w14:paraId="7309BF85">
            <w:pPr>
              <w:adjustRightInd w:val="0"/>
              <w:snapToGrid w:val="0"/>
              <w:spacing w:line="360" w:lineRule="auto"/>
              <w:ind w:firstLine="480" w:firstLineChars="200"/>
              <w:rPr>
                <w:rFonts w:hint="eastAsia"/>
                <w:color w:val="auto"/>
                <w:sz w:val="24"/>
                <w:szCs w:val="20"/>
                <w:u w:val="single"/>
              </w:rPr>
            </w:pPr>
            <w:r>
              <w:rPr>
                <w:rFonts w:hint="eastAsia"/>
                <w:color w:val="auto"/>
                <w:sz w:val="24"/>
                <w:szCs w:val="20"/>
                <w:u w:val="single"/>
              </w:rPr>
              <w:t>Agr地面效应，dB(A)；</w:t>
            </w:r>
          </w:p>
          <w:p w14:paraId="6A16C674">
            <w:pPr>
              <w:adjustRightInd w:val="0"/>
              <w:snapToGrid w:val="0"/>
              <w:spacing w:line="360" w:lineRule="auto"/>
              <w:ind w:firstLine="480" w:firstLineChars="200"/>
              <w:rPr>
                <w:rFonts w:hint="eastAsia"/>
                <w:color w:val="auto"/>
                <w:sz w:val="24"/>
                <w:szCs w:val="20"/>
                <w:u w:val="single"/>
              </w:rPr>
            </w:pPr>
            <w:r>
              <w:rPr>
                <w:rFonts w:hint="eastAsia"/>
                <w:color w:val="auto"/>
                <w:sz w:val="24"/>
                <w:szCs w:val="20"/>
                <w:u w:val="single"/>
              </w:rPr>
              <w:t>Amisc 其他多方面效应，dB(A)；</w:t>
            </w:r>
          </w:p>
          <w:p w14:paraId="1E4CBB90">
            <w:pPr>
              <w:adjustRightInd w:val="0"/>
              <w:snapToGrid w:val="0"/>
              <w:spacing w:line="360" w:lineRule="auto"/>
              <w:ind w:firstLine="480" w:firstLineChars="200"/>
              <w:rPr>
                <w:rFonts w:hint="eastAsia"/>
                <w:color w:val="auto"/>
                <w:sz w:val="24"/>
                <w:szCs w:val="20"/>
                <w:u w:val="single"/>
              </w:rPr>
            </w:pPr>
            <w:r>
              <w:rPr>
                <w:rFonts w:hint="eastAsia"/>
                <w:color w:val="auto"/>
                <w:sz w:val="24"/>
                <w:szCs w:val="20"/>
                <w:u w:val="single"/>
              </w:rPr>
              <w:t>L（r）声源衰减至r处的声级，dB(A)；</w:t>
            </w:r>
          </w:p>
          <w:p w14:paraId="372373B3">
            <w:pPr>
              <w:adjustRightInd w:val="0"/>
              <w:snapToGrid w:val="0"/>
              <w:spacing w:line="360" w:lineRule="auto"/>
              <w:ind w:firstLine="480" w:firstLineChars="200"/>
              <w:rPr>
                <w:rFonts w:hint="eastAsia"/>
                <w:color w:val="auto"/>
                <w:sz w:val="24"/>
                <w:szCs w:val="20"/>
                <w:u w:val="single"/>
              </w:rPr>
            </w:pPr>
            <w:r>
              <w:rPr>
                <w:rFonts w:hint="eastAsia"/>
                <w:color w:val="auto"/>
                <w:sz w:val="24"/>
                <w:szCs w:val="20"/>
                <w:u w:val="single"/>
              </w:rPr>
              <w:t>LA（r0）声源在参考距离r0处的声级；</w:t>
            </w:r>
          </w:p>
          <w:p w14:paraId="66C57AA9">
            <w:pPr>
              <w:adjustRightInd w:val="0"/>
              <w:snapToGrid w:val="0"/>
              <w:spacing w:line="360" w:lineRule="auto"/>
              <w:ind w:firstLine="480" w:firstLineChars="200"/>
              <w:rPr>
                <w:rFonts w:hint="eastAsia"/>
                <w:color w:val="auto"/>
                <w:sz w:val="24"/>
                <w:szCs w:val="20"/>
                <w:u w:val="single"/>
              </w:rPr>
            </w:pPr>
            <w:r>
              <w:rPr>
                <w:rFonts w:hint="eastAsia"/>
                <w:color w:val="auto"/>
                <w:sz w:val="24"/>
                <w:szCs w:val="20"/>
                <w:u w:val="single"/>
              </w:rPr>
              <w:t>r0预测参考距离，m；</w:t>
            </w:r>
          </w:p>
          <w:p w14:paraId="192140E6">
            <w:pPr>
              <w:adjustRightInd w:val="0"/>
              <w:snapToGrid w:val="0"/>
              <w:spacing w:line="360" w:lineRule="auto"/>
              <w:ind w:firstLine="480" w:firstLineChars="200"/>
              <w:rPr>
                <w:rFonts w:hint="eastAsia"/>
                <w:color w:val="auto"/>
                <w:sz w:val="24"/>
                <w:szCs w:val="20"/>
                <w:u w:val="single"/>
              </w:rPr>
            </w:pPr>
            <w:r>
              <w:rPr>
                <w:rFonts w:hint="eastAsia"/>
                <w:color w:val="auto"/>
                <w:sz w:val="24"/>
                <w:szCs w:val="20"/>
                <w:u w:val="single"/>
              </w:rPr>
              <w:t>L0预测点的噪声现状值，dB(A)。</w:t>
            </w:r>
          </w:p>
          <w:p w14:paraId="70BC3E3F">
            <w:pPr>
              <w:adjustRightInd w:val="0"/>
              <w:snapToGrid w:val="0"/>
              <w:spacing w:line="360" w:lineRule="auto"/>
              <w:ind w:firstLine="480" w:firstLineChars="200"/>
              <w:rPr>
                <w:rFonts w:hint="eastAsia" w:eastAsia="宋体"/>
                <w:color w:val="auto"/>
                <w:sz w:val="24"/>
                <w:szCs w:val="20"/>
                <w:u w:val="single"/>
                <w:lang w:eastAsia="zh-CN"/>
              </w:rPr>
            </w:pPr>
            <w:r>
              <w:rPr>
                <w:rFonts w:hint="eastAsia"/>
                <w:color w:val="auto"/>
                <w:sz w:val="24"/>
                <w:szCs w:val="20"/>
                <w:u w:val="single"/>
              </w:rPr>
              <w:t>本次噪声预测计算从偏保守出发，只考虑声波随距离的衰减Adiv，以保证实际效果优于预测结果。根据噪声源的具体分布以及距预测点的距离，利用上面的预测模式进行计算</w:t>
            </w:r>
            <w:r>
              <w:rPr>
                <w:rFonts w:hint="eastAsia"/>
                <w:color w:val="auto"/>
                <w:sz w:val="24"/>
                <w:szCs w:val="20"/>
                <w:u w:val="single"/>
                <w:lang w:eastAsia="zh-CN"/>
              </w:rPr>
              <w:t>。</w:t>
            </w:r>
          </w:p>
          <w:p w14:paraId="60C42D46">
            <w:pPr>
              <w:adjustRightInd w:val="0"/>
              <w:snapToGrid w:val="0"/>
              <w:spacing w:line="360" w:lineRule="auto"/>
              <w:ind w:firstLine="480" w:firstLineChars="200"/>
              <w:rPr>
                <w:rFonts w:hint="eastAsia"/>
                <w:color w:val="auto"/>
                <w:sz w:val="24"/>
                <w:szCs w:val="20"/>
              </w:rPr>
            </w:pPr>
            <w:r>
              <w:rPr>
                <w:rFonts w:hint="eastAsia"/>
                <w:color w:val="auto"/>
                <w:sz w:val="24"/>
                <w:szCs w:val="20"/>
              </w:rPr>
              <w:t>根据噪声源的具体分布以及距预测点的距离，利用上面的预测模式进行计算，结果见表</w:t>
            </w:r>
            <w:r>
              <w:rPr>
                <w:rFonts w:hint="eastAsia"/>
                <w:color w:val="auto"/>
                <w:sz w:val="24"/>
                <w:szCs w:val="20"/>
                <w:lang w:val="en-US" w:eastAsia="zh-CN"/>
              </w:rPr>
              <w:t>4</w:t>
            </w:r>
            <w:r>
              <w:rPr>
                <w:rFonts w:hint="eastAsia"/>
                <w:color w:val="auto"/>
                <w:sz w:val="24"/>
                <w:szCs w:val="20"/>
              </w:rPr>
              <w:t>-</w:t>
            </w:r>
            <w:r>
              <w:rPr>
                <w:rFonts w:hint="eastAsia"/>
                <w:color w:val="auto"/>
                <w:sz w:val="24"/>
                <w:szCs w:val="20"/>
                <w:lang w:val="en-US" w:eastAsia="zh-CN"/>
              </w:rPr>
              <w:t>9</w:t>
            </w:r>
            <w:r>
              <w:rPr>
                <w:rFonts w:hint="eastAsia"/>
                <w:color w:val="auto"/>
                <w:sz w:val="24"/>
                <w:szCs w:val="20"/>
              </w:rPr>
              <w:t xml:space="preserve">。 </w:t>
            </w:r>
          </w:p>
          <w:p w14:paraId="21484E46">
            <w:pPr>
              <w:pStyle w:val="145"/>
              <w:keepNext w:val="0"/>
              <w:keepLines w:val="0"/>
              <w:pageBreakBefore w:val="0"/>
              <w:widowControl w:val="0"/>
              <w:tabs>
                <w:tab w:val="left" w:pos="2976"/>
              </w:tabs>
              <w:kinsoku/>
              <w:wordWrap/>
              <w:overflowPunct/>
              <w:topLinePunct w:val="0"/>
              <w:autoSpaceDE/>
              <w:autoSpaceDN/>
              <w:bidi w:val="0"/>
              <w:adjustRightInd w:val="0"/>
              <w:snapToGrid/>
              <w:spacing w:before="0" w:line="240" w:lineRule="auto"/>
              <w:ind w:firstLine="0" w:firstLineChars="0"/>
              <w:jc w:val="center"/>
              <w:textAlignment w:val="baseline"/>
              <w:rPr>
                <w:rFonts w:hint="eastAsia" w:ascii="Times New Roman" w:hAnsi="Times New Roman" w:eastAsia="宋体" w:cs="Times New Roman"/>
                <w:b/>
                <w:bCs/>
                <w:color w:val="auto"/>
                <w:spacing w:val="0"/>
                <w:w w:val="100"/>
                <w:kern w:val="0"/>
                <w:sz w:val="21"/>
                <w:szCs w:val="20"/>
                <w:lang w:val="zh-CN" w:eastAsia="zh-CN" w:bidi="ar-SA"/>
              </w:rPr>
            </w:pPr>
            <w:r>
              <w:rPr>
                <w:rFonts w:hint="eastAsia" w:ascii="Times New Roman" w:hAnsi="Times New Roman" w:eastAsia="宋体" w:cs="Times New Roman"/>
                <w:b/>
                <w:bCs/>
                <w:color w:val="auto"/>
                <w:spacing w:val="0"/>
                <w:w w:val="100"/>
                <w:kern w:val="0"/>
                <w:sz w:val="21"/>
                <w:szCs w:val="20"/>
                <w:lang w:val="zh-CN" w:eastAsia="zh-CN" w:bidi="ar-SA"/>
              </w:rPr>
              <w:t>表</w:t>
            </w:r>
            <w:r>
              <w:rPr>
                <w:rFonts w:hint="eastAsia" w:ascii="Times New Roman" w:hAnsi="Times New Roman" w:eastAsia="宋体" w:cs="Times New Roman"/>
                <w:b/>
                <w:bCs/>
                <w:color w:val="auto"/>
                <w:spacing w:val="0"/>
                <w:w w:val="100"/>
                <w:kern w:val="0"/>
                <w:sz w:val="21"/>
                <w:szCs w:val="20"/>
                <w:lang w:val="en-US" w:eastAsia="zh-CN" w:bidi="ar-SA"/>
              </w:rPr>
              <w:t>4</w:t>
            </w:r>
            <w:r>
              <w:rPr>
                <w:rFonts w:hint="eastAsia" w:ascii="Times New Roman" w:hAnsi="Times New Roman" w:eastAsia="宋体" w:cs="Times New Roman"/>
                <w:b/>
                <w:bCs/>
                <w:color w:val="auto"/>
                <w:spacing w:val="0"/>
                <w:w w:val="100"/>
                <w:kern w:val="0"/>
                <w:sz w:val="21"/>
                <w:szCs w:val="20"/>
                <w:lang w:val="zh-CN" w:eastAsia="zh-CN" w:bidi="ar-SA"/>
              </w:rPr>
              <w:t>-</w:t>
            </w:r>
            <w:r>
              <w:rPr>
                <w:rFonts w:hint="eastAsia" w:ascii="Times New Roman" w:hAnsi="Times New Roman" w:cs="Times New Roman"/>
                <w:b/>
                <w:bCs/>
                <w:color w:val="auto"/>
                <w:spacing w:val="0"/>
                <w:w w:val="100"/>
                <w:kern w:val="0"/>
                <w:sz w:val="21"/>
                <w:szCs w:val="20"/>
                <w:lang w:val="en-US" w:eastAsia="zh-CN" w:bidi="ar-SA"/>
              </w:rPr>
              <w:t>10</w:t>
            </w:r>
            <w:r>
              <w:rPr>
                <w:rFonts w:hint="eastAsia" w:ascii="Times New Roman" w:hAnsi="Times New Roman" w:eastAsia="宋体" w:cs="Times New Roman"/>
                <w:b/>
                <w:bCs/>
                <w:color w:val="auto"/>
                <w:spacing w:val="0"/>
                <w:w w:val="100"/>
                <w:kern w:val="0"/>
                <w:sz w:val="21"/>
                <w:szCs w:val="20"/>
                <w:lang w:val="zh-CN" w:eastAsia="zh-CN" w:bidi="ar-SA"/>
              </w:rPr>
              <w:t xml:space="preserve"> 噪声影响预测结果  </w:t>
            </w:r>
          </w:p>
          <w:tbl>
            <w:tblPr>
              <w:tblStyle w:val="32"/>
              <w:tblW w:w="838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262"/>
              <w:gridCol w:w="2331"/>
              <w:gridCol w:w="3792"/>
            </w:tblGrid>
            <w:tr w14:paraId="06F1931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8" w:hRule="atLeast"/>
                <w:jc w:val="center"/>
              </w:trPr>
              <w:tc>
                <w:tcPr>
                  <w:tcW w:w="2262" w:type="dxa"/>
                  <w:vMerge w:val="restart"/>
                  <w:tcBorders>
                    <w:tl2br w:val="nil"/>
                    <w:tr2bl w:val="nil"/>
                  </w:tcBorders>
                  <w:vAlign w:val="center"/>
                </w:tcPr>
                <w:p w14:paraId="71F4A635">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b/>
                      <w:bCs/>
                      <w:color w:val="auto"/>
                      <w:spacing w:val="0"/>
                      <w:w w:val="100"/>
                      <w:kern w:val="0"/>
                      <w:sz w:val="21"/>
                      <w:szCs w:val="21"/>
                      <w:lang w:val="en-US" w:eastAsia="zh-CN" w:bidi="ar-SA"/>
                    </w:rPr>
                  </w:pPr>
                  <w:r>
                    <w:rPr>
                      <w:rFonts w:hint="default" w:ascii="Times New Roman" w:hAnsi="Times New Roman" w:eastAsia="宋体" w:cs="Times New Roman"/>
                      <w:b/>
                      <w:bCs/>
                      <w:color w:val="auto"/>
                      <w:spacing w:val="0"/>
                      <w:w w:val="100"/>
                      <w:kern w:val="0"/>
                      <w:sz w:val="21"/>
                      <w:szCs w:val="21"/>
                      <w:lang w:val="en-US" w:eastAsia="zh-CN" w:bidi="ar-SA"/>
                    </w:rPr>
                    <w:t>点位</w:t>
                  </w:r>
                </w:p>
              </w:tc>
              <w:tc>
                <w:tcPr>
                  <w:tcW w:w="2331" w:type="dxa"/>
                  <w:tcBorders>
                    <w:tl2br w:val="nil"/>
                    <w:tr2bl w:val="nil"/>
                  </w:tcBorders>
                  <w:vAlign w:val="center"/>
                </w:tcPr>
                <w:p w14:paraId="1FA675C9">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b/>
                      <w:bCs/>
                      <w:color w:val="auto"/>
                      <w:spacing w:val="0"/>
                      <w:w w:val="100"/>
                      <w:kern w:val="0"/>
                      <w:sz w:val="21"/>
                      <w:szCs w:val="21"/>
                      <w:lang w:val="en-US" w:eastAsia="zh-CN" w:bidi="ar-SA"/>
                    </w:rPr>
                  </w:pPr>
                  <w:r>
                    <w:rPr>
                      <w:rFonts w:hint="default" w:ascii="Times New Roman" w:hAnsi="Times New Roman" w:eastAsia="宋体" w:cs="Times New Roman"/>
                      <w:b/>
                      <w:bCs/>
                      <w:color w:val="auto"/>
                      <w:spacing w:val="0"/>
                      <w:w w:val="100"/>
                      <w:kern w:val="0"/>
                      <w:sz w:val="21"/>
                      <w:szCs w:val="21"/>
                      <w:lang w:val="en-US" w:eastAsia="zh-CN" w:bidi="ar-SA"/>
                    </w:rPr>
                    <w:t>昼间dB(A)</w:t>
                  </w:r>
                </w:p>
              </w:tc>
              <w:tc>
                <w:tcPr>
                  <w:tcW w:w="3792" w:type="dxa"/>
                  <w:tcBorders>
                    <w:tl2br w:val="nil"/>
                    <w:tr2bl w:val="nil"/>
                  </w:tcBorders>
                  <w:vAlign w:val="center"/>
                </w:tcPr>
                <w:p w14:paraId="668B2724">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b/>
                      <w:bCs/>
                      <w:color w:val="auto"/>
                      <w:spacing w:val="0"/>
                      <w:w w:val="100"/>
                      <w:kern w:val="0"/>
                      <w:sz w:val="21"/>
                      <w:szCs w:val="21"/>
                      <w:lang w:val="en-US" w:eastAsia="zh-CN" w:bidi="ar-SA"/>
                    </w:rPr>
                  </w:pPr>
                  <w:r>
                    <w:rPr>
                      <w:rFonts w:hint="default" w:ascii="Times New Roman" w:hAnsi="Times New Roman" w:eastAsia="宋体" w:cs="Times New Roman"/>
                      <w:b/>
                      <w:bCs/>
                      <w:color w:val="auto"/>
                      <w:spacing w:val="0"/>
                      <w:w w:val="100"/>
                      <w:kern w:val="0"/>
                      <w:sz w:val="21"/>
                      <w:szCs w:val="21"/>
                      <w:lang w:val="en-US" w:eastAsia="zh-CN" w:bidi="ar-SA"/>
                    </w:rPr>
                    <w:t>夜间dB(A)</w:t>
                  </w:r>
                </w:p>
              </w:tc>
            </w:tr>
            <w:tr w14:paraId="533412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8" w:hRule="atLeast"/>
                <w:jc w:val="center"/>
              </w:trPr>
              <w:tc>
                <w:tcPr>
                  <w:tcW w:w="2262" w:type="dxa"/>
                  <w:vMerge w:val="continue"/>
                  <w:tcBorders>
                    <w:tl2br w:val="nil"/>
                    <w:tr2bl w:val="nil"/>
                  </w:tcBorders>
                  <w:vAlign w:val="center"/>
                </w:tcPr>
                <w:p w14:paraId="61B865DA">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b/>
                      <w:bCs/>
                      <w:color w:val="auto"/>
                      <w:spacing w:val="0"/>
                      <w:w w:val="100"/>
                      <w:kern w:val="0"/>
                      <w:sz w:val="21"/>
                      <w:szCs w:val="21"/>
                      <w:lang w:val="en-US" w:eastAsia="zh-CN" w:bidi="ar-SA"/>
                    </w:rPr>
                  </w:pPr>
                </w:p>
              </w:tc>
              <w:tc>
                <w:tcPr>
                  <w:tcW w:w="2331" w:type="dxa"/>
                  <w:tcBorders>
                    <w:tl2br w:val="nil"/>
                    <w:tr2bl w:val="nil"/>
                  </w:tcBorders>
                  <w:vAlign w:val="center"/>
                </w:tcPr>
                <w:p w14:paraId="473A6BF8">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b/>
                      <w:bCs/>
                      <w:color w:val="auto"/>
                      <w:spacing w:val="0"/>
                      <w:w w:val="100"/>
                      <w:kern w:val="0"/>
                      <w:sz w:val="21"/>
                      <w:szCs w:val="21"/>
                      <w:lang w:val="en-US" w:eastAsia="zh-CN" w:bidi="ar-SA"/>
                    </w:rPr>
                  </w:pPr>
                  <w:r>
                    <w:rPr>
                      <w:rFonts w:hint="default" w:ascii="Times New Roman" w:hAnsi="Times New Roman" w:eastAsia="宋体" w:cs="Times New Roman"/>
                      <w:b/>
                      <w:bCs/>
                      <w:color w:val="auto"/>
                      <w:spacing w:val="0"/>
                      <w:w w:val="100"/>
                      <w:kern w:val="0"/>
                      <w:sz w:val="21"/>
                      <w:szCs w:val="21"/>
                      <w:lang w:val="en-US" w:eastAsia="zh-CN" w:bidi="ar-SA"/>
                    </w:rPr>
                    <w:t>贡献值</w:t>
                  </w:r>
                </w:p>
              </w:tc>
              <w:tc>
                <w:tcPr>
                  <w:tcW w:w="3792" w:type="dxa"/>
                  <w:tcBorders>
                    <w:tl2br w:val="nil"/>
                    <w:tr2bl w:val="nil"/>
                  </w:tcBorders>
                  <w:vAlign w:val="center"/>
                </w:tcPr>
                <w:p w14:paraId="6341FB53">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b/>
                      <w:bCs/>
                      <w:color w:val="auto"/>
                      <w:spacing w:val="0"/>
                      <w:w w:val="100"/>
                      <w:kern w:val="0"/>
                      <w:sz w:val="21"/>
                      <w:szCs w:val="21"/>
                      <w:lang w:val="en-US" w:eastAsia="zh-CN" w:bidi="ar-SA"/>
                    </w:rPr>
                  </w:pPr>
                  <w:r>
                    <w:rPr>
                      <w:rFonts w:hint="default" w:ascii="Times New Roman" w:hAnsi="Times New Roman" w:eastAsia="宋体" w:cs="Times New Roman"/>
                      <w:b/>
                      <w:bCs/>
                      <w:color w:val="auto"/>
                      <w:spacing w:val="0"/>
                      <w:w w:val="100"/>
                      <w:kern w:val="0"/>
                      <w:sz w:val="21"/>
                      <w:szCs w:val="21"/>
                      <w:lang w:val="en-US" w:eastAsia="zh-CN" w:bidi="ar-SA"/>
                    </w:rPr>
                    <w:t>贡献值</w:t>
                  </w:r>
                </w:p>
              </w:tc>
            </w:tr>
            <w:tr w14:paraId="43D745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8" w:hRule="atLeast"/>
                <w:jc w:val="center"/>
              </w:trPr>
              <w:tc>
                <w:tcPr>
                  <w:tcW w:w="2262" w:type="dxa"/>
                  <w:tcBorders>
                    <w:tl2br w:val="nil"/>
                    <w:tr2bl w:val="nil"/>
                  </w:tcBorders>
                  <w:vAlign w:val="center"/>
                </w:tcPr>
                <w:p w14:paraId="1402E9B8">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东厂界</w:t>
                  </w:r>
                </w:p>
              </w:tc>
              <w:tc>
                <w:tcPr>
                  <w:tcW w:w="2331" w:type="dxa"/>
                  <w:tcBorders>
                    <w:tl2br w:val="nil"/>
                    <w:tr2bl w:val="nil"/>
                  </w:tcBorders>
                  <w:vAlign w:val="center"/>
                </w:tcPr>
                <w:p w14:paraId="6E4EB753">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eastAsia="宋体" w:cs="Times New Roman"/>
                      <w:color w:val="auto"/>
                      <w:spacing w:val="0"/>
                      <w:w w:val="100"/>
                      <w:kern w:val="0"/>
                      <w:sz w:val="21"/>
                      <w:szCs w:val="21"/>
                      <w:lang w:val="en-US" w:eastAsia="zh-CN" w:bidi="ar-SA"/>
                    </w:rPr>
                    <w:t>26</w:t>
                  </w:r>
                  <w:r>
                    <w:rPr>
                      <w:rFonts w:hint="default" w:ascii="Times New Roman" w:hAnsi="Times New Roman" w:eastAsia="宋体" w:cs="Times New Roman"/>
                      <w:color w:val="auto"/>
                      <w:spacing w:val="0"/>
                      <w:w w:val="100"/>
                      <w:kern w:val="0"/>
                      <w:sz w:val="21"/>
                      <w:szCs w:val="21"/>
                      <w:lang w:val="en-US" w:eastAsia="zh-CN" w:bidi="ar-SA"/>
                    </w:rPr>
                    <w:t>.</w:t>
                  </w:r>
                  <w:r>
                    <w:rPr>
                      <w:rFonts w:hint="eastAsia" w:ascii="Times New Roman" w:hAnsi="Times New Roman" w:cs="Times New Roman"/>
                      <w:color w:val="auto"/>
                      <w:spacing w:val="0"/>
                      <w:w w:val="100"/>
                      <w:kern w:val="0"/>
                      <w:sz w:val="21"/>
                      <w:szCs w:val="21"/>
                      <w:lang w:val="en-US" w:eastAsia="zh-CN" w:bidi="ar-SA"/>
                    </w:rPr>
                    <w:t>1</w:t>
                  </w:r>
                </w:p>
              </w:tc>
              <w:tc>
                <w:tcPr>
                  <w:tcW w:w="3792" w:type="dxa"/>
                  <w:tcBorders>
                    <w:tl2br w:val="nil"/>
                    <w:tr2bl w:val="nil"/>
                  </w:tcBorders>
                  <w:vAlign w:val="center"/>
                </w:tcPr>
                <w:p w14:paraId="54D133AA">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eastAsia="宋体" w:cs="Times New Roman"/>
                      <w:color w:val="auto"/>
                      <w:spacing w:val="0"/>
                      <w:w w:val="100"/>
                      <w:kern w:val="0"/>
                      <w:sz w:val="21"/>
                      <w:szCs w:val="21"/>
                      <w:lang w:val="en-US" w:eastAsia="zh-CN" w:bidi="ar-SA"/>
                    </w:rPr>
                    <w:t>26</w:t>
                  </w:r>
                  <w:r>
                    <w:rPr>
                      <w:rFonts w:hint="default" w:ascii="Times New Roman" w:hAnsi="Times New Roman" w:eastAsia="宋体" w:cs="Times New Roman"/>
                      <w:color w:val="auto"/>
                      <w:spacing w:val="0"/>
                      <w:w w:val="100"/>
                      <w:kern w:val="0"/>
                      <w:sz w:val="21"/>
                      <w:szCs w:val="21"/>
                      <w:lang w:val="en-US" w:eastAsia="zh-CN" w:bidi="ar-SA"/>
                    </w:rPr>
                    <w:t>.</w:t>
                  </w:r>
                  <w:r>
                    <w:rPr>
                      <w:rFonts w:hint="eastAsia" w:ascii="Times New Roman" w:hAnsi="Times New Roman" w:cs="Times New Roman"/>
                      <w:color w:val="auto"/>
                      <w:spacing w:val="0"/>
                      <w:w w:val="100"/>
                      <w:kern w:val="0"/>
                      <w:sz w:val="21"/>
                      <w:szCs w:val="21"/>
                      <w:lang w:val="en-US" w:eastAsia="zh-CN" w:bidi="ar-SA"/>
                    </w:rPr>
                    <w:t>1</w:t>
                  </w:r>
                </w:p>
              </w:tc>
            </w:tr>
            <w:tr w14:paraId="0BBB9CA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8" w:hRule="atLeast"/>
                <w:jc w:val="center"/>
              </w:trPr>
              <w:tc>
                <w:tcPr>
                  <w:tcW w:w="2262" w:type="dxa"/>
                  <w:tcBorders>
                    <w:tl2br w:val="nil"/>
                    <w:tr2bl w:val="nil"/>
                  </w:tcBorders>
                  <w:vAlign w:val="center"/>
                </w:tcPr>
                <w:p w14:paraId="2EC54C38">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南厂界</w:t>
                  </w:r>
                </w:p>
              </w:tc>
              <w:tc>
                <w:tcPr>
                  <w:tcW w:w="2331" w:type="dxa"/>
                  <w:tcBorders>
                    <w:tl2br w:val="nil"/>
                    <w:tr2bl w:val="nil"/>
                  </w:tcBorders>
                  <w:vAlign w:val="center"/>
                </w:tcPr>
                <w:p w14:paraId="3F702524">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eastAsia="宋体" w:cs="Times New Roman"/>
                      <w:color w:val="auto"/>
                      <w:spacing w:val="0"/>
                      <w:w w:val="100"/>
                      <w:kern w:val="0"/>
                      <w:sz w:val="21"/>
                      <w:szCs w:val="21"/>
                      <w:lang w:val="en-US" w:eastAsia="zh-CN" w:bidi="ar-SA"/>
                    </w:rPr>
                    <w:t>30</w:t>
                  </w:r>
                  <w:r>
                    <w:rPr>
                      <w:rFonts w:hint="default" w:ascii="Times New Roman" w:hAnsi="Times New Roman" w:eastAsia="宋体" w:cs="Times New Roman"/>
                      <w:color w:val="auto"/>
                      <w:spacing w:val="0"/>
                      <w:w w:val="100"/>
                      <w:kern w:val="0"/>
                      <w:sz w:val="21"/>
                      <w:szCs w:val="21"/>
                      <w:lang w:val="en-US" w:eastAsia="zh-CN" w:bidi="ar-SA"/>
                    </w:rPr>
                    <w:t>.</w:t>
                  </w:r>
                  <w:r>
                    <w:rPr>
                      <w:rFonts w:hint="eastAsia" w:ascii="Times New Roman" w:hAnsi="Times New Roman" w:cs="Times New Roman"/>
                      <w:color w:val="auto"/>
                      <w:spacing w:val="0"/>
                      <w:w w:val="100"/>
                      <w:kern w:val="0"/>
                      <w:sz w:val="21"/>
                      <w:szCs w:val="21"/>
                      <w:lang w:val="en-US" w:eastAsia="zh-CN" w:bidi="ar-SA"/>
                    </w:rPr>
                    <w:t>2</w:t>
                  </w:r>
                </w:p>
              </w:tc>
              <w:tc>
                <w:tcPr>
                  <w:tcW w:w="3792" w:type="dxa"/>
                  <w:tcBorders>
                    <w:tl2br w:val="nil"/>
                    <w:tr2bl w:val="nil"/>
                  </w:tcBorders>
                  <w:vAlign w:val="center"/>
                </w:tcPr>
                <w:p w14:paraId="56006FF1">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eastAsia" w:ascii="Times New Roman" w:hAnsi="Times New Roman" w:eastAsia="宋体" w:cs="Times New Roman"/>
                      <w:color w:val="auto"/>
                      <w:spacing w:val="0"/>
                      <w:w w:val="100"/>
                      <w:kern w:val="0"/>
                      <w:sz w:val="21"/>
                      <w:szCs w:val="21"/>
                      <w:lang w:val="en-US" w:eastAsia="zh-CN" w:bidi="ar-SA"/>
                    </w:rPr>
                    <w:t>30</w:t>
                  </w:r>
                  <w:r>
                    <w:rPr>
                      <w:rFonts w:hint="default" w:ascii="Times New Roman" w:hAnsi="Times New Roman" w:eastAsia="宋体" w:cs="Times New Roman"/>
                      <w:color w:val="auto"/>
                      <w:spacing w:val="0"/>
                      <w:w w:val="100"/>
                      <w:kern w:val="0"/>
                      <w:sz w:val="21"/>
                      <w:szCs w:val="21"/>
                      <w:lang w:val="en-US" w:eastAsia="zh-CN" w:bidi="ar-SA"/>
                    </w:rPr>
                    <w:t>.</w:t>
                  </w:r>
                  <w:r>
                    <w:rPr>
                      <w:rFonts w:hint="eastAsia" w:ascii="Times New Roman" w:hAnsi="Times New Roman" w:cs="Times New Roman"/>
                      <w:color w:val="auto"/>
                      <w:spacing w:val="0"/>
                      <w:w w:val="100"/>
                      <w:kern w:val="0"/>
                      <w:sz w:val="21"/>
                      <w:szCs w:val="21"/>
                      <w:lang w:val="en-US" w:eastAsia="zh-CN" w:bidi="ar-SA"/>
                    </w:rPr>
                    <w:t>2</w:t>
                  </w:r>
                </w:p>
              </w:tc>
            </w:tr>
            <w:tr w14:paraId="138BB4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08" w:hRule="atLeast"/>
                <w:jc w:val="center"/>
              </w:trPr>
              <w:tc>
                <w:tcPr>
                  <w:tcW w:w="2262" w:type="dxa"/>
                  <w:tcBorders>
                    <w:tl2br w:val="nil"/>
                    <w:tr2bl w:val="nil"/>
                  </w:tcBorders>
                  <w:vAlign w:val="center"/>
                </w:tcPr>
                <w:p w14:paraId="100351D6">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西厂界</w:t>
                  </w:r>
                </w:p>
              </w:tc>
              <w:tc>
                <w:tcPr>
                  <w:tcW w:w="2331" w:type="dxa"/>
                  <w:tcBorders>
                    <w:tl2br w:val="nil"/>
                    <w:tr2bl w:val="nil"/>
                  </w:tcBorders>
                  <w:vAlign w:val="center"/>
                </w:tcPr>
                <w:p w14:paraId="1C24A401">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3</w:t>
                  </w:r>
                  <w:r>
                    <w:rPr>
                      <w:rFonts w:hint="eastAsia" w:ascii="Times New Roman" w:hAnsi="Times New Roman" w:eastAsia="宋体" w:cs="Times New Roman"/>
                      <w:color w:val="auto"/>
                      <w:spacing w:val="0"/>
                      <w:w w:val="100"/>
                      <w:kern w:val="0"/>
                      <w:sz w:val="21"/>
                      <w:szCs w:val="21"/>
                      <w:lang w:val="en-US" w:eastAsia="zh-CN" w:bidi="ar-SA"/>
                    </w:rPr>
                    <w:t>5</w:t>
                  </w:r>
                  <w:r>
                    <w:rPr>
                      <w:rFonts w:hint="default" w:ascii="Times New Roman" w:hAnsi="Times New Roman" w:eastAsia="宋体" w:cs="Times New Roman"/>
                      <w:color w:val="auto"/>
                      <w:spacing w:val="0"/>
                      <w:w w:val="100"/>
                      <w:kern w:val="0"/>
                      <w:sz w:val="21"/>
                      <w:szCs w:val="21"/>
                      <w:lang w:val="en-US" w:eastAsia="zh-CN" w:bidi="ar-SA"/>
                    </w:rPr>
                    <w:t>.</w:t>
                  </w:r>
                  <w:r>
                    <w:rPr>
                      <w:rFonts w:hint="eastAsia" w:ascii="Times New Roman" w:hAnsi="Times New Roman" w:cs="Times New Roman"/>
                      <w:color w:val="auto"/>
                      <w:spacing w:val="0"/>
                      <w:w w:val="100"/>
                      <w:kern w:val="0"/>
                      <w:sz w:val="21"/>
                      <w:szCs w:val="21"/>
                      <w:lang w:val="en-US" w:eastAsia="zh-CN" w:bidi="ar-SA"/>
                    </w:rPr>
                    <w:t>1</w:t>
                  </w:r>
                </w:p>
              </w:tc>
              <w:tc>
                <w:tcPr>
                  <w:tcW w:w="3792" w:type="dxa"/>
                  <w:tcBorders>
                    <w:tl2br w:val="nil"/>
                    <w:tr2bl w:val="nil"/>
                  </w:tcBorders>
                  <w:vAlign w:val="center"/>
                </w:tcPr>
                <w:p w14:paraId="11B085E6">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3</w:t>
                  </w:r>
                  <w:r>
                    <w:rPr>
                      <w:rFonts w:hint="eastAsia" w:ascii="Times New Roman" w:hAnsi="Times New Roman" w:eastAsia="宋体" w:cs="Times New Roman"/>
                      <w:color w:val="auto"/>
                      <w:spacing w:val="0"/>
                      <w:w w:val="100"/>
                      <w:kern w:val="0"/>
                      <w:sz w:val="21"/>
                      <w:szCs w:val="21"/>
                      <w:lang w:val="en-US" w:eastAsia="zh-CN" w:bidi="ar-SA"/>
                    </w:rPr>
                    <w:t>5</w:t>
                  </w:r>
                  <w:r>
                    <w:rPr>
                      <w:rFonts w:hint="default" w:ascii="Times New Roman" w:hAnsi="Times New Roman" w:eastAsia="宋体" w:cs="Times New Roman"/>
                      <w:color w:val="auto"/>
                      <w:spacing w:val="0"/>
                      <w:w w:val="100"/>
                      <w:kern w:val="0"/>
                      <w:sz w:val="21"/>
                      <w:szCs w:val="21"/>
                      <w:lang w:val="en-US" w:eastAsia="zh-CN" w:bidi="ar-SA"/>
                    </w:rPr>
                    <w:t>.</w:t>
                  </w:r>
                  <w:r>
                    <w:rPr>
                      <w:rFonts w:hint="eastAsia" w:ascii="Times New Roman" w:hAnsi="Times New Roman" w:cs="Times New Roman"/>
                      <w:color w:val="auto"/>
                      <w:spacing w:val="0"/>
                      <w:w w:val="100"/>
                      <w:kern w:val="0"/>
                      <w:sz w:val="21"/>
                      <w:szCs w:val="21"/>
                      <w:lang w:val="en-US" w:eastAsia="zh-CN" w:bidi="ar-SA"/>
                    </w:rPr>
                    <w:t>1</w:t>
                  </w:r>
                </w:p>
              </w:tc>
            </w:tr>
            <w:tr w14:paraId="131DB04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5" w:hRule="atLeast"/>
                <w:jc w:val="center"/>
              </w:trPr>
              <w:tc>
                <w:tcPr>
                  <w:tcW w:w="2262" w:type="dxa"/>
                  <w:tcBorders>
                    <w:tl2br w:val="nil"/>
                    <w:tr2bl w:val="nil"/>
                  </w:tcBorders>
                  <w:vAlign w:val="center"/>
                </w:tcPr>
                <w:p w14:paraId="4A7BA64E">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北厂界</w:t>
                  </w:r>
                </w:p>
              </w:tc>
              <w:tc>
                <w:tcPr>
                  <w:tcW w:w="2331" w:type="dxa"/>
                  <w:tcBorders>
                    <w:tl2br w:val="nil"/>
                    <w:tr2bl w:val="nil"/>
                  </w:tcBorders>
                  <w:vAlign w:val="center"/>
                </w:tcPr>
                <w:p w14:paraId="3CBB941E">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39.</w:t>
                  </w:r>
                  <w:r>
                    <w:rPr>
                      <w:rFonts w:hint="eastAsia" w:ascii="Times New Roman" w:hAnsi="Times New Roman" w:cs="Times New Roman"/>
                      <w:color w:val="auto"/>
                      <w:spacing w:val="0"/>
                      <w:w w:val="100"/>
                      <w:kern w:val="0"/>
                      <w:sz w:val="21"/>
                      <w:szCs w:val="21"/>
                      <w:lang w:val="en-US" w:eastAsia="zh-CN" w:bidi="ar-SA"/>
                    </w:rPr>
                    <w:t>3</w:t>
                  </w:r>
                </w:p>
              </w:tc>
              <w:tc>
                <w:tcPr>
                  <w:tcW w:w="3792" w:type="dxa"/>
                  <w:tcBorders>
                    <w:tl2br w:val="nil"/>
                    <w:tr2bl w:val="nil"/>
                  </w:tcBorders>
                  <w:vAlign w:val="center"/>
                </w:tcPr>
                <w:p w14:paraId="68271590">
                  <w:pPr>
                    <w:pStyle w:val="145"/>
                    <w:keepNext w:val="0"/>
                    <w:keepLines w:val="0"/>
                    <w:pageBreakBefore w:val="0"/>
                    <w:widowControl w:val="0"/>
                    <w:tabs>
                      <w:tab w:val="left" w:pos="2976"/>
                    </w:tabs>
                    <w:kinsoku/>
                    <w:wordWrap/>
                    <w:overflowPunct w:val="0"/>
                    <w:topLinePunct w:val="0"/>
                    <w:autoSpaceDE w:val="0"/>
                    <w:autoSpaceDN w:val="0"/>
                    <w:bidi w:val="0"/>
                    <w:adjustRightInd w:val="0"/>
                    <w:snapToGrid/>
                    <w:spacing w:before="0" w:line="240" w:lineRule="auto"/>
                    <w:ind w:firstLine="0" w:firstLineChars="0"/>
                    <w:jc w:val="center"/>
                    <w:textAlignment w:val="baseline"/>
                    <w:rPr>
                      <w:rFonts w:hint="default" w:ascii="Times New Roman" w:hAnsi="Times New Roman" w:eastAsia="宋体" w:cs="Times New Roman"/>
                      <w:color w:val="auto"/>
                      <w:spacing w:val="0"/>
                      <w:w w:val="100"/>
                      <w:kern w:val="0"/>
                      <w:sz w:val="21"/>
                      <w:szCs w:val="21"/>
                      <w:lang w:val="en-US" w:eastAsia="zh-CN" w:bidi="ar-SA"/>
                    </w:rPr>
                  </w:pPr>
                  <w:r>
                    <w:rPr>
                      <w:rFonts w:hint="default" w:ascii="Times New Roman" w:hAnsi="Times New Roman" w:eastAsia="宋体" w:cs="Times New Roman"/>
                      <w:color w:val="auto"/>
                      <w:spacing w:val="0"/>
                      <w:w w:val="100"/>
                      <w:kern w:val="0"/>
                      <w:sz w:val="21"/>
                      <w:szCs w:val="21"/>
                      <w:lang w:val="en-US" w:eastAsia="zh-CN" w:bidi="ar-SA"/>
                    </w:rPr>
                    <w:t>39.</w:t>
                  </w:r>
                  <w:r>
                    <w:rPr>
                      <w:rFonts w:hint="eastAsia" w:ascii="Times New Roman" w:hAnsi="Times New Roman" w:cs="Times New Roman"/>
                      <w:color w:val="auto"/>
                      <w:spacing w:val="0"/>
                      <w:w w:val="100"/>
                      <w:kern w:val="0"/>
                      <w:sz w:val="21"/>
                      <w:szCs w:val="21"/>
                      <w:lang w:val="en-US" w:eastAsia="zh-CN" w:bidi="ar-SA"/>
                    </w:rPr>
                    <w:t>3</w:t>
                  </w:r>
                </w:p>
              </w:tc>
            </w:tr>
          </w:tbl>
          <w:p w14:paraId="7123B6BE">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default" w:ascii="Times New Roman" w:hAnsi="Times New Roman" w:eastAsia="宋体" w:cs="Times New Roman"/>
                <w:b/>
                <w:bCs/>
                <w:color w:val="auto"/>
                <w:u w:val="none"/>
                <w:lang w:val="en-US" w:eastAsia="zh-CN"/>
              </w:rPr>
            </w:pPr>
            <w:r>
              <w:rPr>
                <w:rFonts w:hint="eastAsia" w:cs="Times New Roman"/>
                <w:b/>
                <w:bCs/>
                <w:color w:val="auto"/>
                <w:u w:val="none"/>
                <w:lang w:val="en-US" w:eastAsia="zh-CN"/>
              </w:rPr>
              <w:t>2</w:t>
            </w:r>
            <w:r>
              <w:rPr>
                <w:rFonts w:hint="eastAsia" w:ascii="Times New Roman" w:hAnsi="Times New Roman" w:eastAsia="宋体" w:cs="Times New Roman"/>
                <w:b/>
                <w:bCs/>
                <w:color w:val="auto"/>
                <w:u w:val="none"/>
                <w:lang w:val="en-US" w:eastAsia="zh-CN"/>
              </w:rPr>
              <w:t>、防治措施要求</w:t>
            </w:r>
          </w:p>
          <w:p w14:paraId="42D580C5">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u w:val="single"/>
                <w:lang w:val="en-US" w:eastAsia="zh-CN"/>
              </w:rPr>
            </w:pPr>
            <w:r>
              <w:rPr>
                <w:rFonts w:hint="eastAsia" w:cs="Times New Roman"/>
                <w:b w:val="0"/>
                <w:bCs w:val="0"/>
                <w:color w:val="auto"/>
                <w:u w:val="single"/>
                <w:lang w:val="en-US" w:eastAsia="zh-CN"/>
              </w:rPr>
              <w:t>根据现场调查，项目污水处理厂周边50米范围内无声环境保护目标，</w:t>
            </w:r>
            <w:r>
              <w:rPr>
                <w:rFonts w:hint="eastAsia" w:ascii="Times New Roman" w:hAnsi="Times New Roman" w:eastAsia="宋体" w:cs="Times New Roman"/>
                <w:b w:val="0"/>
                <w:bCs w:val="0"/>
                <w:color w:val="auto"/>
                <w:u w:val="single"/>
                <w:lang w:val="en-US" w:eastAsia="zh-CN"/>
              </w:rPr>
              <w:t>为确保项目产生的噪声做到</w:t>
            </w:r>
            <w:r>
              <w:rPr>
                <w:rFonts w:hint="eastAsia" w:cs="Times New Roman"/>
                <w:b w:val="0"/>
                <w:bCs w:val="0"/>
                <w:color w:val="auto"/>
                <w:u w:val="single"/>
                <w:lang w:val="en-US" w:eastAsia="zh-CN"/>
              </w:rPr>
              <w:t>稳定</w:t>
            </w:r>
            <w:r>
              <w:rPr>
                <w:rFonts w:hint="eastAsia" w:ascii="Times New Roman" w:hAnsi="Times New Roman" w:eastAsia="宋体" w:cs="Times New Roman"/>
                <w:b w:val="0"/>
                <w:bCs w:val="0"/>
                <w:color w:val="auto"/>
                <w:u w:val="single"/>
                <w:lang w:val="en-US" w:eastAsia="zh-CN"/>
              </w:rPr>
              <w:t>达标排放，本环评提出以下噪声防治要求：</w:t>
            </w:r>
          </w:p>
          <w:p w14:paraId="4D6EDF63">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u w:val="none"/>
                <w:lang w:val="en-US" w:eastAsia="zh-CN"/>
              </w:rPr>
            </w:pPr>
            <w:r>
              <w:rPr>
                <w:rFonts w:hint="eastAsia" w:ascii="Times New Roman" w:hAnsi="Times New Roman" w:eastAsia="宋体" w:cs="Times New Roman"/>
                <w:b w:val="0"/>
                <w:bCs w:val="0"/>
                <w:color w:val="auto"/>
                <w:u w:val="none"/>
                <w:lang w:val="en-US" w:eastAsia="zh-CN"/>
              </w:rPr>
              <w:t>①选用性能良好的低噪声设备。</w:t>
            </w:r>
          </w:p>
          <w:p w14:paraId="11923C4E">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u w:val="none"/>
                <w:lang w:val="en-US" w:eastAsia="zh-CN"/>
              </w:rPr>
            </w:pPr>
            <w:r>
              <w:rPr>
                <w:rFonts w:hint="eastAsia" w:ascii="Times New Roman" w:hAnsi="Times New Roman" w:eastAsia="宋体" w:cs="Times New Roman"/>
                <w:b w:val="0"/>
                <w:bCs w:val="0"/>
                <w:color w:val="auto"/>
                <w:u w:val="none"/>
                <w:lang w:val="en-US" w:eastAsia="zh-CN"/>
              </w:rPr>
              <w:t>②合理布置设备安装位置，将噪声较大的设备置于车间中间位置，延长噪声衰减距离，以降低设备噪声对厂界的影响。</w:t>
            </w:r>
          </w:p>
          <w:p w14:paraId="336C5199">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u w:val="none"/>
                <w:lang w:val="en-US" w:eastAsia="zh-CN"/>
              </w:rPr>
            </w:pPr>
            <w:r>
              <w:rPr>
                <w:rFonts w:hint="eastAsia" w:ascii="Times New Roman" w:hAnsi="Times New Roman" w:eastAsia="宋体" w:cs="Times New Roman"/>
                <w:b w:val="0"/>
                <w:bCs w:val="0"/>
                <w:color w:val="auto"/>
                <w:u w:val="none"/>
                <w:lang w:val="en-US" w:eastAsia="zh-CN"/>
              </w:rPr>
              <w:t>③对生产设备做好防震、减震措施，设备安装时加装防震垫片。</w:t>
            </w:r>
          </w:p>
          <w:p w14:paraId="3483A3E5">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u w:val="none"/>
                <w:lang w:val="en-US" w:eastAsia="zh-CN"/>
              </w:rPr>
            </w:pPr>
            <w:r>
              <w:rPr>
                <w:rFonts w:hint="eastAsia" w:ascii="Times New Roman" w:hAnsi="Times New Roman" w:eastAsia="宋体" w:cs="Times New Roman"/>
                <w:b w:val="0"/>
                <w:bCs w:val="0"/>
                <w:color w:val="auto"/>
                <w:u w:val="none"/>
                <w:lang w:val="en-US" w:eastAsia="zh-CN"/>
              </w:rPr>
              <w:t>④生产车间配备完好的门窗。</w:t>
            </w:r>
          </w:p>
          <w:p w14:paraId="102DA976">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cs="Times New Roman"/>
                <w:b w:val="0"/>
                <w:bCs w:val="0"/>
                <w:color w:val="auto"/>
                <w:u w:val="none"/>
                <w:lang w:val="en-US" w:eastAsia="zh-CN"/>
              </w:rPr>
            </w:pPr>
            <w:r>
              <w:rPr>
                <w:rFonts w:hint="eastAsia" w:ascii="Times New Roman" w:hAnsi="Times New Roman" w:eastAsia="宋体" w:cs="Times New Roman"/>
                <w:b w:val="0"/>
                <w:bCs w:val="0"/>
                <w:color w:val="auto"/>
                <w:u w:val="none"/>
                <w:lang w:val="en-US" w:eastAsia="zh-CN"/>
              </w:rPr>
              <w:t>⑤加强设备的日常维护和工人的生产操作管理，避免非正常生产噪声产生。</w:t>
            </w:r>
            <w:r>
              <w:rPr>
                <w:rFonts w:hint="eastAsia" w:cs="Times New Roman"/>
                <w:b w:val="0"/>
                <w:bCs w:val="0"/>
                <w:color w:val="auto"/>
                <w:u w:val="none"/>
                <w:lang w:val="en-US" w:eastAsia="zh-CN"/>
              </w:rPr>
              <w:t xml:space="preserve">    </w:t>
            </w:r>
          </w:p>
          <w:p w14:paraId="75CBC2A5">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u w:val="none"/>
                <w:lang w:val="en-US" w:eastAsia="zh-CN"/>
              </w:rPr>
            </w:pPr>
            <w:r>
              <w:rPr>
                <w:rFonts w:hint="eastAsia" w:ascii="Times New Roman" w:hAnsi="Times New Roman" w:eastAsia="宋体" w:cs="Times New Roman"/>
                <w:b w:val="0"/>
                <w:bCs w:val="0"/>
                <w:color w:val="auto"/>
                <w:u w:val="none"/>
                <w:lang w:val="en-US" w:eastAsia="zh-CN"/>
              </w:rPr>
              <w:t>综上，落实上述噪声防治措施后，本项目各厂界噪声可达到《声环境质量标准》（GB3096-2008）中的2类标准，能够维持现有声环境质量现状。</w:t>
            </w:r>
          </w:p>
          <w:p w14:paraId="620D898B">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eastAsia" w:ascii="Times New Roman" w:hAnsi="Times New Roman" w:eastAsia="宋体" w:cs="Times New Roman"/>
                <w:b/>
                <w:bCs/>
                <w:color w:val="auto"/>
                <w:u w:val="none"/>
                <w:lang w:val="en-US" w:eastAsia="zh-CN"/>
              </w:rPr>
            </w:pPr>
            <w:r>
              <w:rPr>
                <w:rFonts w:hint="eastAsia" w:cs="Times New Roman"/>
                <w:b/>
                <w:bCs/>
                <w:color w:val="auto"/>
                <w:u w:val="none"/>
                <w:lang w:val="en-US" w:eastAsia="zh-CN"/>
              </w:rPr>
              <w:t>3</w:t>
            </w:r>
            <w:r>
              <w:rPr>
                <w:rFonts w:hint="eastAsia" w:ascii="Times New Roman" w:hAnsi="Times New Roman" w:eastAsia="宋体" w:cs="Times New Roman"/>
                <w:b/>
                <w:bCs/>
                <w:color w:val="auto"/>
                <w:u w:val="none"/>
                <w:lang w:val="en-US" w:eastAsia="zh-CN"/>
              </w:rPr>
              <w:t>、监测要求</w:t>
            </w:r>
          </w:p>
          <w:p w14:paraId="7764B90E">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u w:val="none"/>
                <w:lang w:val="en-US" w:eastAsia="zh-CN"/>
              </w:rPr>
            </w:pPr>
            <w:r>
              <w:rPr>
                <w:rFonts w:hint="eastAsia" w:ascii="Times New Roman" w:hAnsi="Times New Roman" w:eastAsia="宋体" w:cs="Times New Roman"/>
                <w:b w:val="0"/>
                <w:bCs w:val="0"/>
                <w:color w:val="auto"/>
                <w:u w:val="none"/>
                <w:lang w:val="en-US" w:eastAsia="zh-CN"/>
              </w:rPr>
              <w:t>监测要求按照</w:t>
            </w:r>
            <w:r>
              <w:rPr>
                <w:rFonts w:hint="eastAsia"/>
                <w:color w:val="auto"/>
                <w:u w:val="none"/>
                <w:lang w:eastAsia="zh-CN"/>
              </w:rPr>
              <w:t>《排污单位自行监测技术指南</w:t>
            </w:r>
            <w:r>
              <w:rPr>
                <w:rFonts w:hint="eastAsia"/>
                <w:color w:val="auto"/>
                <w:u w:val="none"/>
                <w:lang w:val="en-US" w:eastAsia="zh-CN"/>
              </w:rPr>
              <w:t xml:space="preserve"> 总则</w:t>
            </w:r>
            <w:r>
              <w:rPr>
                <w:rFonts w:hint="eastAsia"/>
                <w:color w:val="auto"/>
                <w:u w:val="none"/>
                <w:lang w:eastAsia="zh-CN"/>
              </w:rPr>
              <w:t>》（</w:t>
            </w:r>
            <w:r>
              <w:rPr>
                <w:rFonts w:hint="eastAsia"/>
                <w:color w:val="auto"/>
                <w:u w:val="none"/>
                <w:lang w:val="en-US" w:eastAsia="zh-CN"/>
              </w:rPr>
              <w:t>HJ819-2017</w:t>
            </w:r>
            <w:r>
              <w:rPr>
                <w:rFonts w:hint="eastAsia"/>
                <w:color w:val="auto"/>
                <w:u w:val="none"/>
                <w:lang w:eastAsia="zh-CN"/>
              </w:rPr>
              <w:t>）、</w:t>
            </w:r>
            <w:r>
              <w:rPr>
                <w:rFonts w:hint="eastAsia" w:cs="Times New Roman"/>
                <w:b w:val="0"/>
                <w:bCs w:val="0"/>
                <w:color w:val="auto"/>
                <w:u w:val="none"/>
                <w:lang w:val="en-US" w:eastAsia="zh-CN"/>
              </w:rPr>
              <w:t>排污单位自行监测技术指南 水处理（HJ1083-2020）的</w:t>
            </w:r>
            <w:r>
              <w:rPr>
                <w:rFonts w:hint="eastAsia" w:ascii="Times New Roman" w:hAnsi="Times New Roman" w:eastAsia="宋体" w:cs="Times New Roman"/>
                <w:b w:val="0"/>
                <w:bCs w:val="0"/>
                <w:color w:val="auto"/>
                <w:u w:val="none"/>
                <w:lang w:val="en-US" w:eastAsia="zh-CN"/>
              </w:rPr>
              <w:t>要求进行。</w:t>
            </w:r>
          </w:p>
          <w:p w14:paraId="6FACCB11">
            <w:pPr>
              <w:keepNext w:val="0"/>
              <w:keepLines w:val="0"/>
              <w:pageBreakBefore w:val="0"/>
              <w:widowControl w:val="0"/>
              <w:kinsoku/>
              <w:wordWrap/>
              <w:overflowPunct/>
              <w:topLinePunct w:val="0"/>
              <w:autoSpaceDE/>
              <w:autoSpaceDN/>
              <w:bidi w:val="0"/>
              <w:adjustRightInd/>
              <w:snapToGrid/>
              <w:spacing w:before="48" w:beforeLines="15" w:after="48" w:afterLines="15" w:line="240" w:lineRule="auto"/>
              <w:jc w:val="center"/>
              <w:textAlignment w:val="auto"/>
              <w:rPr>
                <w:rFonts w:hint="eastAsia" w:ascii="Times New Roman" w:hAnsi="Times New Roman" w:eastAsia="宋体" w:cs="Times New Roman"/>
                <w:b/>
                <w:bCs/>
                <w:color w:val="auto"/>
                <w:u w:val="none"/>
                <w:lang w:val="en-US" w:eastAsia="zh-CN"/>
              </w:rPr>
            </w:pPr>
            <w:r>
              <w:rPr>
                <w:rFonts w:hint="eastAsia" w:ascii="Times New Roman" w:hAnsi="Times New Roman" w:eastAsia="宋体" w:cs="Times New Roman"/>
                <w:b/>
                <w:bCs/>
                <w:color w:val="auto"/>
                <w:u w:val="none"/>
                <w:lang w:val="en-US" w:eastAsia="zh-CN"/>
              </w:rPr>
              <w:t>表4-</w:t>
            </w:r>
            <w:r>
              <w:rPr>
                <w:rFonts w:hint="eastAsia" w:cs="Times New Roman"/>
                <w:b/>
                <w:bCs/>
                <w:color w:val="auto"/>
                <w:u w:val="none"/>
                <w:lang w:val="en-US" w:eastAsia="zh-CN"/>
              </w:rPr>
              <w:t>11</w:t>
            </w:r>
            <w:r>
              <w:rPr>
                <w:rFonts w:hint="eastAsia" w:ascii="Times New Roman" w:hAnsi="Times New Roman" w:eastAsia="宋体" w:cs="Times New Roman"/>
                <w:b/>
                <w:bCs/>
                <w:color w:val="auto"/>
                <w:u w:val="none"/>
                <w:lang w:val="en-US" w:eastAsia="zh-CN"/>
              </w:rPr>
              <w:t xml:space="preserve"> 环境监测计划一览表</w:t>
            </w:r>
          </w:p>
          <w:tbl>
            <w:tblPr>
              <w:tblStyle w:val="33"/>
              <w:tblW w:w="778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50"/>
              <w:gridCol w:w="1175"/>
              <w:gridCol w:w="1826"/>
              <w:gridCol w:w="2536"/>
            </w:tblGrid>
            <w:tr w14:paraId="1DD21B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50" w:type="dxa"/>
                  <w:tcBorders>
                    <w:tl2br w:val="nil"/>
                    <w:tr2bl w:val="nil"/>
                  </w:tcBorders>
                  <w:vAlign w:val="center"/>
                </w:tcPr>
                <w:p w14:paraId="2431F30C">
                  <w:pPr>
                    <w:pStyle w:val="145"/>
                    <w:keepNext w:val="0"/>
                    <w:keepLines w:val="0"/>
                    <w:pageBreakBefore w:val="0"/>
                    <w:widowControl w:val="0"/>
                    <w:kinsoku/>
                    <w:wordWrap/>
                    <w:overflowPunct w:val="0"/>
                    <w:topLinePunct w:val="0"/>
                    <w:autoSpaceDE w:val="0"/>
                    <w:autoSpaceDN w:val="0"/>
                    <w:bidi w:val="0"/>
                    <w:ind w:left="0" w:leftChars="0" w:right="0" w:rightChars="0" w:firstLine="0" w:firstLineChars="0"/>
                    <w:jc w:val="center"/>
                    <w:rPr>
                      <w:rFonts w:hint="default" w:ascii="Times New Roman" w:hAnsi="Times New Roman" w:cs="Times New Roman"/>
                      <w:color w:val="auto"/>
                      <w:u w:val="none"/>
                      <w:lang w:eastAsia="zh-CN"/>
                    </w:rPr>
                  </w:pPr>
                  <w:r>
                    <w:rPr>
                      <w:rFonts w:hint="default" w:ascii="Times New Roman" w:hAnsi="Times New Roman" w:cs="Times New Roman"/>
                      <w:color w:val="auto"/>
                      <w:u w:val="none"/>
                      <w:lang w:eastAsia="zh-CN"/>
                    </w:rPr>
                    <w:t>监测点位</w:t>
                  </w:r>
                </w:p>
              </w:tc>
              <w:tc>
                <w:tcPr>
                  <w:tcW w:w="1175" w:type="dxa"/>
                  <w:tcBorders>
                    <w:tl2br w:val="nil"/>
                    <w:tr2bl w:val="nil"/>
                  </w:tcBorders>
                  <w:vAlign w:val="center"/>
                </w:tcPr>
                <w:p w14:paraId="63D95638">
                  <w:pPr>
                    <w:pStyle w:val="145"/>
                    <w:keepNext w:val="0"/>
                    <w:keepLines w:val="0"/>
                    <w:pageBreakBefore w:val="0"/>
                    <w:widowControl w:val="0"/>
                    <w:kinsoku/>
                    <w:wordWrap/>
                    <w:overflowPunct w:val="0"/>
                    <w:topLinePunct w:val="0"/>
                    <w:autoSpaceDE w:val="0"/>
                    <w:autoSpaceDN w:val="0"/>
                    <w:bidi w:val="0"/>
                    <w:ind w:left="0" w:leftChars="0" w:right="0" w:rightChars="0" w:firstLine="0" w:firstLineChars="0"/>
                    <w:jc w:val="center"/>
                    <w:rPr>
                      <w:rFonts w:hint="default" w:ascii="Times New Roman" w:hAnsi="Times New Roman" w:cs="Times New Roman"/>
                      <w:color w:val="auto"/>
                      <w:u w:val="none"/>
                      <w:lang w:eastAsia="zh-CN"/>
                    </w:rPr>
                  </w:pPr>
                  <w:r>
                    <w:rPr>
                      <w:rFonts w:hint="default" w:ascii="Times New Roman" w:hAnsi="Times New Roman" w:cs="Times New Roman"/>
                      <w:color w:val="auto"/>
                      <w:u w:val="none"/>
                      <w:lang w:eastAsia="zh-CN"/>
                    </w:rPr>
                    <w:t>监测指标</w:t>
                  </w:r>
                </w:p>
              </w:tc>
              <w:tc>
                <w:tcPr>
                  <w:tcW w:w="1826" w:type="dxa"/>
                  <w:tcBorders>
                    <w:tl2br w:val="nil"/>
                    <w:tr2bl w:val="nil"/>
                  </w:tcBorders>
                  <w:vAlign w:val="center"/>
                </w:tcPr>
                <w:p w14:paraId="2D6E3152">
                  <w:pPr>
                    <w:pStyle w:val="145"/>
                    <w:keepNext w:val="0"/>
                    <w:keepLines w:val="0"/>
                    <w:pageBreakBefore w:val="0"/>
                    <w:widowControl w:val="0"/>
                    <w:kinsoku/>
                    <w:wordWrap/>
                    <w:overflowPunct w:val="0"/>
                    <w:topLinePunct w:val="0"/>
                    <w:autoSpaceDE w:val="0"/>
                    <w:autoSpaceDN w:val="0"/>
                    <w:bidi w:val="0"/>
                    <w:ind w:left="0" w:leftChars="0" w:right="0" w:rightChars="0" w:firstLine="0" w:firstLineChars="0"/>
                    <w:jc w:val="center"/>
                    <w:rPr>
                      <w:rFonts w:hint="default" w:ascii="Times New Roman" w:hAnsi="Times New Roman" w:cs="Times New Roman"/>
                      <w:color w:val="auto"/>
                      <w:u w:val="none"/>
                      <w:lang w:eastAsia="zh-CN"/>
                    </w:rPr>
                  </w:pPr>
                  <w:r>
                    <w:rPr>
                      <w:rFonts w:hint="default" w:ascii="Times New Roman" w:hAnsi="Times New Roman" w:cs="Times New Roman"/>
                      <w:color w:val="auto"/>
                      <w:u w:val="none"/>
                      <w:lang w:eastAsia="zh-CN"/>
                    </w:rPr>
                    <w:t>监测频次</w:t>
                  </w:r>
                </w:p>
              </w:tc>
              <w:tc>
                <w:tcPr>
                  <w:tcW w:w="2536" w:type="dxa"/>
                  <w:tcBorders>
                    <w:tl2br w:val="nil"/>
                    <w:tr2bl w:val="nil"/>
                  </w:tcBorders>
                  <w:vAlign w:val="center"/>
                </w:tcPr>
                <w:p w14:paraId="2378329B">
                  <w:pPr>
                    <w:pStyle w:val="145"/>
                    <w:keepNext w:val="0"/>
                    <w:keepLines w:val="0"/>
                    <w:pageBreakBefore w:val="0"/>
                    <w:widowControl w:val="0"/>
                    <w:kinsoku/>
                    <w:wordWrap/>
                    <w:overflowPunct w:val="0"/>
                    <w:topLinePunct w:val="0"/>
                    <w:autoSpaceDE w:val="0"/>
                    <w:autoSpaceDN w:val="0"/>
                    <w:bidi w:val="0"/>
                    <w:ind w:left="0" w:leftChars="0" w:right="0" w:rightChars="0" w:firstLine="0" w:firstLineChars="0"/>
                    <w:jc w:val="center"/>
                    <w:rPr>
                      <w:rFonts w:hint="default" w:ascii="Times New Roman" w:hAnsi="Times New Roman" w:cs="Times New Roman"/>
                      <w:color w:val="auto"/>
                      <w:u w:val="none"/>
                      <w:lang w:eastAsia="zh-CN"/>
                    </w:rPr>
                  </w:pPr>
                  <w:r>
                    <w:rPr>
                      <w:rFonts w:hint="default" w:ascii="Times New Roman" w:hAnsi="Times New Roman" w:cs="Times New Roman"/>
                      <w:color w:val="auto"/>
                      <w:u w:val="none"/>
                      <w:lang w:eastAsia="zh-CN"/>
                    </w:rPr>
                    <w:t>执行排放标准</w:t>
                  </w:r>
                </w:p>
              </w:tc>
            </w:tr>
            <w:tr w14:paraId="10CAAD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50" w:type="dxa"/>
                  <w:tcBorders>
                    <w:tl2br w:val="nil"/>
                    <w:tr2bl w:val="nil"/>
                  </w:tcBorders>
                  <w:vAlign w:val="center"/>
                </w:tcPr>
                <w:p w14:paraId="76837754">
                  <w:pPr>
                    <w:pStyle w:val="145"/>
                    <w:keepNext w:val="0"/>
                    <w:keepLines w:val="0"/>
                    <w:pageBreakBefore w:val="0"/>
                    <w:widowControl w:val="0"/>
                    <w:kinsoku/>
                    <w:wordWrap/>
                    <w:overflowPunct w:val="0"/>
                    <w:topLinePunct w:val="0"/>
                    <w:autoSpaceDE w:val="0"/>
                    <w:autoSpaceDN w:val="0"/>
                    <w:bidi w:val="0"/>
                    <w:ind w:left="0" w:leftChars="0" w:right="0" w:rightChars="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eastAsia="zh-CN"/>
                    </w:rPr>
                    <w:t>项目边界东外</w:t>
                  </w:r>
                  <w:r>
                    <w:rPr>
                      <w:rFonts w:hint="default" w:ascii="Times New Roman" w:hAnsi="Times New Roman" w:cs="Times New Roman"/>
                      <w:color w:val="auto"/>
                      <w:u w:val="none"/>
                      <w:lang w:val="en-US" w:eastAsia="zh-CN"/>
                    </w:rPr>
                    <w:t>1m</w:t>
                  </w:r>
                </w:p>
              </w:tc>
              <w:tc>
                <w:tcPr>
                  <w:tcW w:w="1175" w:type="dxa"/>
                  <w:vMerge w:val="restart"/>
                  <w:tcBorders>
                    <w:tl2br w:val="nil"/>
                    <w:tr2bl w:val="nil"/>
                  </w:tcBorders>
                  <w:vAlign w:val="center"/>
                </w:tcPr>
                <w:p w14:paraId="1500F5A7">
                  <w:pPr>
                    <w:pStyle w:val="145"/>
                    <w:keepNext w:val="0"/>
                    <w:keepLines w:val="0"/>
                    <w:pageBreakBefore w:val="0"/>
                    <w:widowControl w:val="0"/>
                    <w:kinsoku/>
                    <w:wordWrap/>
                    <w:overflowPunct w:val="0"/>
                    <w:topLinePunct w:val="0"/>
                    <w:autoSpaceDE w:val="0"/>
                    <w:autoSpaceDN w:val="0"/>
                    <w:bidi w:val="0"/>
                    <w:ind w:left="0" w:leftChars="0" w:right="0" w:rightChars="0" w:firstLine="0" w:firstLineChars="0"/>
                    <w:jc w:val="center"/>
                    <w:rPr>
                      <w:rFonts w:hint="default" w:ascii="Times New Roman" w:hAnsi="Times New Roman" w:cs="Times New Roman"/>
                      <w:color w:val="auto"/>
                      <w:u w:val="none"/>
                      <w:lang w:eastAsia="zh-CN"/>
                    </w:rPr>
                  </w:pPr>
                  <w:r>
                    <w:rPr>
                      <w:rFonts w:hint="default" w:ascii="Times New Roman" w:hAnsi="Times New Roman" w:cs="Times New Roman"/>
                      <w:color w:val="auto"/>
                      <w:u w:val="none"/>
                      <w:lang w:eastAsia="zh-CN"/>
                    </w:rPr>
                    <w:t>噪声</w:t>
                  </w:r>
                </w:p>
              </w:tc>
              <w:tc>
                <w:tcPr>
                  <w:tcW w:w="1826" w:type="dxa"/>
                  <w:vMerge w:val="restart"/>
                  <w:tcBorders>
                    <w:tl2br w:val="nil"/>
                    <w:tr2bl w:val="nil"/>
                  </w:tcBorders>
                  <w:vAlign w:val="center"/>
                </w:tcPr>
                <w:p w14:paraId="53833038">
                  <w:pPr>
                    <w:pStyle w:val="145"/>
                    <w:keepNext w:val="0"/>
                    <w:keepLines w:val="0"/>
                    <w:pageBreakBefore w:val="0"/>
                    <w:widowControl w:val="0"/>
                    <w:kinsoku/>
                    <w:wordWrap/>
                    <w:overflowPunct w:val="0"/>
                    <w:topLinePunct w:val="0"/>
                    <w:autoSpaceDE w:val="0"/>
                    <w:autoSpaceDN w:val="0"/>
                    <w:bidi w:val="0"/>
                    <w:ind w:left="0" w:leftChars="0" w:right="0" w:rightChars="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每季度一次</w:t>
                  </w:r>
                </w:p>
              </w:tc>
              <w:tc>
                <w:tcPr>
                  <w:tcW w:w="2536" w:type="dxa"/>
                  <w:vMerge w:val="restart"/>
                  <w:tcBorders>
                    <w:tl2br w:val="nil"/>
                    <w:tr2bl w:val="nil"/>
                  </w:tcBorders>
                  <w:vAlign w:val="center"/>
                </w:tcPr>
                <w:p w14:paraId="564BCAC4">
                  <w:pPr>
                    <w:pStyle w:val="145"/>
                    <w:keepNext w:val="0"/>
                    <w:keepLines w:val="0"/>
                    <w:pageBreakBefore w:val="0"/>
                    <w:widowControl w:val="0"/>
                    <w:kinsoku/>
                    <w:wordWrap/>
                    <w:overflowPunct w:val="0"/>
                    <w:topLinePunct w:val="0"/>
                    <w:autoSpaceDE w:val="0"/>
                    <w:autoSpaceDN w:val="0"/>
                    <w:bidi w:val="0"/>
                    <w:ind w:left="0" w:leftChars="0" w:right="0" w:rightChars="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《工业企业厂界环境噪声排放标准》中2类区标准</w:t>
                  </w:r>
                </w:p>
              </w:tc>
            </w:tr>
            <w:tr w14:paraId="3D6120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50" w:type="dxa"/>
                  <w:tcBorders>
                    <w:tl2br w:val="nil"/>
                    <w:tr2bl w:val="nil"/>
                  </w:tcBorders>
                  <w:vAlign w:val="center"/>
                </w:tcPr>
                <w:p w14:paraId="4BF1E15D">
                  <w:pPr>
                    <w:pStyle w:val="145"/>
                    <w:keepNext w:val="0"/>
                    <w:keepLines w:val="0"/>
                    <w:pageBreakBefore w:val="0"/>
                    <w:widowControl w:val="0"/>
                    <w:kinsoku/>
                    <w:wordWrap/>
                    <w:overflowPunct w:val="0"/>
                    <w:topLinePunct w:val="0"/>
                    <w:autoSpaceDE w:val="0"/>
                    <w:autoSpaceDN w:val="0"/>
                    <w:bidi w:val="0"/>
                    <w:ind w:left="0" w:leftChars="0" w:right="0" w:rightChars="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eastAsia="zh-CN"/>
                    </w:rPr>
                    <w:t>项目边界南外</w:t>
                  </w:r>
                  <w:r>
                    <w:rPr>
                      <w:rFonts w:hint="default" w:ascii="Times New Roman" w:hAnsi="Times New Roman" w:cs="Times New Roman"/>
                      <w:color w:val="auto"/>
                      <w:u w:val="none"/>
                      <w:lang w:val="en-US" w:eastAsia="zh-CN"/>
                    </w:rPr>
                    <w:t>1m</w:t>
                  </w:r>
                </w:p>
              </w:tc>
              <w:tc>
                <w:tcPr>
                  <w:tcW w:w="1175" w:type="dxa"/>
                  <w:vMerge w:val="continue"/>
                  <w:tcBorders>
                    <w:tl2br w:val="nil"/>
                    <w:tr2bl w:val="nil"/>
                  </w:tcBorders>
                  <w:vAlign w:val="center"/>
                </w:tcPr>
                <w:p w14:paraId="4EBAA8DC">
                  <w:pPr>
                    <w:pStyle w:val="145"/>
                    <w:keepNext w:val="0"/>
                    <w:keepLines w:val="0"/>
                    <w:pageBreakBefore w:val="0"/>
                    <w:widowControl w:val="0"/>
                    <w:kinsoku/>
                    <w:wordWrap/>
                    <w:overflowPunct w:val="0"/>
                    <w:topLinePunct w:val="0"/>
                    <w:autoSpaceDE w:val="0"/>
                    <w:autoSpaceDN w:val="0"/>
                    <w:bidi w:val="0"/>
                    <w:ind w:left="0" w:leftChars="0" w:right="0" w:rightChars="0" w:firstLine="0" w:firstLineChars="0"/>
                    <w:jc w:val="center"/>
                    <w:rPr>
                      <w:rFonts w:hint="default" w:ascii="Times New Roman" w:hAnsi="Times New Roman" w:cs="Times New Roman"/>
                      <w:color w:val="auto"/>
                      <w:u w:val="none"/>
                      <w:lang w:eastAsia="zh-CN"/>
                    </w:rPr>
                  </w:pPr>
                </w:p>
              </w:tc>
              <w:tc>
                <w:tcPr>
                  <w:tcW w:w="1826" w:type="dxa"/>
                  <w:vMerge w:val="continue"/>
                  <w:tcBorders>
                    <w:tl2br w:val="nil"/>
                    <w:tr2bl w:val="nil"/>
                  </w:tcBorders>
                  <w:vAlign w:val="center"/>
                </w:tcPr>
                <w:p w14:paraId="34A23381">
                  <w:pPr>
                    <w:pStyle w:val="145"/>
                    <w:keepNext w:val="0"/>
                    <w:keepLines w:val="0"/>
                    <w:pageBreakBefore w:val="0"/>
                    <w:widowControl w:val="0"/>
                    <w:kinsoku/>
                    <w:wordWrap/>
                    <w:overflowPunct w:val="0"/>
                    <w:topLinePunct w:val="0"/>
                    <w:autoSpaceDE w:val="0"/>
                    <w:autoSpaceDN w:val="0"/>
                    <w:bidi w:val="0"/>
                    <w:ind w:left="0" w:leftChars="0" w:right="0" w:rightChars="0" w:firstLine="0" w:firstLineChars="0"/>
                    <w:jc w:val="center"/>
                    <w:rPr>
                      <w:rFonts w:hint="default" w:ascii="Times New Roman" w:hAnsi="Times New Roman" w:cs="Times New Roman"/>
                      <w:color w:val="auto"/>
                      <w:u w:val="none"/>
                      <w:lang w:eastAsia="zh-CN"/>
                    </w:rPr>
                  </w:pPr>
                </w:p>
              </w:tc>
              <w:tc>
                <w:tcPr>
                  <w:tcW w:w="2536" w:type="dxa"/>
                  <w:vMerge w:val="continue"/>
                  <w:tcBorders>
                    <w:tl2br w:val="nil"/>
                    <w:tr2bl w:val="nil"/>
                  </w:tcBorders>
                  <w:vAlign w:val="center"/>
                </w:tcPr>
                <w:p w14:paraId="646C656E">
                  <w:pPr>
                    <w:pStyle w:val="145"/>
                    <w:keepNext w:val="0"/>
                    <w:keepLines w:val="0"/>
                    <w:pageBreakBefore w:val="0"/>
                    <w:widowControl w:val="0"/>
                    <w:kinsoku/>
                    <w:wordWrap/>
                    <w:overflowPunct w:val="0"/>
                    <w:topLinePunct w:val="0"/>
                    <w:autoSpaceDE w:val="0"/>
                    <w:autoSpaceDN w:val="0"/>
                    <w:bidi w:val="0"/>
                    <w:ind w:left="0" w:leftChars="0" w:right="0" w:rightChars="0" w:firstLine="0" w:firstLineChars="0"/>
                    <w:jc w:val="center"/>
                    <w:rPr>
                      <w:rFonts w:hint="default" w:ascii="Times New Roman" w:hAnsi="Times New Roman" w:cs="Times New Roman"/>
                      <w:color w:val="auto"/>
                      <w:u w:val="none"/>
                      <w:lang w:eastAsia="zh-CN"/>
                    </w:rPr>
                  </w:pPr>
                </w:p>
              </w:tc>
            </w:tr>
            <w:tr w14:paraId="6FF139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50" w:type="dxa"/>
                  <w:tcBorders>
                    <w:tl2br w:val="nil"/>
                    <w:tr2bl w:val="nil"/>
                  </w:tcBorders>
                  <w:vAlign w:val="center"/>
                </w:tcPr>
                <w:p w14:paraId="065F857B">
                  <w:pPr>
                    <w:pStyle w:val="145"/>
                    <w:keepNext w:val="0"/>
                    <w:keepLines w:val="0"/>
                    <w:pageBreakBefore w:val="0"/>
                    <w:widowControl w:val="0"/>
                    <w:kinsoku/>
                    <w:wordWrap/>
                    <w:overflowPunct w:val="0"/>
                    <w:topLinePunct w:val="0"/>
                    <w:autoSpaceDE w:val="0"/>
                    <w:autoSpaceDN w:val="0"/>
                    <w:bidi w:val="0"/>
                    <w:ind w:left="0" w:leftChars="0" w:right="0" w:rightChars="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eastAsia="zh-CN"/>
                    </w:rPr>
                    <w:t>项目边界西外</w:t>
                  </w:r>
                  <w:r>
                    <w:rPr>
                      <w:rFonts w:hint="default" w:ascii="Times New Roman" w:hAnsi="Times New Roman" w:cs="Times New Roman"/>
                      <w:color w:val="auto"/>
                      <w:u w:val="none"/>
                      <w:lang w:val="en-US" w:eastAsia="zh-CN"/>
                    </w:rPr>
                    <w:t>1m</w:t>
                  </w:r>
                </w:p>
              </w:tc>
              <w:tc>
                <w:tcPr>
                  <w:tcW w:w="1175" w:type="dxa"/>
                  <w:vMerge w:val="continue"/>
                  <w:tcBorders>
                    <w:tl2br w:val="nil"/>
                    <w:tr2bl w:val="nil"/>
                  </w:tcBorders>
                  <w:vAlign w:val="center"/>
                </w:tcPr>
                <w:p w14:paraId="34822BD0">
                  <w:pPr>
                    <w:pStyle w:val="145"/>
                    <w:keepNext w:val="0"/>
                    <w:keepLines w:val="0"/>
                    <w:pageBreakBefore w:val="0"/>
                    <w:widowControl w:val="0"/>
                    <w:kinsoku/>
                    <w:wordWrap/>
                    <w:overflowPunct w:val="0"/>
                    <w:topLinePunct w:val="0"/>
                    <w:autoSpaceDE w:val="0"/>
                    <w:autoSpaceDN w:val="0"/>
                    <w:bidi w:val="0"/>
                    <w:ind w:left="0" w:leftChars="0" w:right="0" w:rightChars="0" w:firstLine="0" w:firstLineChars="0"/>
                    <w:jc w:val="center"/>
                    <w:rPr>
                      <w:rFonts w:hint="default" w:ascii="Times New Roman" w:hAnsi="Times New Roman" w:cs="Times New Roman"/>
                      <w:color w:val="auto"/>
                      <w:u w:val="none"/>
                      <w:lang w:eastAsia="zh-CN"/>
                    </w:rPr>
                  </w:pPr>
                </w:p>
              </w:tc>
              <w:tc>
                <w:tcPr>
                  <w:tcW w:w="1826" w:type="dxa"/>
                  <w:vMerge w:val="continue"/>
                  <w:tcBorders>
                    <w:tl2br w:val="nil"/>
                    <w:tr2bl w:val="nil"/>
                  </w:tcBorders>
                  <w:vAlign w:val="center"/>
                </w:tcPr>
                <w:p w14:paraId="0BC731A7">
                  <w:pPr>
                    <w:pStyle w:val="145"/>
                    <w:keepNext w:val="0"/>
                    <w:keepLines w:val="0"/>
                    <w:pageBreakBefore w:val="0"/>
                    <w:widowControl w:val="0"/>
                    <w:kinsoku/>
                    <w:wordWrap/>
                    <w:overflowPunct w:val="0"/>
                    <w:topLinePunct w:val="0"/>
                    <w:autoSpaceDE w:val="0"/>
                    <w:autoSpaceDN w:val="0"/>
                    <w:bidi w:val="0"/>
                    <w:ind w:left="0" w:leftChars="0" w:right="0" w:rightChars="0" w:firstLine="0" w:firstLineChars="0"/>
                    <w:jc w:val="center"/>
                    <w:rPr>
                      <w:rFonts w:hint="default" w:ascii="Times New Roman" w:hAnsi="Times New Roman" w:cs="Times New Roman"/>
                      <w:color w:val="auto"/>
                      <w:u w:val="none"/>
                      <w:lang w:eastAsia="zh-CN"/>
                    </w:rPr>
                  </w:pPr>
                </w:p>
              </w:tc>
              <w:tc>
                <w:tcPr>
                  <w:tcW w:w="2536" w:type="dxa"/>
                  <w:vMerge w:val="continue"/>
                  <w:tcBorders>
                    <w:tl2br w:val="nil"/>
                    <w:tr2bl w:val="nil"/>
                  </w:tcBorders>
                  <w:vAlign w:val="center"/>
                </w:tcPr>
                <w:p w14:paraId="3A1CE0C1">
                  <w:pPr>
                    <w:pStyle w:val="145"/>
                    <w:keepNext w:val="0"/>
                    <w:keepLines w:val="0"/>
                    <w:pageBreakBefore w:val="0"/>
                    <w:widowControl w:val="0"/>
                    <w:kinsoku/>
                    <w:wordWrap/>
                    <w:overflowPunct w:val="0"/>
                    <w:topLinePunct w:val="0"/>
                    <w:autoSpaceDE w:val="0"/>
                    <w:autoSpaceDN w:val="0"/>
                    <w:bidi w:val="0"/>
                    <w:ind w:left="0" w:leftChars="0" w:right="0" w:rightChars="0" w:firstLine="0" w:firstLineChars="0"/>
                    <w:jc w:val="center"/>
                    <w:rPr>
                      <w:rFonts w:hint="default" w:ascii="Times New Roman" w:hAnsi="Times New Roman" w:cs="Times New Roman"/>
                      <w:color w:val="auto"/>
                      <w:u w:val="none"/>
                      <w:lang w:eastAsia="zh-CN"/>
                    </w:rPr>
                  </w:pPr>
                </w:p>
              </w:tc>
            </w:tr>
            <w:tr w14:paraId="5DD9D2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250" w:type="dxa"/>
                  <w:tcBorders>
                    <w:tl2br w:val="nil"/>
                    <w:tr2bl w:val="nil"/>
                  </w:tcBorders>
                  <w:vAlign w:val="center"/>
                </w:tcPr>
                <w:p w14:paraId="4AAE9C42">
                  <w:pPr>
                    <w:pStyle w:val="145"/>
                    <w:keepNext w:val="0"/>
                    <w:keepLines w:val="0"/>
                    <w:pageBreakBefore w:val="0"/>
                    <w:widowControl w:val="0"/>
                    <w:kinsoku/>
                    <w:wordWrap/>
                    <w:overflowPunct w:val="0"/>
                    <w:topLinePunct w:val="0"/>
                    <w:autoSpaceDE w:val="0"/>
                    <w:autoSpaceDN w:val="0"/>
                    <w:bidi w:val="0"/>
                    <w:ind w:left="0" w:leftChars="0" w:right="0" w:rightChars="0" w:firstLine="0" w:firstLineChars="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eastAsia="zh-CN"/>
                    </w:rPr>
                    <w:t>项目边界北外</w:t>
                  </w:r>
                  <w:r>
                    <w:rPr>
                      <w:rFonts w:hint="default" w:ascii="Times New Roman" w:hAnsi="Times New Roman" w:cs="Times New Roman"/>
                      <w:color w:val="auto"/>
                      <w:u w:val="none"/>
                      <w:lang w:val="en-US" w:eastAsia="zh-CN"/>
                    </w:rPr>
                    <w:t>1m</w:t>
                  </w:r>
                </w:p>
              </w:tc>
              <w:tc>
                <w:tcPr>
                  <w:tcW w:w="1175" w:type="dxa"/>
                  <w:vMerge w:val="continue"/>
                  <w:tcBorders>
                    <w:tl2br w:val="nil"/>
                    <w:tr2bl w:val="nil"/>
                  </w:tcBorders>
                  <w:vAlign w:val="center"/>
                </w:tcPr>
                <w:p w14:paraId="78A2A874">
                  <w:pPr>
                    <w:pStyle w:val="145"/>
                    <w:keepNext w:val="0"/>
                    <w:keepLines w:val="0"/>
                    <w:pageBreakBefore w:val="0"/>
                    <w:widowControl w:val="0"/>
                    <w:kinsoku/>
                    <w:wordWrap/>
                    <w:overflowPunct w:val="0"/>
                    <w:topLinePunct w:val="0"/>
                    <w:autoSpaceDE w:val="0"/>
                    <w:autoSpaceDN w:val="0"/>
                    <w:bidi w:val="0"/>
                    <w:ind w:left="0" w:leftChars="0" w:right="0" w:rightChars="0" w:firstLine="0" w:firstLineChars="0"/>
                    <w:jc w:val="center"/>
                    <w:rPr>
                      <w:rFonts w:hint="default" w:ascii="Times New Roman" w:hAnsi="Times New Roman" w:cs="Times New Roman"/>
                      <w:color w:val="auto"/>
                      <w:u w:val="none"/>
                      <w:lang w:eastAsia="zh-CN"/>
                    </w:rPr>
                  </w:pPr>
                </w:p>
              </w:tc>
              <w:tc>
                <w:tcPr>
                  <w:tcW w:w="1826" w:type="dxa"/>
                  <w:vMerge w:val="continue"/>
                  <w:tcBorders>
                    <w:tl2br w:val="nil"/>
                    <w:tr2bl w:val="nil"/>
                  </w:tcBorders>
                  <w:vAlign w:val="center"/>
                </w:tcPr>
                <w:p w14:paraId="290450F6">
                  <w:pPr>
                    <w:pStyle w:val="145"/>
                    <w:keepNext w:val="0"/>
                    <w:keepLines w:val="0"/>
                    <w:pageBreakBefore w:val="0"/>
                    <w:widowControl w:val="0"/>
                    <w:kinsoku/>
                    <w:wordWrap/>
                    <w:overflowPunct w:val="0"/>
                    <w:topLinePunct w:val="0"/>
                    <w:autoSpaceDE w:val="0"/>
                    <w:autoSpaceDN w:val="0"/>
                    <w:bidi w:val="0"/>
                    <w:ind w:left="0" w:leftChars="0" w:right="0" w:rightChars="0" w:firstLine="0" w:firstLineChars="0"/>
                    <w:jc w:val="center"/>
                    <w:rPr>
                      <w:rFonts w:hint="default" w:ascii="Times New Roman" w:hAnsi="Times New Roman" w:cs="Times New Roman"/>
                      <w:color w:val="auto"/>
                      <w:u w:val="none"/>
                      <w:lang w:eastAsia="zh-CN"/>
                    </w:rPr>
                  </w:pPr>
                </w:p>
              </w:tc>
              <w:tc>
                <w:tcPr>
                  <w:tcW w:w="2536" w:type="dxa"/>
                  <w:vMerge w:val="continue"/>
                  <w:tcBorders>
                    <w:tl2br w:val="nil"/>
                    <w:tr2bl w:val="nil"/>
                  </w:tcBorders>
                  <w:vAlign w:val="center"/>
                </w:tcPr>
                <w:p w14:paraId="51405EE1">
                  <w:pPr>
                    <w:pStyle w:val="145"/>
                    <w:keepNext w:val="0"/>
                    <w:keepLines w:val="0"/>
                    <w:pageBreakBefore w:val="0"/>
                    <w:widowControl w:val="0"/>
                    <w:kinsoku/>
                    <w:wordWrap/>
                    <w:overflowPunct w:val="0"/>
                    <w:topLinePunct w:val="0"/>
                    <w:autoSpaceDE w:val="0"/>
                    <w:autoSpaceDN w:val="0"/>
                    <w:bidi w:val="0"/>
                    <w:ind w:left="0" w:leftChars="0" w:right="0" w:rightChars="0" w:firstLine="0" w:firstLineChars="0"/>
                    <w:jc w:val="center"/>
                    <w:rPr>
                      <w:rFonts w:hint="default" w:ascii="Times New Roman" w:hAnsi="Times New Roman" w:cs="Times New Roman"/>
                      <w:color w:val="auto"/>
                      <w:u w:val="none"/>
                      <w:lang w:eastAsia="zh-CN"/>
                    </w:rPr>
                  </w:pPr>
                </w:p>
              </w:tc>
            </w:tr>
          </w:tbl>
          <w:p w14:paraId="60981FA8">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u w:val="none"/>
                <w:lang w:val="en-US" w:eastAsia="zh-CN"/>
              </w:rPr>
            </w:pPr>
            <w:r>
              <w:rPr>
                <w:rFonts w:hint="eastAsia" w:ascii="Times New Roman" w:hAnsi="Times New Roman" w:eastAsia="宋体" w:cs="Times New Roman"/>
                <w:b w:val="0"/>
                <w:bCs w:val="0"/>
                <w:color w:val="auto"/>
                <w:u w:val="none"/>
                <w:lang w:val="en-US" w:eastAsia="zh-CN"/>
              </w:rPr>
              <w:t>本环评要求，项目要严格落实对产噪设备采取相应噪声治理措施，如选用低噪声的环保设备、房间密闭、污水泵、污泥泵地面等，确保本项目投入运行后不会对项目周围的散居居民产生不良影响。</w:t>
            </w:r>
          </w:p>
          <w:p w14:paraId="0ADBCF90">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四、固体废物环境影响和保护措施</w:t>
            </w:r>
          </w:p>
          <w:p w14:paraId="63C46F04">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1、固废污染源源强核算</w:t>
            </w:r>
          </w:p>
          <w:p w14:paraId="3D6CBE6B">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污水处理厂产生的固体废弃物主要为格栅拦下的栅渣、调节池沉砂、污泥等一般固体废物、紫外消毒产生的废灯管和设备检修过程中产生的废机油等危险废物，以及职工生活垃圾等。</w:t>
            </w:r>
          </w:p>
          <w:p w14:paraId="2C78C533">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lang w:val="en-US" w:eastAsia="zh-CN"/>
              </w:rPr>
            </w:pPr>
            <w:bookmarkStart w:id="11" w:name="_Toc29414"/>
            <w:bookmarkStart w:id="12" w:name="_Toc32688"/>
            <w:bookmarkStart w:id="13" w:name="_Toc30874"/>
            <w:bookmarkStart w:id="14" w:name="_Toc2521"/>
            <w:bookmarkStart w:id="15" w:name="_Toc15462"/>
            <w:bookmarkStart w:id="16" w:name="_Toc367778949"/>
            <w:bookmarkStart w:id="17" w:name="_Toc29528"/>
            <w:bookmarkStart w:id="18" w:name="_Toc12425"/>
            <w:bookmarkStart w:id="19" w:name="_Toc23667"/>
            <w:r>
              <w:rPr>
                <w:rFonts w:hint="eastAsia" w:ascii="Times New Roman" w:hAnsi="Times New Roman" w:eastAsia="宋体" w:cs="Times New Roman"/>
                <w:b w:val="0"/>
                <w:bCs w:val="0"/>
                <w:color w:val="auto"/>
                <w:lang w:val="en-US" w:eastAsia="zh-CN"/>
              </w:rPr>
              <w:t>（1）栅渣</w:t>
            </w:r>
            <w:bookmarkEnd w:id="11"/>
            <w:bookmarkEnd w:id="12"/>
            <w:bookmarkEnd w:id="13"/>
            <w:bookmarkEnd w:id="14"/>
            <w:bookmarkEnd w:id="15"/>
            <w:bookmarkEnd w:id="16"/>
            <w:bookmarkEnd w:id="17"/>
            <w:bookmarkEnd w:id="18"/>
            <w:bookmarkEnd w:id="19"/>
          </w:p>
          <w:p w14:paraId="28A0AA4F">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从城镇收集的生活污水中往往含有大量的杂物，为了使这些杂物不进入污水处理厂损坏设备和影响污水的生化处理，需要使用多级格栅拦截杂物，格栅拦截渣尺寸一般比较大，根据《室外排水设计规范》，污水处理厂粗、细栅渣量可按每1m</w:t>
            </w:r>
            <w:r>
              <w:rPr>
                <w:rFonts w:hint="eastAsia" w:ascii="Times New Roman" w:hAnsi="Times New Roman" w:eastAsia="宋体" w:cs="Times New Roman"/>
                <w:b w:val="0"/>
                <w:bCs w:val="0"/>
                <w:color w:val="auto"/>
                <w:vertAlign w:val="superscript"/>
                <w:lang w:val="en-US" w:eastAsia="zh-CN"/>
              </w:rPr>
              <w:t>3</w:t>
            </w:r>
            <w:r>
              <w:rPr>
                <w:rFonts w:hint="eastAsia" w:ascii="Times New Roman" w:hAnsi="Times New Roman" w:eastAsia="宋体" w:cs="Times New Roman"/>
                <w:b w:val="0"/>
                <w:bCs w:val="0"/>
                <w:color w:val="auto"/>
                <w:lang w:val="en-US" w:eastAsia="zh-CN"/>
              </w:rPr>
              <w:t>污水0.1kg计算。</w:t>
            </w:r>
            <w:r>
              <w:rPr>
                <w:rFonts w:hint="eastAsia" w:ascii="Times New Roman" w:hAnsi="Times New Roman" w:eastAsia="宋体" w:cs="Times New Roman"/>
                <w:b w:val="0"/>
                <w:bCs w:val="0"/>
                <w:color w:val="auto"/>
                <w:highlight w:val="none"/>
                <w:lang w:val="en-US" w:eastAsia="zh-CN"/>
              </w:rPr>
              <w:t>项目污水处理厂近期污水处理规模为</w:t>
            </w:r>
            <w:r>
              <w:rPr>
                <w:rFonts w:hint="eastAsia" w:cs="Times New Roman"/>
                <w:b w:val="0"/>
                <w:bCs w:val="0"/>
                <w:color w:val="auto"/>
                <w:highlight w:val="none"/>
                <w:lang w:val="en-US" w:eastAsia="zh-CN"/>
              </w:rPr>
              <w:t>1.5万</w:t>
            </w:r>
            <w:r>
              <w:rPr>
                <w:rFonts w:hint="default" w:ascii="Times New Roman" w:hAnsi="Times New Roman" w:eastAsia="宋体" w:cs="Times New Roman"/>
                <w:b w:val="0"/>
                <w:bCs w:val="0"/>
                <w:color w:val="auto"/>
                <w:highlight w:val="none"/>
                <w:lang w:val="en-US" w:eastAsia="zh-CN"/>
              </w:rPr>
              <w:t>m</w:t>
            </w:r>
            <w:r>
              <w:rPr>
                <w:rFonts w:hint="default" w:ascii="Times New Roman" w:hAnsi="Times New Roman" w:eastAsia="宋体" w:cs="Times New Roman"/>
                <w:b w:val="0"/>
                <w:bCs w:val="0"/>
                <w:color w:val="auto"/>
                <w:highlight w:val="none"/>
                <w:vertAlign w:val="superscript"/>
                <w:lang w:val="en-US" w:eastAsia="zh-CN"/>
              </w:rPr>
              <w:t>3</w:t>
            </w:r>
            <w:r>
              <w:rPr>
                <w:rFonts w:hint="default" w:ascii="Times New Roman" w:hAnsi="Times New Roman" w:eastAsia="宋体" w:cs="Times New Roman"/>
                <w:b w:val="0"/>
                <w:bCs w:val="0"/>
                <w:color w:val="auto"/>
                <w:highlight w:val="none"/>
                <w:lang w:val="en-US" w:eastAsia="zh-CN"/>
              </w:rPr>
              <w:t>/d</w:t>
            </w:r>
            <w:r>
              <w:rPr>
                <w:rFonts w:hint="eastAsia" w:ascii="Times New Roman" w:hAnsi="Times New Roman" w:eastAsia="宋体" w:cs="Times New Roman"/>
                <w:b w:val="0"/>
                <w:bCs w:val="0"/>
                <w:color w:val="auto"/>
                <w:highlight w:val="none"/>
                <w:lang w:val="en-US" w:eastAsia="zh-CN"/>
              </w:rPr>
              <w:t>，</w:t>
            </w:r>
            <w:r>
              <w:rPr>
                <w:rFonts w:hint="eastAsia" w:ascii="Times New Roman" w:hAnsi="Times New Roman" w:eastAsia="宋体" w:cs="Times New Roman"/>
                <w:b w:val="0"/>
                <w:bCs w:val="0"/>
                <w:color w:val="auto"/>
                <w:lang w:val="en-US" w:eastAsia="zh-CN"/>
              </w:rPr>
              <w:t>则项目栅渣量为</w:t>
            </w:r>
            <w:r>
              <w:rPr>
                <w:rFonts w:hint="eastAsia" w:cs="Times New Roman"/>
                <w:b w:val="0"/>
                <w:bCs w:val="0"/>
                <w:color w:val="auto"/>
                <w:lang w:val="en-US" w:eastAsia="zh-CN"/>
              </w:rPr>
              <w:t>1.5t</w:t>
            </w:r>
            <w:r>
              <w:rPr>
                <w:rFonts w:hint="eastAsia" w:ascii="Times New Roman" w:hAnsi="Times New Roman" w:eastAsia="宋体" w:cs="Times New Roman"/>
                <w:b w:val="0"/>
                <w:bCs w:val="0"/>
                <w:color w:val="auto"/>
                <w:lang w:val="en-US" w:eastAsia="zh-CN"/>
              </w:rPr>
              <w:t>/d（含水率50%），每年按照365天计算，栅渣量为</w:t>
            </w:r>
            <w:r>
              <w:rPr>
                <w:rFonts w:hint="eastAsia" w:cs="Times New Roman"/>
                <w:b w:val="0"/>
                <w:bCs w:val="0"/>
                <w:color w:val="auto"/>
                <w:lang w:val="en-US" w:eastAsia="zh-CN"/>
              </w:rPr>
              <w:t>547.5</w:t>
            </w:r>
            <w:r>
              <w:rPr>
                <w:rFonts w:hint="eastAsia" w:ascii="Times New Roman" w:hAnsi="Times New Roman" w:eastAsia="宋体" w:cs="Times New Roman"/>
                <w:b w:val="0"/>
                <w:bCs w:val="0"/>
                <w:color w:val="auto"/>
                <w:lang w:val="en-US" w:eastAsia="zh-CN"/>
              </w:rPr>
              <w:t>t/a，经收集交由环卫部门处理进行处理。</w:t>
            </w:r>
          </w:p>
          <w:p w14:paraId="7EC819E6">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u w:val="none"/>
                <w:lang w:val="en-US" w:eastAsia="zh-CN"/>
              </w:rPr>
            </w:pPr>
            <w:r>
              <w:rPr>
                <w:rFonts w:hint="eastAsia" w:ascii="Times New Roman" w:hAnsi="Times New Roman" w:eastAsia="宋体" w:cs="Times New Roman"/>
                <w:b w:val="0"/>
                <w:bCs w:val="0"/>
                <w:color w:val="auto"/>
                <w:u w:val="none"/>
                <w:lang w:val="en-US" w:eastAsia="zh-CN"/>
              </w:rPr>
              <w:t>（2）沉砂</w:t>
            </w:r>
          </w:p>
          <w:p w14:paraId="30C751CE">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ascii="Times New Roman" w:hAnsi="Times New Roman" w:eastAsia="宋体" w:cs="Times New Roman"/>
                <w:b w:val="0"/>
                <w:bCs w:val="0"/>
                <w:color w:val="auto"/>
                <w:u w:val="none"/>
                <w:lang w:val="en-US" w:eastAsia="zh-CN"/>
              </w:rPr>
            </w:pPr>
            <w:r>
              <w:rPr>
                <w:rFonts w:hint="eastAsia" w:ascii="Times New Roman" w:hAnsi="Times New Roman" w:eastAsia="宋体" w:cs="Times New Roman"/>
                <w:b w:val="0"/>
                <w:bCs w:val="0"/>
                <w:color w:val="auto"/>
                <w:u w:val="none"/>
                <w:lang w:val="en-US" w:eastAsia="zh-CN"/>
              </w:rPr>
              <w:t>本项目污水处理厂，根据《室外排水设计规范》，城镇污水的沉砂量可按每1m</w:t>
            </w:r>
            <w:r>
              <w:rPr>
                <w:rFonts w:hint="eastAsia" w:ascii="Times New Roman" w:hAnsi="Times New Roman" w:eastAsia="宋体" w:cs="Times New Roman"/>
                <w:b w:val="0"/>
                <w:bCs w:val="0"/>
                <w:color w:val="auto"/>
                <w:u w:val="none"/>
                <w:vertAlign w:val="superscript"/>
                <w:lang w:val="en-US" w:eastAsia="zh-CN"/>
              </w:rPr>
              <w:t>3</w:t>
            </w:r>
            <w:r>
              <w:rPr>
                <w:rFonts w:hint="eastAsia" w:ascii="Times New Roman" w:hAnsi="Times New Roman" w:eastAsia="宋体" w:cs="Times New Roman"/>
                <w:b w:val="0"/>
                <w:bCs w:val="0"/>
                <w:color w:val="auto"/>
                <w:u w:val="none"/>
                <w:lang w:val="en-US" w:eastAsia="zh-CN"/>
              </w:rPr>
              <w:t>污水0.03kg计算，则污水处理厂沉砂量为</w:t>
            </w:r>
            <w:r>
              <w:rPr>
                <w:rFonts w:hint="eastAsia" w:cs="Times New Roman"/>
                <w:b w:val="0"/>
                <w:bCs w:val="0"/>
                <w:color w:val="auto"/>
                <w:u w:val="none"/>
                <w:lang w:val="en-US" w:eastAsia="zh-CN"/>
              </w:rPr>
              <w:t>0.45t</w:t>
            </w:r>
            <w:r>
              <w:rPr>
                <w:rFonts w:hint="eastAsia" w:ascii="Times New Roman" w:hAnsi="Times New Roman" w:eastAsia="宋体" w:cs="Times New Roman"/>
                <w:b w:val="0"/>
                <w:bCs w:val="0"/>
                <w:color w:val="auto"/>
                <w:u w:val="none"/>
                <w:lang w:val="en-US" w:eastAsia="zh-CN"/>
              </w:rPr>
              <w:t>/d、</w:t>
            </w:r>
            <w:r>
              <w:rPr>
                <w:rFonts w:hint="eastAsia" w:cs="Times New Roman"/>
                <w:b w:val="0"/>
                <w:bCs w:val="0"/>
                <w:color w:val="auto"/>
                <w:u w:val="none"/>
                <w:lang w:val="en-US" w:eastAsia="zh-CN"/>
              </w:rPr>
              <w:t>164.25</w:t>
            </w:r>
            <w:r>
              <w:rPr>
                <w:rFonts w:hint="eastAsia" w:ascii="Times New Roman" w:hAnsi="Times New Roman" w:eastAsia="宋体" w:cs="Times New Roman"/>
                <w:b w:val="0"/>
                <w:bCs w:val="0"/>
                <w:color w:val="auto"/>
                <w:u w:val="none"/>
                <w:lang w:val="en-US" w:eastAsia="zh-CN"/>
              </w:rPr>
              <w:t>t/a（含水率小于60%），沉砂经脱水处理后经收集交由环卫部门处理进行处理。</w:t>
            </w:r>
          </w:p>
          <w:p w14:paraId="5152A3D7">
            <w:pPr>
              <w:spacing w:line="360" w:lineRule="auto"/>
              <w:ind w:firstLine="480" w:firstLineChars="200"/>
              <w:rPr>
                <w:rFonts w:ascii="Times New Roman" w:hAnsi="Times New Roman"/>
                <w:color w:val="auto"/>
                <w:sz w:val="24"/>
                <w:szCs w:val="24"/>
                <w:highlight w:val="none"/>
                <w:u w:val="none"/>
              </w:rPr>
            </w:pPr>
            <w:r>
              <w:rPr>
                <w:rFonts w:ascii="Times New Roman"/>
                <w:color w:val="auto"/>
                <w:sz w:val="24"/>
                <w:highlight w:val="none"/>
                <w:u w:val="none"/>
              </w:rPr>
              <w:t>（</w:t>
            </w:r>
            <w:r>
              <w:rPr>
                <w:rFonts w:ascii="Times New Roman" w:hAnsi="Times New Roman"/>
                <w:color w:val="auto"/>
                <w:sz w:val="24"/>
                <w:highlight w:val="none"/>
                <w:u w:val="none"/>
              </w:rPr>
              <w:t>3</w:t>
            </w:r>
            <w:r>
              <w:rPr>
                <w:rFonts w:ascii="Times New Roman"/>
                <w:color w:val="auto"/>
                <w:sz w:val="24"/>
                <w:highlight w:val="none"/>
                <w:u w:val="none"/>
              </w:rPr>
              <w:t>）污泥</w:t>
            </w:r>
          </w:p>
          <w:p w14:paraId="0EAE9B86">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cs="Times New Roman"/>
                <w:b w:val="0"/>
                <w:bCs w:val="0"/>
                <w:color w:val="auto"/>
                <w:u w:val="single"/>
                <w:lang w:val="en-US" w:eastAsia="zh-CN"/>
              </w:rPr>
            </w:pPr>
            <w:r>
              <w:rPr>
                <w:rFonts w:hint="eastAsia" w:cs="Times New Roman"/>
                <w:b w:val="0"/>
                <w:bCs w:val="0"/>
                <w:color w:val="auto"/>
                <w:u w:val="single"/>
                <w:lang w:val="en-US" w:eastAsia="zh-CN"/>
              </w:rPr>
              <w:t>类比同类型城市生活污水处理厂污泥产生量污泥每天产生量约为3.57t/10</w:t>
            </w:r>
            <w:r>
              <w:rPr>
                <w:rFonts w:hint="eastAsia" w:cs="Times New Roman"/>
                <w:b w:val="0"/>
                <w:bCs w:val="0"/>
                <w:color w:val="auto"/>
                <w:u w:val="single"/>
                <w:vertAlign w:val="superscript"/>
                <w:lang w:val="en-US" w:eastAsia="zh-CN"/>
              </w:rPr>
              <w:t>4</w:t>
            </w:r>
            <w:r>
              <w:rPr>
                <w:rFonts w:hint="eastAsia" w:cs="Times New Roman"/>
                <w:b w:val="0"/>
                <w:bCs w:val="0"/>
                <w:color w:val="auto"/>
                <w:u w:val="single"/>
                <w:lang w:val="en-US" w:eastAsia="zh-CN"/>
              </w:rPr>
              <w:t>m</w:t>
            </w:r>
            <w:r>
              <w:rPr>
                <w:rFonts w:hint="eastAsia" w:cs="Times New Roman"/>
                <w:b w:val="0"/>
                <w:bCs w:val="0"/>
                <w:color w:val="auto"/>
                <w:u w:val="single"/>
                <w:vertAlign w:val="superscript"/>
                <w:lang w:val="en-US" w:eastAsia="zh-CN"/>
              </w:rPr>
              <w:t>3</w:t>
            </w:r>
            <w:r>
              <w:rPr>
                <w:rFonts w:hint="eastAsia" w:cs="Times New Roman"/>
                <w:b w:val="0"/>
                <w:bCs w:val="0"/>
                <w:color w:val="auto"/>
                <w:u w:val="single"/>
                <w:lang w:val="en-US" w:eastAsia="zh-CN"/>
              </w:rPr>
              <w:t>污水。本项目污水设计规模为15000m</w:t>
            </w:r>
            <w:r>
              <w:rPr>
                <w:rFonts w:hint="eastAsia" w:cs="Times New Roman"/>
                <w:b w:val="0"/>
                <w:bCs w:val="0"/>
                <w:color w:val="auto"/>
                <w:u w:val="single"/>
                <w:vertAlign w:val="superscript"/>
                <w:lang w:val="en-US" w:eastAsia="zh-CN"/>
              </w:rPr>
              <w:t>3</w:t>
            </w:r>
            <w:r>
              <w:rPr>
                <w:rFonts w:hint="eastAsia" w:cs="Times New Roman"/>
                <w:b w:val="0"/>
                <w:bCs w:val="0"/>
                <w:color w:val="auto"/>
                <w:u w:val="single"/>
                <w:lang w:val="en-US" w:eastAsia="zh-CN"/>
              </w:rPr>
              <w:t>/d，则本项目污泥产生量为5.36t/d（1956.4t/a）。</w:t>
            </w:r>
          </w:p>
          <w:p w14:paraId="1A45CB48">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cs="Times New Roman"/>
                <w:b w:val="0"/>
                <w:bCs w:val="0"/>
                <w:color w:val="auto"/>
                <w:u w:val="single"/>
                <w:lang w:val="en-US" w:eastAsia="zh-CN"/>
              </w:rPr>
            </w:pPr>
            <w:r>
              <w:rPr>
                <w:rFonts w:hint="eastAsia" w:cs="Times New Roman"/>
                <w:b w:val="0"/>
                <w:bCs w:val="0"/>
                <w:color w:val="auto"/>
                <w:u w:val="single"/>
                <w:lang w:val="en-US" w:eastAsia="zh-CN"/>
              </w:rPr>
              <w:t>本项目污泥采用板框污泥脱水机进行脱水，脱水后本项目污泥（含水率60%）产生量为2.68t/d（978.2t/a）。</w:t>
            </w:r>
          </w:p>
          <w:p w14:paraId="4A77F200">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cs="Times New Roman"/>
                <w:b w:val="0"/>
                <w:bCs w:val="0"/>
                <w:color w:val="auto"/>
                <w:u w:val="none"/>
                <w:lang w:val="en-US" w:eastAsia="zh-CN"/>
              </w:rPr>
            </w:pPr>
            <w:r>
              <w:rPr>
                <w:rFonts w:hint="eastAsia" w:cs="Times New Roman"/>
                <w:b w:val="0"/>
                <w:bCs w:val="0"/>
                <w:color w:val="auto"/>
                <w:u w:val="none"/>
                <w:lang w:val="en-US" w:eastAsia="zh-CN"/>
              </w:rPr>
              <w:t>根据环境保护部函《关于污（废）水处理设施产生污泥危险特性鉴别有关意见的函》（环函[2010]129 号），“单纯用于处理城镇生活污水的公共污水处理厂，其产生的污泥通常情况下不具有危险特性，可作为一般固体废物管理”。根据《一般固体废物分类与代码》（GB/T39198-2020），本项目污泥属于污水处理及其再生利用过程中产生的有机废水污泥，其类别代码为462-001-62。</w:t>
            </w:r>
          </w:p>
          <w:p w14:paraId="1B6DE8FC">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default" w:cs="Times New Roman"/>
                <w:b w:val="0"/>
                <w:bCs w:val="0"/>
                <w:color w:val="auto"/>
                <w:u w:val="none"/>
                <w:lang w:val="en-US" w:eastAsia="zh-CN"/>
              </w:rPr>
            </w:pPr>
            <w:r>
              <w:rPr>
                <w:rFonts w:hint="eastAsia" w:cs="Times New Roman"/>
                <w:b w:val="0"/>
                <w:bCs w:val="0"/>
                <w:color w:val="auto"/>
                <w:u w:val="single"/>
                <w:lang w:val="en-US" w:eastAsia="zh-CN"/>
              </w:rPr>
              <w:t>根据建设方提供资料，本项目污泥经板框压滤机脱水后运至龙山县生活垃圾二级中转站，再经中转站运送至永顺县生活垃圾焚烧发电厂进行焚烧处理。</w:t>
            </w:r>
          </w:p>
          <w:p w14:paraId="20ED62C9">
            <w:pPr>
              <w:spacing w:line="360" w:lineRule="auto"/>
              <w:ind w:firstLine="480" w:firstLineChars="200"/>
              <w:rPr>
                <w:rFonts w:ascii="Times New Roman" w:hAnsi="Times New Roman" w:eastAsia="宋体" w:cs="Times New Roman"/>
                <w:color w:val="auto"/>
                <w:sz w:val="24"/>
                <w:highlight w:val="none"/>
              </w:rPr>
            </w:pPr>
            <w:r>
              <w:rPr>
                <w:rFonts w:ascii="Times New Roman" w:hAnsi="Times New Roman" w:eastAsia="宋体" w:cs="Times New Roman"/>
                <w:color w:val="auto"/>
                <w:sz w:val="24"/>
                <w:highlight w:val="none"/>
              </w:rPr>
              <w:t>（</w:t>
            </w:r>
            <w:r>
              <w:rPr>
                <w:rFonts w:hint="eastAsia" w:ascii="Times New Roman" w:hAnsi="Times New Roman" w:eastAsia="宋体" w:cs="Times New Roman"/>
                <w:color w:val="auto"/>
                <w:sz w:val="24"/>
                <w:highlight w:val="none"/>
                <w:lang w:val="en-US" w:eastAsia="zh-CN"/>
              </w:rPr>
              <w:t>4</w:t>
            </w:r>
            <w:r>
              <w:rPr>
                <w:rFonts w:ascii="Times New Roman" w:hAnsi="Times New Roman" w:eastAsia="宋体" w:cs="Times New Roman"/>
                <w:color w:val="auto"/>
                <w:sz w:val="24"/>
                <w:highlight w:val="none"/>
              </w:rPr>
              <w:t>）生活垃圾</w:t>
            </w:r>
          </w:p>
          <w:p w14:paraId="23A44139">
            <w:pPr>
              <w:spacing w:line="360" w:lineRule="auto"/>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项目</w:t>
            </w:r>
            <w:r>
              <w:rPr>
                <w:rFonts w:hint="eastAsia" w:ascii="Times New Roman" w:hAnsi="Times New Roman" w:eastAsia="宋体" w:cs="Times New Roman"/>
                <w:color w:val="auto"/>
                <w:sz w:val="24"/>
                <w:highlight w:val="none"/>
                <w:lang w:val="en-US" w:eastAsia="zh-CN"/>
              </w:rPr>
              <w:t>劳动定员</w:t>
            </w:r>
            <w:r>
              <w:rPr>
                <w:rFonts w:hint="eastAsia" w:cs="Times New Roman"/>
                <w:color w:val="auto"/>
                <w:sz w:val="24"/>
                <w:highlight w:val="none"/>
                <w:lang w:val="en-US" w:eastAsia="zh-CN"/>
              </w:rPr>
              <w:t>9</w:t>
            </w:r>
            <w:r>
              <w:rPr>
                <w:rFonts w:hint="eastAsia" w:ascii="Times New Roman" w:hAnsi="Times New Roman" w:eastAsia="宋体" w:cs="Times New Roman"/>
                <w:color w:val="auto"/>
                <w:sz w:val="24"/>
                <w:highlight w:val="none"/>
                <w:lang w:val="en-US" w:eastAsia="zh-CN"/>
              </w:rPr>
              <w:t>人，污水处理厂内不设食堂，</w:t>
            </w:r>
            <w:r>
              <w:rPr>
                <w:rFonts w:ascii="Times New Roman" w:hAnsi="Times New Roman" w:eastAsia="宋体" w:cs="Times New Roman"/>
                <w:color w:val="auto"/>
                <w:sz w:val="24"/>
                <w:highlight w:val="none"/>
              </w:rPr>
              <w:t>生活垃圾产生量按1.0kg/人·天计，则</w:t>
            </w:r>
            <w:r>
              <w:rPr>
                <w:rFonts w:hint="eastAsia" w:ascii="Times New Roman" w:hAnsi="Times New Roman" w:eastAsia="宋体" w:cs="Times New Roman"/>
                <w:color w:val="auto"/>
                <w:sz w:val="24"/>
                <w:highlight w:val="none"/>
                <w:lang w:val="en-US" w:eastAsia="zh-CN"/>
              </w:rPr>
              <w:t>污水处理厂</w:t>
            </w:r>
            <w:r>
              <w:rPr>
                <w:rFonts w:ascii="Times New Roman" w:hAnsi="Times New Roman" w:eastAsia="宋体" w:cs="Times New Roman"/>
                <w:color w:val="auto"/>
                <w:sz w:val="24"/>
                <w:highlight w:val="none"/>
              </w:rPr>
              <w:t>生活垃圾产生量为</w:t>
            </w:r>
            <w:r>
              <w:rPr>
                <w:rFonts w:hint="eastAsia" w:cs="Times New Roman"/>
                <w:color w:val="auto"/>
                <w:sz w:val="24"/>
                <w:highlight w:val="none"/>
                <w:lang w:val="en-US" w:eastAsia="zh-CN"/>
              </w:rPr>
              <w:t>9</w:t>
            </w:r>
            <w:r>
              <w:rPr>
                <w:rFonts w:ascii="Times New Roman" w:hAnsi="Times New Roman" w:eastAsia="宋体" w:cs="Times New Roman"/>
                <w:color w:val="auto"/>
                <w:sz w:val="24"/>
                <w:highlight w:val="none"/>
              </w:rPr>
              <w:t>kg/d</w:t>
            </w:r>
            <w:r>
              <w:rPr>
                <w:rFonts w:hint="eastAsia" w:ascii="Times New Roman" w:hAnsi="Times New Roman" w:eastAsia="宋体" w:cs="Times New Roman"/>
                <w:color w:val="auto"/>
                <w:sz w:val="24"/>
                <w:highlight w:val="none"/>
              </w:rPr>
              <w:t>、</w:t>
            </w:r>
            <w:r>
              <w:rPr>
                <w:rFonts w:hint="eastAsia" w:cs="Times New Roman"/>
                <w:color w:val="auto"/>
                <w:sz w:val="24"/>
                <w:highlight w:val="none"/>
                <w:lang w:val="en-US" w:eastAsia="zh-CN"/>
              </w:rPr>
              <w:t>3.3</w:t>
            </w:r>
            <w:r>
              <w:rPr>
                <w:rFonts w:ascii="Times New Roman" w:hAnsi="Times New Roman" w:eastAsia="宋体" w:cs="Times New Roman"/>
                <w:color w:val="auto"/>
                <w:sz w:val="24"/>
                <w:highlight w:val="none"/>
              </w:rPr>
              <w:t>t/a</w:t>
            </w:r>
            <w:r>
              <w:rPr>
                <w:rFonts w:hint="eastAsia" w:ascii="Times New Roman" w:hAnsi="Times New Roman" w:eastAsia="宋体" w:cs="Times New Roman"/>
                <w:color w:val="auto"/>
                <w:sz w:val="24"/>
                <w:highlight w:val="none"/>
                <w:lang w:eastAsia="zh-CN"/>
              </w:rPr>
              <w:t>，统一收集后</w:t>
            </w:r>
            <w:r>
              <w:rPr>
                <w:rFonts w:hint="eastAsia" w:ascii="Times New Roman" w:hAnsi="Times New Roman" w:eastAsia="宋体" w:cs="Times New Roman"/>
                <w:color w:val="auto"/>
                <w:sz w:val="24"/>
                <w:highlight w:val="none"/>
                <w:lang w:val="en-US" w:eastAsia="zh-CN"/>
              </w:rPr>
              <w:t>交由环卫部门处理</w:t>
            </w:r>
            <w:r>
              <w:rPr>
                <w:rFonts w:ascii="Times New Roman" w:hAnsi="Times New Roman" w:eastAsia="宋体" w:cs="Times New Roman"/>
                <w:color w:val="auto"/>
                <w:sz w:val="24"/>
                <w:highlight w:val="none"/>
              </w:rPr>
              <w:t>。</w:t>
            </w:r>
          </w:p>
          <w:p w14:paraId="48BE2BAE">
            <w:pPr>
              <w:spacing w:line="360" w:lineRule="auto"/>
              <w:ind w:firstLine="480" w:firstLineChars="200"/>
              <w:rPr>
                <w:rFonts w:hint="eastAsia"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lang w:val="en-US" w:eastAsia="zh-CN"/>
              </w:rPr>
              <w:t>5</w:t>
            </w:r>
            <w:r>
              <w:rPr>
                <w:rFonts w:hint="eastAsia" w:ascii="Times New Roman" w:hAnsi="Times New Roman" w:eastAsia="宋体" w:cs="Times New Roman"/>
                <w:color w:val="auto"/>
                <w:sz w:val="24"/>
                <w:highlight w:val="none"/>
                <w:lang w:eastAsia="zh-CN"/>
              </w:rPr>
              <w:t>）</w:t>
            </w:r>
            <w:r>
              <w:rPr>
                <w:rFonts w:hint="eastAsia" w:ascii="Times New Roman" w:hAnsi="Times New Roman" w:eastAsia="宋体" w:cs="Times New Roman"/>
                <w:color w:val="auto"/>
                <w:sz w:val="24"/>
                <w:highlight w:val="none"/>
              </w:rPr>
              <w:t>危险废物</w:t>
            </w:r>
          </w:p>
          <w:p w14:paraId="7E672E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548"/>
              <w:textAlignment w:val="auto"/>
              <w:outlineLvl w:val="9"/>
              <w:rPr>
                <w:rFonts w:hint="default" w:ascii="Times New Roman" w:hAnsi="Times New Roman" w:eastAsia="宋体"/>
                <w:bCs/>
                <w:color w:val="auto"/>
                <w:sz w:val="24"/>
                <w:szCs w:val="24"/>
                <w:u w:val="none"/>
                <w:lang w:val="en-US" w:eastAsia="zh-CN"/>
              </w:rPr>
            </w:pPr>
            <w:r>
              <w:rPr>
                <w:rFonts w:hint="eastAsia" w:ascii="Times New Roman" w:hAnsi="Times New Roman" w:eastAsia="宋体" w:cs="Times New Roman"/>
                <w:color w:val="auto"/>
                <w:sz w:val="24"/>
                <w:highlight w:val="none"/>
              </w:rPr>
              <w:t>本项目消毒采用紫外线消毒工艺，根据建设方经验，每年的损坏及更替产生废灯管约6支，每支废弃灯管的重量0.3kg-0.4kg，产生量约为2.4kg/a，按照《国家危险废物名录》（2021版）废紫外灯管属于HW29含汞废物，危废代码900-023-29。厂内设备检修产生的废机油属于危险废物，废物代码900-214-08，废机油产生量为0.01t/a。</w:t>
            </w:r>
            <w:r>
              <w:rPr>
                <w:rFonts w:hint="eastAsia"/>
                <w:bCs/>
                <w:color w:val="auto"/>
                <w:sz w:val="24"/>
                <w:szCs w:val="24"/>
                <w:u w:val="single"/>
                <w:lang w:eastAsia="zh-CN"/>
              </w:rPr>
              <w:t>废检测液：本项目在进水口和出水口设置了在线监测仪，对进出水的水质进行了实时监测，因此在运行过程中需要定期更换在线监测仪中的监测液，产生量为</w:t>
            </w:r>
            <w:r>
              <w:rPr>
                <w:rFonts w:hint="eastAsia"/>
                <w:bCs/>
                <w:color w:val="auto"/>
                <w:sz w:val="24"/>
                <w:szCs w:val="24"/>
                <w:u w:val="single"/>
                <w:lang w:val="en-US" w:eastAsia="zh-CN"/>
              </w:rPr>
              <w:t>0.04t/a，废监测液体属于危废HW49，</w:t>
            </w:r>
            <w:r>
              <w:rPr>
                <w:rFonts w:hint="eastAsia" w:ascii="Times New Roman" w:hAnsi="Times New Roman"/>
                <w:bCs/>
                <w:color w:val="auto"/>
                <w:sz w:val="24"/>
                <w:szCs w:val="24"/>
                <w:u w:val="single"/>
              </w:rPr>
              <w:t>危废代码</w:t>
            </w:r>
            <w:r>
              <w:rPr>
                <w:rFonts w:hint="eastAsia"/>
                <w:bCs/>
                <w:color w:val="auto"/>
                <w:sz w:val="24"/>
                <w:szCs w:val="24"/>
                <w:u w:val="single"/>
                <w:lang w:val="en-US" w:eastAsia="zh-CN"/>
              </w:rPr>
              <w:t>900-047-49。化验室产生的化验废液。产生量为0.01t/a，化验废液属于危废HW49，</w:t>
            </w:r>
            <w:r>
              <w:rPr>
                <w:rFonts w:hint="eastAsia" w:ascii="Times New Roman" w:hAnsi="Times New Roman"/>
                <w:bCs/>
                <w:color w:val="auto"/>
                <w:sz w:val="24"/>
                <w:szCs w:val="24"/>
                <w:u w:val="single"/>
              </w:rPr>
              <w:t>危废代码</w:t>
            </w:r>
            <w:r>
              <w:rPr>
                <w:rFonts w:hint="eastAsia"/>
                <w:bCs/>
                <w:color w:val="auto"/>
                <w:sz w:val="24"/>
                <w:szCs w:val="24"/>
                <w:u w:val="single"/>
                <w:lang w:val="en-US" w:eastAsia="zh-CN"/>
              </w:rPr>
              <w:t>900-047-49。</w:t>
            </w:r>
            <w:r>
              <w:rPr>
                <w:rFonts w:hint="eastAsia"/>
                <w:bCs/>
                <w:color w:val="auto"/>
                <w:sz w:val="24"/>
                <w:szCs w:val="24"/>
                <w:u w:val="none"/>
                <w:lang w:val="en-US" w:eastAsia="zh-CN"/>
              </w:rPr>
              <w:t>废化学品包装袋：本项目在运行过程中会产生一定量的废化学品包装袋，产生量为0.01t/a，属于HW49，危废代码：900-041-49。</w:t>
            </w:r>
          </w:p>
          <w:p w14:paraId="081D22CC">
            <w:pPr>
              <w:spacing w:line="360" w:lineRule="auto"/>
              <w:ind w:firstLine="480" w:firstLineChars="200"/>
              <w:rPr>
                <w:rFonts w:ascii="Times New Roman" w:hAnsi="Times New Roman" w:eastAsia="宋体" w:cs="Times New Roman"/>
                <w:color w:val="auto"/>
                <w:sz w:val="24"/>
                <w:highlight w:val="none"/>
              </w:rPr>
            </w:pPr>
            <w:r>
              <w:rPr>
                <w:rFonts w:hint="eastAsia" w:ascii="Times New Roman" w:hAnsi="Times New Roman" w:eastAsia="宋体" w:cs="Times New Roman"/>
                <w:color w:val="auto"/>
                <w:sz w:val="24"/>
                <w:highlight w:val="none"/>
              </w:rPr>
              <w:t>本项目产生的所有危险废物均在危废暂存设施存放收集后，送有资质单位处理。</w:t>
            </w:r>
          </w:p>
          <w:p w14:paraId="2E351EA1">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rPr>
              <w:t>项目固体废物产生量汇总如</w:t>
            </w:r>
            <w:r>
              <w:rPr>
                <w:rFonts w:hint="eastAsia" w:ascii="Times New Roman" w:hAnsi="Times New Roman" w:eastAsia="宋体" w:cs="Times New Roman"/>
                <w:color w:val="auto"/>
                <w:sz w:val="24"/>
                <w:highlight w:val="none"/>
                <w:lang w:val="en-US" w:eastAsia="zh-CN"/>
              </w:rPr>
              <w:t>下</w:t>
            </w:r>
            <w:r>
              <w:rPr>
                <w:rFonts w:hint="eastAsia" w:ascii="Times New Roman" w:hAnsi="Times New Roman" w:eastAsia="宋体" w:cs="Times New Roman"/>
                <w:color w:val="auto"/>
                <w:sz w:val="24"/>
                <w:highlight w:val="none"/>
              </w:rPr>
              <w:t>表</w:t>
            </w:r>
            <w:r>
              <w:rPr>
                <w:rFonts w:hint="eastAsia" w:ascii="Times New Roman" w:hAnsi="Times New Roman" w:eastAsia="宋体" w:cs="Times New Roman"/>
                <w:color w:val="auto"/>
                <w:sz w:val="24"/>
                <w:highlight w:val="none"/>
                <w:lang w:eastAsia="zh-CN"/>
              </w:rPr>
              <w:t>：</w:t>
            </w:r>
          </w:p>
          <w:p w14:paraId="3723ACB7">
            <w:pPr>
              <w:keepNext w:val="0"/>
              <w:keepLines w:val="0"/>
              <w:pageBreakBefore w:val="0"/>
              <w:widowControl w:val="0"/>
              <w:kinsoku/>
              <w:wordWrap/>
              <w:overflowPunct/>
              <w:topLinePunct w:val="0"/>
              <w:autoSpaceDE/>
              <w:autoSpaceDN/>
              <w:bidi w:val="0"/>
              <w:adjustRightInd/>
              <w:snapToGrid/>
              <w:spacing w:before="48" w:beforeLines="15" w:after="48" w:afterLines="15" w:line="240" w:lineRule="auto"/>
              <w:ind w:firstLine="0" w:firstLineChars="0"/>
              <w:jc w:val="center"/>
              <w:textAlignment w:val="auto"/>
              <w:rPr>
                <w:rFonts w:hint="eastAsia" w:ascii="Times New Roman" w:hAnsi="Times New Roman" w:eastAsia="宋体"/>
                <w:b/>
                <w:color w:val="auto"/>
                <w:highlight w:val="none"/>
                <w:lang w:eastAsia="zh-CN"/>
              </w:rPr>
            </w:pPr>
            <w:r>
              <w:rPr>
                <w:rFonts w:ascii="Times New Roman"/>
                <w:b/>
                <w:color w:val="auto"/>
                <w:highlight w:val="none"/>
              </w:rPr>
              <w:t>表</w:t>
            </w:r>
            <w:r>
              <w:rPr>
                <w:rFonts w:hint="eastAsia" w:ascii="Times New Roman" w:hAnsi="Times New Roman"/>
                <w:b/>
                <w:color w:val="auto"/>
                <w:highlight w:val="none"/>
                <w:lang w:val="en-US" w:eastAsia="zh-CN"/>
              </w:rPr>
              <w:t>4-</w:t>
            </w:r>
            <w:r>
              <w:rPr>
                <w:rFonts w:hint="eastAsia"/>
                <w:b/>
                <w:color w:val="auto"/>
                <w:highlight w:val="none"/>
                <w:lang w:val="en-US" w:eastAsia="zh-CN"/>
              </w:rPr>
              <w:t>12</w:t>
            </w:r>
            <w:r>
              <w:rPr>
                <w:rFonts w:hint="eastAsia" w:ascii="Times New Roman" w:hAnsi="Times New Roman"/>
                <w:b/>
                <w:color w:val="auto"/>
                <w:highlight w:val="none"/>
              </w:rPr>
              <w:t xml:space="preserve"> </w:t>
            </w:r>
            <w:r>
              <w:rPr>
                <w:rFonts w:ascii="Times New Roman"/>
                <w:b/>
                <w:color w:val="auto"/>
                <w:highlight w:val="none"/>
              </w:rPr>
              <w:t>固体废物</w:t>
            </w:r>
            <w:r>
              <w:rPr>
                <w:rFonts w:hint="eastAsia" w:ascii="Times New Roman"/>
                <w:b/>
                <w:color w:val="auto"/>
                <w:highlight w:val="none"/>
                <w:lang w:eastAsia="zh-CN"/>
              </w:rPr>
              <w:t>汇总表</w:t>
            </w:r>
          </w:p>
          <w:tbl>
            <w:tblPr>
              <w:tblStyle w:val="32"/>
              <w:tblW w:w="79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1"/>
              <w:gridCol w:w="1302"/>
              <w:gridCol w:w="1110"/>
              <w:gridCol w:w="1245"/>
              <w:gridCol w:w="2445"/>
              <w:gridCol w:w="1204"/>
            </w:tblGrid>
            <w:tr w14:paraId="0428A6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dxa"/>
                  <w:tcBorders>
                    <w:tl2br w:val="nil"/>
                    <w:tr2bl w:val="nil"/>
                  </w:tcBorders>
                  <w:vAlign w:val="center"/>
                </w:tcPr>
                <w:p w14:paraId="34F2A2D6">
                  <w:pPr>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序号</w:t>
                  </w:r>
                </w:p>
              </w:tc>
              <w:tc>
                <w:tcPr>
                  <w:tcW w:w="1302" w:type="dxa"/>
                  <w:tcBorders>
                    <w:tl2br w:val="nil"/>
                    <w:tr2bl w:val="nil"/>
                  </w:tcBorders>
                  <w:vAlign w:val="center"/>
                </w:tcPr>
                <w:p w14:paraId="120A96BA">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固体废物名称</w:t>
                  </w:r>
                </w:p>
              </w:tc>
              <w:tc>
                <w:tcPr>
                  <w:tcW w:w="1110" w:type="dxa"/>
                  <w:tcBorders>
                    <w:tl2br w:val="nil"/>
                    <w:tr2bl w:val="nil"/>
                  </w:tcBorders>
                  <w:vAlign w:val="center"/>
                </w:tcPr>
                <w:p w14:paraId="14ABD5E1">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废物类别</w:t>
                  </w:r>
                </w:p>
              </w:tc>
              <w:tc>
                <w:tcPr>
                  <w:tcW w:w="1245" w:type="dxa"/>
                  <w:tcBorders>
                    <w:tl2br w:val="nil"/>
                    <w:tr2bl w:val="nil"/>
                  </w:tcBorders>
                  <w:vAlign w:val="center"/>
                </w:tcPr>
                <w:p w14:paraId="6F0D13F7">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产生量（t/a）</w:t>
                  </w:r>
                </w:p>
              </w:tc>
              <w:tc>
                <w:tcPr>
                  <w:tcW w:w="2445" w:type="dxa"/>
                  <w:tcBorders>
                    <w:tl2br w:val="nil"/>
                    <w:tr2bl w:val="nil"/>
                  </w:tcBorders>
                  <w:vAlign w:val="center"/>
                </w:tcPr>
                <w:p w14:paraId="4696C6D1">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利用处置措施</w:t>
                  </w:r>
                </w:p>
              </w:tc>
              <w:tc>
                <w:tcPr>
                  <w:tcW w:w="1204" w:type="dxa"/>
                  <w:tcBorders>
                    <w:tl2br w:val="nil"/>
                    <w:tr2bl w:val="nil"/>
                  </w:tcBorders>
                  <w:vAlign w:val="center"/>
                </w:tcPr>
                <w:p w14:paraId="776FF54B">
                  <w:pPr>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排放量（t/a）</w:t>
                  </w:r>
                </w:p>
              </w:tc>
            </w:tr>
            <w:tr w14:paraId="05AB86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dxa"/>
                  <w:tcBorders>
                    <w:tl2br w:val="nil"/>
                    <w:tr2bl w:val="nil"/>
                  </w:tcBorders>
                  <w:vAlign w:val="center"/>
                </w:tcPr>
                <w:p w14:paraId="2B7101E4">
                  <w:pPr>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1</w:t>
                  </w:r>
                </w:p>
              </w:tc>
              <w:tc>
                <w:tcPr>
                  <w:tcW w:w="1302" w:type="dxa"/>
                  <w:tcBorders>
                    <w:tl2br w:val="nil"/>
                    <w:tr2bl w:val="nil"/>
                  </w:tcBorders>
                  <w:vAlign w:val="center"/>
                </w:tcPr>
                <w:p w14:paraId="2A0ED8B6">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栅渣</w:t>
                  </w:r>
                </w:p>
              </w:tc>
              <w:tc>
                <w:tcPr>
                  <w:tcW w:w="1110" w:type="dxa"/>
                  <w:tcBorders>
                    <w:tl2br w:val="nil"/>
                    <w:tr2bl w:val="nil"/>
                  </w:tcBorders>
                  <w:vAlign w:val="center"/>
                </w:tcPr>
                <w:p w14:paraId="23DD3336">
                  <w:pPr>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一般固废</w:t>
                  </w:r>
                </w:p>
              </w:tc>
              <w:tc>
                <w:tcPr>
                  <w:tcW w:w="1245" w:type="dxa"/>
                  <w:tcBorders>
                    <w:tl2br w:val="nil"/>
                    <w:tr2bl w:val="nil"/>
                  </w:tcBorders>
                  <w:vAlign w:val="center"/>
                </w:tcPr>
                <w:p w14:paraId="680688AE">
                  <w:pPr>
                    <w:jc w:val="center"/>
                    <w:rPr>
                      <w:rFonts w:hint="default" w:ascii="Times New Roman" w:hAnsi="Times New Roman" w:eastAsia="宋体"/>
                      <w:color w:val="auto"/>
                      <w:sz w:val="21"/>
                      <w:szCs w:val="21"/>
                      <w:highlight w:val="none"/>
                      <w:lang w:val="en-US" w:eastAsia="zh-CN"/>
                    </w:rPr>
                  </w:pPr>
                  <w:r>
                    <w:rPr>
                      <w:rFonts w:hint="eastAsia"/>
                      <w:color w:val="auto"/>
                      <w:sz w:val="21"/>
                      <w:szCs w:val="21"/>
                      <w:highlight w:val="none"/>
                      <w:lang w:val="en-US" w:eastAsia="zh-CN"/>
                    </w:rPr>
                    <w:t>547.5</w:t>
                  </w:r>
                </w:p>
              </w:tc>
              <w:tc>
                <w:tcPr>
                  <w:tcW w:w="2445" w:type="dxa"/>
                  <w:tcBorders>
                    <w:tl2br w:val="nil"/>
                    <w:tr2bl w:val="nil"/>
                  </w:tcBorders>
                  <w:vAlign w:val="center"/>
                </w:tcPr>
                <w:p w14:paraId="4D81C64D">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交环卫部门处理</w:t>
                  </w:r>
                </w:p>
              </w:tc>
              <w:tc>
                <w:tcPr>
                  <w:tcW w:w="1204" w:type="dxa"/>
                  <w:tcBorders>
                    <w:tl2br w:val="nil"/>
                    <w:tr2bl w:val="nil"/>
                  </w:tcBorders>
                  <w:vAlign w:val="center"/>
                </w:tcPr>
                <w:p w14:paraId="0EB1B2AE">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0</w:t>
                  </w:r>
                </w:p>
              </w:tc>
            </w:tr>
            <w:tr w14:paraId="4C8568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dxa"/>
                  <w:tcBorders>
                    <w:tl2br w:val="nil"/>
                    <w:tr2bl w:val="nil"/>
                  </w:tcBorders>
                  <w:vAlign w:val="center"/>
                </w:tcPr>
                <w:p w14:paraId="0F55DF1C">
                  <w:pPr>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2</w:t>
                  </w:r>
                </w:p>
              </w:tc>
              <w:tc>
                <w:tcPr>
                  <w:tcW w:w="1302" w:type="dxa"/>
                  <w:tcBorders>
                    <w:tl2br w:val="nil"/>
                    <w:tr2bl w:val="nil"/>
                  </w:tcBorders>
                  <w:vAlign w:val="center"/>
                </w:tcPr>
                <w:p w14:paraId="13163616">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沉砂</w:t>
                  </w:r>
                </w:p>
              </w:tc>
              <w:tc>
                <w:tcPr>
                  <w:tcW w:w="1110" w:type="dxa"/>
                  <w:tcBorders>
                    <w:tl2br w:val="nil"/>
                    <w:tr2bl w:val="nil"/>
                  </w:tcBorders>
                  <w:vAlign w:val="center"/>
                </w:tcPr>
                <w:p w14:paraId="3D4360D1">
                  <w:pPr>
                    <w:jc w:val="center"/>
                    <w:rPr>
                      <w:rFonts w:ascii="Times New Roman" w:hAnsi="Times New Roman"/>
                      <w:color w:val="auto"/>
                      <w:sz w:val="21"/>
                      <w:szCs w:val="21"/>
                      <w:highlight w:val="none"/>
                    </w:rPr>
                  </w:pPr>
                  <w:r>
                    <w:rPr>
                      <w:rFonts w:hint="eastAsia" w:ascii="Times New Roman" w:hAnsi="Times New Roman"/>
                      <w:color w:val="auto"/>
                      <w:sz w:val="21"/>
                      <w:szCs w:val="21"/>
                      <w:highlight w:val="none"/>
                      <w:lang w:val="en-US" w:eastAsia="zh-CN"/>
                    </w:rPr>
                    <w:t>一般固废</w:t>
                  </w:r>
                </w:p>
              </w:tc>
              <w:tc>
                <w:tcPr>
                  <w:tcW w:w="1245" w:type="dxa"/>
                  <w:tcBorders>
                    <w:tl2br w:val="nil"/>
                    <w:tr2bl w:val="nil"/>
                  </w:tcBorders>
                  <w:vAlign w:val="center"/>
                </w:tcPr>
                <w:p w14:paraId="77947489">
                  <w:pPr>
                    <w:jc w:val="center"/>
                    <w:rPr>
                      <w:rFonts w:hint="default" w:ascii="Times New Roman" w:hAnsi="Times New Roman" w:eastAsia="宋体"/>
                      <w:color w:val="auto"/>
                      <w:sz w:val="21"/>
                      <w:szCs w:val="21"/>
                      <w:highlight w:val="none"/>
                      <w:lang w:val="en-US" w:eastAsia="zh-CN"/>
                    </w:rPr>
                  </w:pPr>
                  <w:r>
                    <w:rPr>
                      <w:rFonts w:hint="eastAsia"/>
                      <w:color w:val="auto"/>
                      <w:sz w:val="21"/>
                      <w:szCs w:val="21"/>
                      <w:highlight w:val="none"/>
                      <w:lang w:val="en-US" w:eastAsia="zh-CN"/>
                    </w:rPr>
                    <w:t>164.25</w:t>
                  </w:r>
                </w:p>
              </w:tc>
              <w:tc>
                <w:tcPr>
                  <w:tcW w:w="2445" w:type="dxa"/>
                  <w:tcBorders>
                    <w:tl2br w:val="nil"/>
                    <w:tr2bl w:val="nil"/>
                  </w:tcBorders>
                  <w:vAlign w:val="center"/>
                </w:tcPr>
                <w:p w14:paraId="2823AC00">
                  <w:pPr>
                    <w:jc w:val="center"/>
                    <w:rPr>
                      <w:rFonts w:hint="eastAsia" w:ascii="Times New Roman" w:hAnsi="Times New Roman" w:eastAsia="宋体"/>
                      <w:color w:val="auto"/>
                      <w:sz w:val="21"/>
                      <w:szCs w:val="21"/>
                      <w:highlight w:val="none"/>
                      <w:lang w:eastAsia="zh-CN"/>
                    </w:rPr>
                  </w:pPr>
                  <w:r>
                    <w:rPr>
                      <w:rFonts w:hint="eastAsia" w:ascii="Times New Roman" w:hAnsi="Times New Roman" w:eastAsia="宋体"/>
                      <w:color w:val="auto"/>
                      <w:sz w:val="21"/>
                      <w:szCs w:val="21"/>
                      <w:highlight w:val="none"/>
                      <w:lang w:val="en-US" w:eastAsia="zh-CN"/>
                    </w:rPr>
                    <w:t>交环卫部门处理</w:t>
                  </w:r>
                </w:p>
              </w:tc>
              <w:tc>
                <w:tcPr>
                  <w:tcW w:w="1204" w:type="dxa"/>
                  <w:tcBorders>
                    <w:tl2br w:val="nil"/>
                    <w:tr2bl w:val="nil"/>
                  </w:tcBorders>
                  <w:vAlign w:val="center"/>
                </w:tcPr>
                <w:p w14:paraId="29026AAB">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0</w:t>
                  </w:r>
                </w:p>
              </w:tc>
            </w:tr>
            <w:tr w14:paraId="1101A2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dxa"/>
                  <w:tcBorders>
                    <w:tl2br w:val="nil"/>
                    <w:tr2bl w:val="nil"/>
                  </w:tcBorders>
                  <w:vAlign w:val="center"/>
                </w:tcPr>
                <w:p w14:paraId="5E314BFF">
                  <w:pPr>
                    <w:jc w:val="center"/>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3</w:t>
                  </w:r>
                </w:p>
              </w:tc>
              <w:tc>
                <w:tcPr>
                  <w:tcW w:w="1302" w:type="dxa"/>
                  <w:tcBorders>
                    <w:tl2br w:val="nil"/>
                    <w:tr2bl w:val="nil"/>
                  </w:tcBorders>
                  <w:vAlign w:val="center"/>
                </w:tcPr>
                <w:p w14:paraId="020E4B0A">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污泥</w:t>
                  </w:r>
                </w:p>
              </w:tc>
              <w:tc>
                <w:tcPr>
                  <w:tcW w:w="1110" w:type="dxa"/>
                  <w:tcBorders>
                    <w:tl2br w:val="nil"/>
                    <w:tr2bl w:val="nil"/>
                  </w:tcBorders>
                  <w:vAlign w:val="center"/>
                </w:tcPr>
                <w:p w14:paraId="768CEE90">
                  <w:pPr>
                    <w:jc w:val="center"/>
                    <w:rPr>
                      <w:rFonts w:ascii="Times New Roman" w:hAnsi="Times New Roman"/>
                      <w:color w:val="auto"/>
                      <w:sz w:val="21"/>
                      <w:szCs w:val="21"/>
                      <w:highlight w:val="none"/>
                    </w:rPr>
                  </w:pPr>
                  <w:r>
                    <w:rPr>
                      <w:rFonts w:hint="eastAsia" w:ascii="Times New Roman" w:hAnsi="Times New Roman"/>
                      <w:color w:val="auto"/>
                      <w:sz w:val="21"/>
                      <w:szCs w:val="21"/>
                      <w:highlight w:val="none"/>
                      <w:lang w:val="en-US" w:eastAsia="zh-CN"/>
                    </w:rPr>
                    <w:t>一般固废</w:t>
                  </w:r>
                </w:p>
              </w:tc>
              <w:tc>
                <w:tcPr>
                  <w:tcW w:w="1245" w:type="dxa"/>
                  <w:tcBorders>
                    <w:tl2br w:val="nil"/>
                    <w:tr2bl w:val="nil"/>
                  </w:tcBorders>
                  <w:vAlign w:val="center"/>
                </w:tcPr>
                <w:p w14:paraId="2EFA28AF">
                  <w:pPr>
                    <w:jc w:val="center"/>
                    <w:rPr>
                      <w:rFonts w:hint="default" w:ascii="Times New Roman" w:hAnsi="Times New Roman" w:eastAsia="宋体"/>
                      <w:color w:val="auto"/>
                      <w:sz w:val="21"/>
                      <w:szCs w:val="21"/>
                      <w:highlight w:val="none"/>
                      <w:lang w:val="en-US" w:eastAsia="zh-CN"/>
                    </w:rPr>
                  </w:pPr>
                  <w:r>
                    <w:rPr>
                      <w:rFonts w:hint="eastAsia"/>
                      <w:color w:val="auto"/>
                      <w:sz w:val="21"/>
                      <w:szCs w:val="21"/>
                      <w:highlight w:val="none"/>
                      <w:lang w:val="en-US" w:eastAsia="zh-CN"/>
                    </w:rPr>
                    <w:t>978.2</w:t>
                  </w:r>
                </w:p>
              </w:tc>
              <w:tc>
                <w:tcPr>
                  <w:tcW w:w="2445" w:type="dxa"/>
                  <w:tcBorders>
                    <w:tl2br w:val="nil"/>
                    <w:tr2bl w:val="nil"/>
                  </w:tcBorders>
                  <w:vAlign w:val="center"/>
                </w:tcPr>
                <w:p w14:paraId="13F2796B">
                  <w:pPr>
                    <w:jc w:val="center"/>
                    <w:rPr>
                      <w:rFonts w:hint="eastAsia" w:ascii="Times New Roman" w:hAnsi="Times New Roman" w:eastAsia="宋体"/>
                      <w:color w:val="auto"/>
                      <w:sz w:val="21"/>
                      <w:szCs w:val="21"/>
                      <w:highlight w:val="none"/>
                      <w:lang w:eastAsia="zh-CN"/>
                    </w:rPr>
                  </w:pPr>
                  <w:r>
                    <w:rPr>
                      <w:rFonts w:hint="eastAsia"/>
                      <w:color w:val="auto"/>
                      <w:sz w:val="21"/>
                      <w:szCs w:val="21"/>
                      <w:highlight w:val="none"/>
                      <w:lang w:val="en-US" w:eastAsia="zh-CN"/>
                    </w:rPr>
                    <w:t>经板框压滤机脱水后</w:t>
                  </w:r>
                  <w:r>
                    <w:rPr>
                      <w:rFonts w:hint="eastAsia" w:ascii="Times New Roman" w:hAnsi="Times New Roman" w:eastAsia="宋体"/>
                      <w:color w:val="auto"/>
                      <w:sz w:val="21"/>
                      <w:szCs w:val="21"/>
                      <w:highlight w:val="none"/>
                      <w:lang w:val="en-US" w:eastAsia="zh-CN"/>
                    </w:rPr>
                    <w:t>最终运至</w:t>
                  </w:r>
                  <w:r>
                    <w:rPr>
                      <w:rFonts w:hint="eastAsia"/>
                      <w:color w:val="auto"/>
                      <w:sz w:val="21"/>
                      <w:szCs w:val="21"/>
                      <w:highlight w:val="none"/>
                      <w:lang w:val="en-US" w:eastAsia="zh-CN"/>
                    </w:rPr>
                    <w:t>焚烧发电厂</w:t>
                  </w:r>
                </w:p>
              </w:tc>
              <w:tc>
                <w:tcPr>
                  <w:tcW w:w="1204" w:type="dxa"/>
                  <w:tcBorders>
                    <w:tl2br w:val="nil"/>
                    <w:tr2bl w:val="nil"/>
                  </w:tcBorders>
                  <w:vAlign w:val="center"/>
                </w:tcPr>
                <w:p w14:paraId="6F50C17B">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0</w:t>
                  </w:r>
                </w:p>
              </w:tc>
            </w:tr>
            <w:tr w14:paraId="0ED1B7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dxa"/>
                  <w:tcBorders>
                    <w:tl2br w:val="nil"/>
                    <w:tr2bl w:val="nil"/>
                  </w:tcBorders>
                  <w:vAlign w:val="center"/>
                </w:tcPr>
                <w:p w14:paraId="6116A473">
                  <w:pPr>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4</w:t>
                  </w:r>
                </w:p>
              </w:tc>
              <w:tc>
                <w:tcPr>
                  <w:tcW w:w="1302" w:type="dxa"/>
                  <w:tcBorders>
                    <w:tl2br w:val="nil"/>
                    <w:tr2bl w:val="nil"/>
                  </w:tcBorders>
                  <w:vAlign w:val="center"/>
                </w:tcPr>
                <w:p w14:paraId="11866D27">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生活垃圾</w:t>
                  </w:r>
                </w:p>
              </w:tc>
              <w:tc>
                <w:tcPr>
                  <w:tcW w:w="1110" w:type="dxa"/>
                  <w:tcBorders>
                    <w:tl2br w:val="nil"/>
                    <w:tr2bl w:val="nil"/>
                  </w:tcBorders>
                  <w:vAlign w:val="center"/>
                </w:tcPr>
                <w:p w14:paraId="378C7788">
                  <w:pPr>
                    <w:jc w:val="center"/>
                    <w:rPr>
                      <w:rFonts w:ascii="Times New Roman" w:hAnsi="Times New Roman"/>
                      <w:color w:val="auto"/>
                      <w:sz w:val="21"/>
                      <w:szCs w:val="21"/>
                      <w:highlight w:val="none"/>
                    </w:rPr>
                  </w:pPr>
                  <w:r>
                    <w:rPr>
                      <w:rFonts w:hint="eastAsia" w:ascii="Times New Roman" w:hAnsi="Times New Roman"/>
                      <w:color w:val="auto"/>
                      <w:sz w:val="21"/>
                      <w:szCs w:val="21"/>
                      <w:highlight w:val="none"/>
                      <w:lang w:val="en-US" w:eastAsia="zh-CN"/>
                    </w:rPr>
                    <w:t>一般固废</w:t>
                  </w:r>
                </w:p>
              </w:tc>
              <w:tc>
                <w:tcPr>
                  <w:tcW w:w="1245" w:type="dxa"/>
                  <w:tcBorders>
                    <w:tl2br w:val="nil"/>
                    <w:tr2bl w:val="nil"/>
                  </w:tcBorders>
                  <w:vAlign w:val="center"/>
                </w:tcPr>
                <w:p w14:paraId="137609D4">
                  <w:pPr>
                    <w:jc w:val="center"/>
                    <w:rPr>
                      <w:rFonts w:hint="default" w:ascii="Times New Roman" w:hAnsi="Times New Roman" w:eastAsia="宋体"/>
                      <w:color w:val="auto"/>
                      <w:sz w:val="21"/>
                      <w:szCs w:val="21"/>
                      <w:highlight w:val="none"/>
                      <w:lang w:val="en-US" w:eastAsia="zh-CN"/>
                    </w:rPr>
                  </w:pPr>
                  <w:r>
                    <w:rPr>
                      <w:rFonts w:hint="eastAsia"/>
                      <w:color w:val="auto"/>
                      <w:sz w:val="21"/>
                      <w:szCs w:val="21"/>
                      <w:highlight w:val="none"/>
                      <w:lang w:val="en-US" w:eastAsia="zh-CN"/>
                    </w:rPr>
                    <w:t>1.095</w:t>
                  </w:r>
                </w:p>
              </w:tc>
              <w:tc>
                <w:tcPr>
                  <w:tcW w:w="2445" w:type="dxa"/>
                  <w:tcBorders>
                    <w:tl2br w:val="nil"/>
                    <w:tr2bl w:val="nil"/>
                  </w:tcBorders>
                  <w:vAlign w:val="center"/>
                </w:tcPr>
                <w:p w14:paraId="1D930F55">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交环卫部门处理</w:t>
                  </w:r>
                </w:p>
              </w:tc>
              <w:tc>
                <w:tcPr>
                  <w:tcW w:w="1204" w:type="dxa"/>
                  <w:tcBorders>
                    <w:tl2br w:val="nil"/>
                    <w:tr2bl w:val="nil"/>
                  </w:tcBorders>
                  <w:vAlign w:val="center"/>
                </w:tcPr>
                <w:p w14:paraId="08586C9C">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0</w:t>
                  </w:r>
                </w:p>
              </w:tc>
            </w:tr>
            <w:tr w14:paraId="727614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dxa"/>
                  <w:tcBorders>
                    <w:tl2br w:val="nil"/>
                    <w:tr2bl w:val="nil"/>
                  </w:tcBorders>
                  <w:vAlign w:val="center"/>
                </w:tcPr>
                <w:p w14:paraId="3FE26FF3">
                  <w:pPr>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5</w:t>
                  </w:r>
                </w:p>
              </w:tc>
              <w:tc>
                <w:tcPr>
                  <w:tcW w:w="1302" w:type="dxa"/>
                  <w:tcBorders>
                    <w:tl2br w:val="nil"/>
                    <w:tr2bl w:val="nil"/>
                  </w:tcBorders>
                  <w:vAlign w:val="center"/>
                </w:tcPr>
                <w:p w14:paraId="5E00E1DC">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废灯管</w:t>
                  </w:r>
                </w:p>
              </w:tc>
              <w:tc>
                <w:tcPr>
                  <w:tcW w:w="1110" w:type="dxa"/>
                  <w:tcBorders>
                    <w:tl2br w:val="nil"/>
                    <w:tr2bl w:val="nil"/>
                  </w:tcBorders>
                  <w:vAlign w:val="center"/>
                </w:tcPr>
                <w:p w14:paraId="30B47AD4">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危废HW29</w:t>
                  </w:r>
                </w:p>
              </w:tc>
              <w:tc>
                <w:tcPr>
                  <w:tcW w:w="1245" w:type="dxa"/>
                  <w:tcBorders>
                    <w:tl2br w:val="nil"/>
                    <w:tr2bl w:val="nil"/>
                  </w:tcBorders>
                  <w:vAlign w:val="center"/>
                </w:tcPr>
                <w:p w14:paraId="1B08027B">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0.0024</w:t>
                  </w:r>
                </w:p>
              </w:tc>
              <w:tc>
                <w:tcPr>
                  <w:tcW w:w="2445" w:type="dxa"/>
                  <w:vMerge w:val="restart"/>
                  <w:tcBorders>
                    <w:tl2br w:val="nil"/>
                    <w:tr2bl w:val="nil"/>
                  </w:tcBorders>
                  <w:vAlign w:val="center"/>
                </w:tcPr>
                <w:p w14:paraId="6AC50FD9">
                  <w:pPr>
                    <w:jc w:val="center"/>
                    <w:rPr>
                      <w:rFonts w:hint="eastAsia" w:ascii="Times New Roman" w:hAnsi="Times New Roman" w:eastAsia="宋体"/>
                      <w:color w:val="auto"/>
                      <w:sz w:val="21"/>
                      <w:szCs w:val="21"/>
                      <w:highlight w:val="none"/>
                      <w:lang w:eastAsia="zh-CN"/>
                    </w:rPr>
                  </w:pPr>
                  <w:r>
                    <w:rPr>
                      <w:rFonts w:hint="eastAsia" w:ascii="Times New Roman" w:hAnsi="Times New Roman" w:eastAsia="宋体"/>
                      <w:color w:val="auto"/>
                      <w:sz w:val="21"/>
                      <w:szCs w:val="21"/>
                      <w:highlight w:val="none"/>
                      <w:lang w:eastAsia="zh-CN"/>
                    </w:rPr>
                    <w:t>于厂内危废暂存间收集后，交由有资质的单位处理</w:t>
                  </w:r>
                </w:p>
              </w:tc>
              <w:tc>
                <w:tcPr>
                  <w:tcW w:w="1204" w:type="dxa"/>
                  <w:tcBorders>
                    <w:tl2br w:val="nil"/>
                    <w:tr2bl w:val="nil"/>
                  </w:tcBorders>
                  <w:vAlign w:val="center"/>
                </w:tcPr>
                <w:p w14:paraId="20927A34">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0</w:t>
                  </w:r>
                </w:p>
              </w:tc>
            </w:tr>
            <w:tr w14:paraId="3ECFEB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631" w:type="dxa"/>
                  <w:tcBorders>
                    <w:tl2br w:val="nil"/>
                    <w:tr2bl w:val="nil"/>
                  </w:tcBorders>
                  <w:vAlign w:val="center"/>
                </w:tcPr>
                <w:p w14:paraId="7BF4B160">
                  <w:pPr>
                    <w:jc w:val="center"/>
                    <w:rPr>
                      <w:rFonts w:hint="default" w:ascii="Times New Roman" w:hAnsi="Times New Roman"/>
                      <w:color w:val="auto"/>
                      <w:sz w:val="21"/>
                      <w:szCs w:val="21"/>
                      <w:highlight w:val="none"/>
                      <w:lang w:val="en-US" w:eastAsia="zh-CN"/>
                    </w:rPr>
                  </w:pPr>
                  <w:r>
                    <w:rPr>
                      <w:rFonts w:hint="eastAsia" w:ascii="Times New Roman" w:hAnsi="Times New Roman"/>
                      <w:color w:val="auto"/>
                      <w:sz w:val="21"/>
                      <w:szCs w:val="21"/>
                      <w:highlight w:val="none"/>
                      <w:lang w:val="en-US" w:eastAsia="zh-CN"/>
                    </w:rPr>
                    <w:t>6</w:t>
                  </w:r>
                </w:p>
              </w:tc>
              <w:tc>
                <w:tcPr>
                  <w:tcW w:w="1302" w:type="dxa"/>
                  <w:tcBorders>
                    <w:tl2br w:val="nil"/>
                    <w:tr2bl w:val="nil"/>
                  </w:tcBorders>
                  <w:vAlign w:val="center"/>
                </w:tcPr>
                <w:p w14:paraId="119892F5">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废机油</w:t>
                  </w:r>
                </w:p>
              </w:tc>
              <w:tc>
                <w:tcPr>
                  <w:tcW w:w="1110" w:type="dxa"/>
                  <w:tcBorders>
                    <w:tl2br w:val="nil"/>
                    <w:tr2bl w:val="nil"/>
                  </w:tcBorders>
                  <w:vAlign w:val="center"/>
                </w:tcPr>
                <w:p w14:paraId="53A88418">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危废HW08</w:t>
                  </w:r>
                </w:p>
              </w:tc>
              <w:tc>
                <w:tcPr>
                  <w:tcW w:w="1245" w:type="dxa"/>
                  <w:tcBorders>
                    <w:tl2br w:val="nil"/>
                    <w:tr2bl w:val="nil"/>
                  </w:tcBorders>
                  <w:vAlign w:val="center"/>
                </w:tcPr>
                <w:p w14:paraId="461ADB3F">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0.01</w:t>
                  </w:r>
                </w:p>
              </w:tc>
              <w:tc>
                <w:tcPr>
                  <w:tcW w:w="2445" w:type="dxa"/>
                  <w:vMerge w:val="continue"/>
                  <w:tcBorders>
                    <w:tl2br w:val="nil"/>
                    <w:tr2bl w:val="nil"/>
                  </w:tcBorders>
                  <w:vAlign w:val="center"/>
                </w:tcPr>
                <w:p w14:paraId="039E5093">
                  <w:pPr>
                    <w:jc w:val="center"/>
                    <w:rPr>
                      <w:rFonts w:hint="eastAsia" w:ascii="Times New Roman" w:hAnsi="Times New Roman" w:eastAsia="宋体"/>
                      <w:color w:val="auto"/>
                      <w:sz w:val="21"/>
                      <w:szCs w:val="21"/>
                      <w:highlight w:val="none"/>
                      <w:lang w:eastAsia="zh-CN"/>
                    </w:rPr>
                  </w:pPr>
                </w:p>
              </w:tc>
              <w:tc>
                <w:tcPr>
                  <w:tcW w:w="1204" w:type="dxa"/>
                  <w:tcBorders>
                    <w:tl2br w:val="nil"/>
                    <w:tr2bl w:val="nil"/>
                  </w:tcBorders>
                  <w:vAlign w:val="center"/>
                </w:tcPr>
                <w:p w14:paraId="11F62E27">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0</w:t>
                  </w:r>
                </w:p>
              </w:tc>
            </w:tr>
            <w:tr w14:paraId="242493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dxa"/>
                  <w:tcBorders>
                    <w:tl2br w:val="nil"/>
                    <w:tr2bl w:val="nil"/>
                  </w:tcBorders>
                  <w:vAlign w:val="center"/>
                </w:tcPr>
                <w:p w14:paraId="6DE6BA42">
                  <w:pPr>
                    <w:jc w:val="center"/>
                    <w:rPr>
                      <w:rFonts w:hint="default" w:ascii="Times New Roman" w:hAnsi="Times New Roman"/>
                      <w:color w:val="auto"/>
                      <w:sz w:val="21"/>
                      <w:szCs w:val="21"/>
                      <w:highlight w:val="none"/>
                      <w:u w:val="single"/>
                      <w:lang w:val="en-US" w:eastAsia="zh-CN"/>
                    </w:rPr>
                  </w:pPr>
                  <w:r>
                    <w:rPr>
                      <w:rFonts w:hint="eastAsia"/>
                      <w:color w:val="auto"/>
                      <w:sz w:val="21"/>
                      <w:szCs w:val="21"/>
                      <w:highlight w:val="none"/>
                      <w:u w:val="single"/>
                      <w:lang w:val="en-US" w:eastAsia="zh-CN"/>
                    </w:rPr>
                    <w:t>7</w:t>
                  </w:r>
                </w:p>
              </w:tc>
              <w:tc>
                <w:tcPr>
                  <w:tcW w:w="1302" w:type="dxa"/>
                  <w:tcBorders>
                    <w:tl2br w:val="nil"/>
                    <w:tr2bl w:val="nil"/>
                  </w:tcBorders>
                  <w:vAlign w:val="center"/>
                </w:tcPr>
                <w:p w14:paraId="41B2760D">
                  <w:pPr>
                    <w:jc w:val="center"/>
                    <w:rPr>
                      <w:rFonts w:hint="default" w:ascii="Times New Roman" w:hAnsi="Times New Roman" w:eastAsia="宋体"/>
                      <w:color w:val="auto"/>
                      <w:sz w:val="21"/>
                      <w:szCs w:val="21"/>
                      <w:highlight w:val="none"/>
                      <w:u w:val="single"/>
                      <w:lang w:val="en-US" w:eastAsia="zh-CN"/>
                    </w:rPr>
                  </w:pPr>
                  <w:r>
                    <w:rPr>
                      <w:rFonts w:hint="eastAsia"/>
                      <w:color w:val="auto"/>
                      <w:sz w:val="21"/>
                      <w:szCs w:val="21"/>
                      <w:highlight w:val="none"/>
                      <w:u w:val="single"/>
                      <w:lang w:val="en-US" w:eastAsia="zh-CN"/>
                    </w:rPr>
                    <w:t>废检测液</w:t>
                  </w:r>
                </w:p>
              </w:tc>
              <w:tc>
                <w:tcPr>
                  <w:tcW w:w="1110" w:type="dxa"/>
                  <w:tcBorders>
                    <w:tl2br w:val="nil"/>
                    <w:tr2bl w:val="nil"/>
                  </w:tcBorders>
                  <w:vAlign w:val="center"/>
                </w:tcPr>
                <w:p w14:paraId="7FCBECDE">
                  <w:pPr>
                    <w:jc w:val="center"/>
                    <w:rPr>
                      <w:rFonts w:hint="eastAsia" w:ascii="Times New Roman" w:hAnsi="Times New Roman"/>
                      <w:color w:val="auto"/>
                      <w:sz w:val="21"/>
                      <w:szCs w:val="21"/>
                      <w:highlight w:val="none"/>
                      <w:u w:val="single"/>
                      <w:lang w:val="en-US" w:eastAsia="zh-CN"/>
                    </w:rPr>
                  </w:pPr>
                  <w:r>
                    <w:rPr>
                      <w:rFonts w:hint="eastAsia"/>
                      <w:color w:val="auto"/>
                      <w:sz w:val="21"/>
                      <w:szCs w:val="21"/>
                      <w:highlight w:val="none"/>
                      <w:u w:val="single"/>
                      <w:lang w:val="en-US" w:eastAsia="zh-CN"/>
                    </w:rPr>
                    <w:t>危废</w:t>
                  </w:r>
                  <w:r>
                    <w:rPr>
                      <w:rFonts w:hint="eastAsia" w:ascii="Times New Roman" w:hAnsi="Times New Roman"/>
                      <w:color w:val="auto"/>
                      <w:sz w:val="21"/>
                      <w:szCs w:val="21"/>
                      <w:highlight w:val="none"/>
                      <w:u w:val="single"/>
                      <w:lang w:val="en-US" w:eastAsia="zh-CN"/>
                    </w:rPr>
                    <w:t>HW49</w:t>
                  </w:r>
                </w:p>
              </w:tc>
              <w:tc>
                <w:tcPr>
                  <w:tcW w:w="1245" w:type="dxa"/>
                  <w:tcBorders>
                    <w:tl2br w:val="nil"/>
                    <w:tr2bl w:val="nil"/>
                  </w:tcBorders>
                  <w:vAlign w:val="center"/>
                </w:tcPr>
                <w:p w14:paraId="51CC0105">
                  <w:pPr>
                    <w:jc w:val="center"/>
                    <w:rPr>
                      <w:rFonts w:hint="default" w:ascii="Times New Roman" w:hAnsi="Times New Roman" w:eastAsia="宋体"/>
                      <w:color w:val="auto"/>
                      <w:sz w:val="21"/>
                      <w:szCs w:val="21"/>
                      <w:highlight w:val="none"/>
                      <w:u w:val="single"/>
                      <w:lang w:val="en-US" w:eastAsia="zh-CN"/>
                    </w:rPr>
                  </w:pPr>
                  <w:r>
                    <w:rPr>
                      <w:rFonts w:hint="eastAsia"/>
                      <w:color w:val="auto"/>
                      <w:sz w:val="21"/>
                      <w:szCs w:val="21"/>
                      <w:highlight w:val="none"/>
                      <w:u w:val="single"/>
                      <w:lang w:val="en-US" w:eastAsia="zh-CN"/>
                    </w:rPr>
                    <w:t>0.04</w:t>
                  </w:r>
                </w:p>
              </w:tc>
              <w:tc>
                <w:tcPr>
                  <w:tcW w:w="2445" w:type="dxa"/>
                  <w:vMerge w:val="restart"/>
                  <w:tcBorders>
                    <w:tl2br w:val="nil"/>
                    <w:tr2bl w:val="nil"/>
                  </w:tcBorders>
                  <w:vAlign w:val="center"/>
                </w:tcPr>
                <w:p w14:paraId="57062FF3">
                  <w:pPr>
                    <w:jc w:val="center"/>
                    <w:rPr>
                      <w:rFonts w:hint="eastAsia" w:ascii="Times New Roman" w:hAnsi="Times New Roman" w:eastAsia="宋体"/>
                      <w:color w:val="auto"/>
                      <w:sz w:val="21"/>
                      <w:szCs w:val="21"/>
                      <w:highlight w:val="none"/>
                      <w:lang w:eastAsia="zh-CN"/>
                    </w:rPr>
                  </w:pPr>
                  <w:r>
                    <w:rPr>
                      <w:rFonts w:hint="eastAsia" w:ascii="Times New Roman" w:hAnsi="Times New Roman" w:eastAsia="宋体"/>
                      <w:color w:val="auto"/>
                      <w:sz w:val="21"/>
                      <w:szCs w:val="21"/>
                      <w:highlight w:val="none"/>
                      <w:lang w:eastAsia="zh-CN"/>
                    </w:rPr>
                    <w:t>于厂内危废暂存间收集后，交给</w:t>
                  </w:r>
                  <w:r>
                    <w:rPr>
                      <w:rFonts w:hint="eastAsia"/>
                      <w:color w:val="auto"/>
                      <w:sz w:val="21"/>
                      <w:szCs w:val="21"/>
                      <w:highlight w:val="none"/>
                      <w:lang w:eastAsia="zh-CN"/>
                    </w:rPr>
                    <w:t>有资质公司</w:t>
                  </w:r>
                  <w:r>
                    <w:rPr>
                      <w:rFonts w:hint="eastAsia" w:ascii="Times New Roman" w:hAnsi="Times New Roman" w:eastAsia="宋体"/>
                      <w:color w:val="auto"/>
                      <w:sz w:val="21"/>
                      <w:szCs w:val="21"/>
                      <w:highlight w:val="none"/>
                      <w:lang w:eastAsia="zh-CN"/>
                    </w:rPr>
                    <w:t>处置。</w:t>
                  </w:r>
                </w:p>
              </w:tc>
              <w:tc>
                <w:tcPr>
                  <w:tcW w:w="1204" w:type="dxa"/>
                  <w:tcBorders>
                    <w:tl2br w:val="nil"/>
                    <w:tr2bl w:val="nil"/>
                  </w:tcBorders>
                  <w:vAlign w:val="center"/>
                </w:tcPr>
                <w:p w14:paraId="5B62A2C0">
                  <w:pPr>
                    <w:jc w:val="center"/>
                    <w:rPr>
                      <w:rFonts w:hint="default" w:ascii="Times New Roman" w:hAnsi="Times New Roman" w:eastAsia="宋体"/>
                      <w:color w:val="auto"/>
                      <w:sz w:val="21"/>
                      <w:szCs w:val="21"/>
                      <w:highlight w:val="none"/>
                      <w:lang w:val="en-US" w:eastAsia="zh-CN"/>
                    </w:rPr>
                  </w:pPr>
                  <w:r>
                    <w:rPr>
                      <w:rFonts w:hint="eastAsia"/>
                      <w:color w:val="auto"/>
                      <w:sz w:val="21"/>
                      <w:szCs w:val="21"/>
                      <w:highlight w:val="none"/>
                      <w:u w:val="single"/>
                      <w:lang w:val="en-US" w:eastAsia="zh-CN"/>
                    </w:rPr>
                    <w:t>0</w:t>
                  </w:r>
                </w:p>
              </w:tc>
            </w:tr>
            <w:tr w14:paraId="403C37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dxa"/>
                  <w:tcBorders>
                    <w:tl2br w:val="nil"/>
                    <w:tr2bl w:val="nil"/>
                  </w:tcBorders>
                  <w:vAlign w:val="center"/>
                </w:tcPr>
                <w:p w14:paraId="481CA65F">
                  <w:pPr>
                    <w:jc w:val="center"/>
                    <w:rPr>
                      <w:rFonts w:hint="default"/>
                      <w:color w:val="auto"/>
                      <w:sz w:val="21"/>
                      <w:szCs w:val="21"/>
                      <w:highlight w:val="none"/>
                      <w:lang w:val="en-US" w:eastAsia="zh-CN"/>
                    </w:rPr>
                  </w:pPr>
                  <w:r>
                    <w:rPr>
                      <w:rFonts w:hint="eastAsia"/>
                      <w:color w:val="auto"/>
                      <w:sz w:val="21"/>
                      <w:szCs w:val="21"/>
                      <w:highlight w:val="none"/>
                      <w:lang w:val="en-US" w:eastAsia="zh-CN"/>
                    </w:rPr>
                    <w:t>8</w:t>
                  </w:r>
                </w:p>
              </w:tc>
              <w:tc>
                <w:tcPr>
                  <w:tcW w:w="1302" w:type="dxa"/>
                  <w:tcBorders>
                    <w:tl2br w:val="nil"/>
                    <w:tr2bl w:val="nil"/>
                  </w:tcBorders>
                  <w:vAlign w:val="center"/>
                </w:tcPr>
                <w:p w14:paraId="2BA67CD7">
                  <w:pPr>
                    <w:jc w:val="center"/>
                    <w:rPr>
                      <w:rFonts w:hint="default"/>
                      <w:color w:val="auto"/>
                      <w:sz w:val="21"/>
                      <w:szCs w:val="21"/>
                      <w:highlight w:val="none"/>
                      <w:lang w:val="en-US" w:eastAsia="zh-CN"/>
                    </w:rPr>
                  </w:pPr>
                  <w:r>
                    <w:rPr>
                      <w:rFonts w:hint="eastAsia"/>
                      <w:color w:val="auto"/>
                      <w:sz w:val="21"/>
                      <w:szCs w:val="21"/>
                      <w:highlight w:val="none"/>
                      <w:lang w:val="en-US" w:eastAsia="zh-CN"/>
                    </w:rPr>
                    <w:t>废化学品包装袋</w:t>
                  </w:r>
                </w:p>
              </w:tc>
              <w:tc>
                <w:tcPr>
                  <w:tcW w:w="1110" w:type="dxa"/>
                  <w:tcBorders>
                    <w:tl2br w:val="nil"/>
                    <w:tr2bl w:val="nil"/>
                  </w:tcBorders>
                  <w:vAlign w:val="center"/>
                </w:tcPr>
                <w:p w14:paraId="50624D52">
                  <w:pPr>
                    <w:jc w:val="center"/>
                    <w:rPr>
                      <w:rFonts w:hint="eastAsia"/>
                      <w:color w:val="auto"/>
                      <w:sz w:val="21"/>
                      <w:szCs w:val="21"/>
                      <w:highlight w:val="none"/>
                      <w:lang w:val="en-US" w:eastAsia="zh-CN"/>
                    </w:rPr>
                  </w:pPr>
                  <w:r>
                    <w:rPr>
                      <w:rFonts w:hint="eastAsia"/>
                      <w:color w:val="auto"/>
                      <w:sz w:val="21"/>
                      <w:szCs w:val="21"/>
                      <w:highlight w:val="none"/>
                      <w:lang w:val="en-US" w:eastAsia="zh-CN"/>
                    </w:rPr>
                    <w:t>危废</w:t>
                  </w:r>
                  <w:r>
                    <w:rPr>
                      <w:rFonts w:hint="eastAsia" w:ascii="Times New Roman" w:hAnsi="Times New Roman"/>
                      <w:color w:val="auto"/>
                      <w:sz w:val="21"/>
                      <w:szCs w:val="21"/>
                      <w:highlight w:val="none"/>
                      <w:lang w:val="en-US" w:eastAsia="zh-CN"/>
                    </w:rPr>
                    <w:t>HW49</w:t>
                  </w:r>
                </w:p>
              </w:tc>
              <w:tc>
                <w:tcPr>
                  <w:tcW w:w="1245" w:type="dxa"/>
                  <w:tcBorders>
                    <w:tl2br w:val="nil"/>
                    <w:tr2bl w:val="nil"/>
                  </w:tcBorders>
                  <w:vAlign w:val="center"/>
                </w:tcPr>
                <w:p w14:paraId="7CD486E0">
                  <w:pPr>
                    <w:jc w:val="center"/>
                    <w:rPr>
                      <w:rFonts w:hint="default"/>
                      <w:color w:val="auto"/>
                      <w:sz w:val="21"/>
                      <w:szCs w:val="21"/>
                      <w:highlight w:val="none"/>
                      <w:lang w:val="en-US" w:eastAsia="zh-CN"/>
                    </w:rPr>
                  </w:pPr>
                  <w:r>
                    <w:rPr>
                      <w:rFonts w:hint="eastAsia"/>
                      <w:color w:val="auto"/>
                      <w:sz w:val="21"/>
                      <w:szCs w:val="21"/>
                      <w:highlight w:val="none"/>
                      <w:lang w:val="en-US" w:eastAsia="zh-CN"/>
                    </w:rPr>
                    <w:t>0.01</w:t>
                  </w:r>
                </w:p>
              </w:tc>
              <w:tc>
                <w:tcPr>
                  <w:tcW w:w="2445" w:type="dxa"/>
                  <w:vMerge w:val="continue"/>
                  <w:tcBorders>
                    <w:tl2br w:val="nil"/>
                    <w:tr2bl w:val="nil"/>
                  </w:tcBorders>
                  <w:vAlign w:val="center"/>
                </w:tcPr>
                <w:p w14:paraId="2F662C1E">
                  <w:pPr>
                    <w:jc w:val="center"/>
                    <w:rPr>
                      <w:rFonts w:hint="eastAsia" w:ascii="Times New Roman" w:hAnsi="Times New Roman" w:eastAsia="宋体"/>
                      <w:color w:val="auto"/>
                      <w:sz w:val="21"/>
                      <w:szCs w:val="21"/>
                      <w:highlight w:val="none"/>
                      <w:lang w:eastAsia="zh-CN"/>
                    </w:rPr>
                  </w:pPr>
                </w:p>
              </w:tc>
              <w:tc>
                <w:tcPr>
                  <w:tcW w:w="1204" w:type="dxa"/>
                  <w:tcBorders>
                    <w:tl2br w:val="nil"/>
                    <w:tr2bl w:val="nil"/>
                  </w:tcBorders>
                  <w:vAlign w:val="center"/>
                </w:tcPr>
                <w:p w14:paraId="28A3EF9D">
                  <w:pPr>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r>
            <w:tr w14:paraId="04E5A3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dxa"/>
                  <w:tcBorders>
                    <w:tl2br w:val="nil"/>
                    <w:tr2bl w:val="nil"/>
                  </w:tcBorders>
                  <w:vAlign w:val="center"/>
                </w:tcPr>
                <w:p w14:paraId="527DA1AE">
                  <w:pPr>
                    <w:jc w:val="center"/>
                    <w:rPr>
                      <w:rFonts w:hint="default"/>
                      <w:color w:val="auto"/>
                      <w:sz w:val="21"/>
                      <w:szCs w:val="21"/>
                      <w:highlight w:val="none"/>
                      <w:lang w:val="en-US" w:eastAsia="zh-CN"/>
                    </w:rPr>
                  </w:pPr>
                  <w:r>
                    <w:rPr>
                      <w:rFonts w:hint="eastAsia"/>
                      <w:color w:val="auto"/>
                      <w:sz w:val="21"/>
                      <w:szCs w:val="21"/>
                      <w:highlight w:val="none"/>
                      <w:lang w:val="en-US" w:eastAsia="zh-CN"/>
                    </w:rPr>
                    <w:t>9</w:t>
                  </w:r>
                </w:p>
              </w:tc>
              <w:tc>
                <w:tcPr>
                  <w:tcW w:w="1302" w:type="dxa"/>
                  <w:tcBorders>
                    <w:tl2br w:val="nil"/>
                    <w:tr2bl w:val="nil"/>
                  </w:tcBorders>
                  <w:vAlign w:val="center"/>
                </w:tcPr>
                <w:p w14:paraId="3A786B8F">
                  <w:pPr>
                    <w:jc w:val="center"/>
                    <w:rPr>
                      <w:rFonts w:hint="eastAsia"/>
                      <w:color w:val="auto"/>
                      <w:sz w:val="21"/>
                      <w:szCs w:val="21"/>
                      <w:highlight w:val="none"/>
                      <w:lang w:val="en-US" w:eastAsia="zh-CN"/>
                    </w:rPr>
                  </w:pPr>
                  <w:r>
                    <w:rPr>
                      <w:rFonts w:hint="eastAsia"/>
                      <w:color w:val="auto"/>
                      <w:sz w:val="21"/>
                      <w:szCs w:val="21"/>
                      <w:highlight w:val="none"/>
                      <w:lang w:val="en-US" w:eastAsia="zh-CN"/>
                    </w:rPr>
                    <w:t>废试剂瓶</w:t>
                  </w:r>
                </w:p>
              </w:tc>
              <w:tc>
                <w:tcPr>
                  <w:tcW w:w="1110" w:type="dxa"/>
                  <w:tcBorders>
                    <w:tl2br w:val="nil"/>
                    <w:tr2bl w:val="nil"/>
                  </w:tcBorders>
                  <w:vAlign w:val="center"/>
                </w:tcPr>
                <w:p w14:paraId="3C124E1E">
                  <w:pPr>
                    <w:jc w:val="center"/>
                    <w:rPr>
                      <w:rFonts w:hint="default"/>
                      <w:color w:val="auto"/>
                      <w:sz w:val="21"/>
                      <w:szCs w:val="21"/>
                      <w:highlight w:val="none"/>
                      <w:lang w:val="en-US" w:eastAsia="zh-CN"/>
                    </w:rPr>
                  </w:pPr>
                  <w:r>
                    <w:rPr>
                      <w:rFonts w:hint="eastAsia"/>
                      <w:color w:val="auto"/>
                      <w:sz w:val="21"/>
                      <w:szCs w:val="21"/>
                      <w:highlight w:val="none"/>
                      <w:lang w:val="en-US" w:eastAsia="zh-CN"/>
                    </w:rPr>
                    <w:t>危废HW49</w:t>
                  </w:r>
                </w:p>
              </w:tc>
              <w:tc>
                <w:tcPr>
                  <w:tcW w:w="1245" w:type="dxa"/>
                  <w:tcBorders>
                    <w:tl2br w:val="nil"/>
                    <w:tr2bl w:val="nil"/>
                  </w:tcBorders>
                  <w:vAlign w:val="center"/>
                </w:tcPr>
                <w:p w14:paraId="0934CBE4">
                  <w:pPr>
                    <w:jc w:val="center"/>
                    <w:rPr>
                      <w:rFonts w:hint="default"/>
                      <w:color w:val="auto"/>
                      <w:sz w:val="21"/>
                      <w:szCs w:val="21"/>
                      <w:highlight w:val="none"/>
                      <w:lang w:val="en-US" w:eastAsia="zh-CN"/>
                    </w:rPr>
                  </w:pPr>
                  <w:r>
                    <w:rPr>
                      <w:rFonts w:hint="eastAsia"/>
                      <w:color w:val="auto"/>
                      <w:sz w:val="21"/>
                      <w:szCs w:val="21"/>
                      <w:highlight w:val="none"/>
                      <w:lang w:val="en-US" w:eastAsia="zh-CN"/>
                    </w:rPr>
                    <w:t>0.01</w:t>
                  </w:r>
                </w:p>
              </w:tc>
              <w:tc>
                <w:tcPr>
                  <w:tcW w:w="2445" w:type="dxa"/>
                  <w:vMerge w:val="continue"/>
                  <w:tcBorders>
                    <w:tl2br w:val="nil"/>
                    <w:tr2bl w:val="nil"/>
                  </w:tcBorders>
                  <w:vAlign w:val="center"/>
                </w:tcPr>
                <w:p w14:paraId="32EA63B2">
                  <w:pPr>
                    <w:jc w:val="center"/>
                    <w:rPr>
                      <w:rFonts w:hint="eastAsia" w:ascii="Times New Roman" w:hAnsi="Times New Roman" w:eastAsia="宋体"/>
                      <w:color w:val="auto"/>
                      <w:sz w:val="21"/>
                      <w:szCs w:val="21"/>
                      <w:highlight w:val="none"/>
                      <w:lang w:eastAsia="zh-CN"/>
                    </w:rPr>
                  </w:pPr>
                </w:p>
              </w:tc>
              <w:tc>
                <w:tcPr>
                  <w:tcW w:w="1204" w:type="dxa"/>
                  <w:tcBorders>
                    <w:tl2br w:val="nil"/>
                    <w:tr2bl w:val="nil"/>
                  </w:tcBorders>
                  <w:vAlign w:val="center"/>
                </w:tcPr>
                <w:p w14:paraId="4B3B50DF">
                  <w:pPr>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r>
            <w:tr w14:paraId="6C43F5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dxa"/>
                  <w:tcBorders>
                    <w:tl2br w:val="nil"/>
                    <w:tr2bl w:val="nil"/>
                  </w:tcBorders>
                  <w:vAlign w:val="center"/>
                </w:tcPr>
                <w:p w14:paraId="65146235">
                  <w:pPr>
                    <w:jc w:val="center"/>
                    <w:rPr>
                      <w:rFonts w:hint="default"/>
                      <w:color w:val="auto"/>
                      <w:sz w:val="21"/>
                      <w:szCs w:val="21"/>
                      <w:highlight w:val="none"/>
                      <w:u w:val="single"/>
                      <w:lang w:val="en-US" w:eastAsia="zh-CN"/>
                    </w:rPr>
                  </w:pPr>
                  <w:r>
                    <w:rPr>
                      <w:rFonts w:hint="eastAsia"/>
                      <w:color w:val="auto"/>
                      <w:sz w:val="21"/>
                      <w:szCs w:val="21"/>
                      <w:highlight w:val="none"/>
                      <w:u w:val="single"/>
                      <w:lang w:val="en-US" w:eastAsia="zh-CN"/>
                    </w:rPr>
                    <w:t>10</w:t>
                  </w:r>
                </w:p>
              </w:tc>
              <w:tc>
                <w:tcPr>
                  <w:tcW w:w="1302" w:type="dxa"/>
                  <w:tcBorders>
                    <w:tl2br w:val="nil"/>
                    <w:tr2bl w:val="nil"/>
                  </w:tcBorders>
                  <w:vAlign w:val="center"/>
                </w:tcPr>
                <w:p w14:paraId="26576B3E">
                  <w:pPr>
                    <w:jc w:val="center"/>
                    <w:rPr>
                      <w:rFonts w:hint="default"/>
                      <w:color w:val="auto"/>
                      <w:sz w:val="21"/>
                      <w:szCs w:val="21"/>
                      <w:highlight w:val="none"/>
                      <w:u w:val="single"/>
                      <w:lang w:val="en-US" w:eastAsia="zh-CN"/>
                    </w:rPr>
                  </w:pPr>
                  <w:r>
                    <w:rPr>
                      <w:rFonts w:hint="eastAsia"/>
                      <w:color w:val="auto"/>
                      <w:sz w:val="21"/>
                      <w:szCs w:val="21"/>
                      <w:highlight w:val="none"/>
                      <w:u w:val="single"/>
                      <w:lang w:val="en-US" w:eastAsia="zh-CN"/>
                    </w:rPr>
                    <w:t>化验废液</w:t>
                  </w:r>
                </w:p>
              </w:tc>
              <w:tc>
                <w:tcPr>
                  <w:tcW w:w="1110" w:type="dxa"/>
                  <w:tcBorders>
                    <w:tl2br w:val="nil"/>
                    <w:tr2bl w:val="nil"/>
                  </w:tcBorders>
                  <w:vAlign w:val="center"/>
                </w:tcPr>
                <w:p w14:paraId="5FBB07E7">
                  <w:pPr>
                    <w:jc w:val="center"/>
                    <w:rPr>
                      <w:rFonts w:hint="eastAsia"/>
                      <w:color w:val="auto"/>
                      <w:sz w:val="21"/>
                      <w:szCs w:val="21"/>
                      <w:highlight w:val="none"/>
                      <w:u w:val="single"/>
                      <w:lang w:val="en-US" w:eastAsia="zh-CN"/>
                    </w:rPr>
                  </w:pPr>
                  <w:r>
                    <w:rPr>
                      <w:rFonts w:hint="eastAsia"/>
                      <w:color w:val="auto"/>
                      <w:sz w:val="21"/>
                      <w:szCs w:val="21"/>
                      <w:highlight w:val="none"/>
                      <w:u w:val="single"/>
                      <w:lang w:val="en-US" w:eastAsia="zh-CN"/>
                    </w:rPr>
                    <w:t>危废HW49</w:t>
                  </w:r>
                </w:p>
              </w:tc>
              <w:tc>
                <w:tcPr>
                  <w:tcW w:w="1245" w:type="dxa"/>
                  <w:tcBorders>
                    <w:tl2br w:val="nil"/>
                    <w:tr2bl w:val="nil"/>
                  </w:tcBorders>
                  <w:vAlign w:val="center"/>
                </w:tcPr>
                <w:p w14:paraId="156D3390">
                  <w:pPr>
                    <w:jc w:val="center"/>
                    <w:rPr>
                      <w:rFonts w:hint="eastAsia"/>
                      <w:color w:val="auto"/>
                      <w:sz w:val="21"/>
                      <w:szCs w:val="21"/>
                      <w:highlight w:val="none"/>
                      <w:u w:val="single"/>
                      <w:lang w:val="en-US" w:eastAsia="zh-CN"/>
                    </w:rPr>
                  </w:pPr>
                  <w:r>
                    <w:rPr>
                      <w:rFonts w:hint="eastAsia"/>
                      <w:color w:val="auto"/>
                      <w:sz w:val="21"/>
                      <w:szCs w:val="21"/>
                      <w:highlight w:val="none"/>
                      <w:u w:val="single"/>
                      <w:lang w:val="en-US" w:eastAsia="zh-CN"/>
                    </w:rPr>
                    <w:t>0.01</w:t>
                  </w:r>
                </w:p>
              </w:tc>
              <w:tc>
                <w:tcPr>
                  <w:tcW w:w="2445" w:type="dxa"/>
                  <w:vMerge w:val="continue"/>
                  <w:tcBorders>
                    <w:tl2br w:val="nil"/>
                    <w:tr2bl w:val="nil"/>
                  </w:tcBorders>
                  <w:vAlign w:val="center"/>
                </w:tcPr>
                <w:p w14:paraId="22FD88CA">
                  <w:pPr>
                    <w:jc w:val="center"/>
                    <w:rPr>
                      <w:rFonts w:hint="eastAsia" w:ascii="Times New Roman" w:hAnsi="Times New Roman" w:eastAsia="宋体"/>
                      <w:color w:val="auto"/>
                      <w:sz w:val="21"/>
                      <w:szCs w:val="21"/>
                      <w:highlight w:val="none"/>
                      <w:lang w:eastAsia="zh-CN"/>
                    </w:rPr>
                  </w:pPr>
                </w:p>
              </w:tc>
              <w:tc>
                <w:tcPr>
                  <w:tcW w:w="1204" w:type="dxa"/>
                  <w:tcBorders>
                    <w:tl2br w:val="nil"/>
                    <w:tr2bl w:val="nil"/>
                  </w:tcBorders>
                  <w:vAlign w:val="center"/>
                </w:tcPr>
                <w:p w14:paraId="369D16AF">
                  <w:pPr>
                    <w:jc w:val="center"/>
                    <w:rPr>
                      <w:rFonts w:hint="default"/>
                      <w:color w:val="auto"/>
                      <w:sz w:val="21"/>
                      <w:szCs w:val="21"/>
                      <w:highlight w:val="none"/>
                      <w:lang w:val="en-US" w:eastAsia="zh-CN"/>
                    </w:rPr>
                  </w:pPr>
                  <w:r>
                    <w:rPr>
                      <w:rFonts w:hint="eastAsia"/>
                      <w:color w:val="auto"/>
                      <w:sz w:val="21"/>
                      <w:szCs w:val="21"/>
                      <w:highlight w:val="none"/>
                      <w:lang w:val="en-US" w:eastAsia="zh-CN"/>
                    </w:rPr>
                    <w:t>0</w:t>
                  </w:r>
                </w:p>
              </w:tc>
            </w:tr>
          </w:tbl>
          <w:p w14:paraId="17E4334C">
            <w:pPr>
              <w:keepNext w:val="0"/>
              <w:keepLines w:val="0"/>
              <w:pageBreakBefore w:val="0"/>
              <w:widowControl w:val="0"/>
              <w:kinsoku/>
              <w:wordWrap/>
              <w:overflowPunct/>
              <w:topLinePunct w:val="0"/>
              <w:autoSpaceDE/>
              <w:autoSpaceDN/>
              <w:bidi w:val="0"/>
              <w:adjustRightInd/>
              <w:snapToGrid/>
              <w:spacing w:before="48" w:beforeLines="15" w:after="48" w:afterLines="15" w:line="240" w:lineRule="auto"/>
              <w:ind w:firstLine="0" w:firstLineChars="0"/>
              <w:jc w:val="center"/>
              <w:textAlignment w:val="auto"/>
              <w:rPr>
                <w:rFonts w:hint="eastAsia" w:ascii="Times New Roman" w:hAnsi="Times New Roman" w:eastAsia="宋体"/>
                <w:b/>
                <w:color w:val="auto"/>
                <w:highlight w:val="none"/>
                <w:lang w:eastAsia="zh-CN"/>
              </w:rPr>
            </w:pPr>
            <w:r>
              <w:rPr>
                <w:rFonts w:ascii="Times New Roman"/>
                <w:b/>
                <w:color w:val="auto"/>
                <w:highlight w:val="none"/>
              </w:rPr>
              <w:t>表</w:t>
            </w:r>
            <w:r>
              <w:rPr>
                <w:rFonts w:hint="eastAsia" w:ascii="Times New Roman" w:hAnsi="Times New Roman"/>
                <w:b/>
                <w:color w:val="auto"/>
                <w:highlight w:val="none"/>
                <w:lang w:val="en-US" w:eastAsia="zh-CN"/>
              </w:rPr>
              <w:t>4-1</w:t>
            </w:r>
            <w:r>
              <w:rPr>
                <w:rFonts w:hint="eastAsia"/>
                <w:b/>
                <w:color w:val="auto"/>
                <w:highlight w:val="none"/>
                <w:lang w:val="en-US" w:eastAsia="zh-CN"/>
              </w:rPr>
              <w:t>3危险</w:t>
            </w:r>
            <w:r>
              <w:rPr>
                <w:rFonts w:ascii="Times New Roman"/>
                <w:b/>
                <w:color w:val="auto"/>
                <w:highlight w:val="none"/>
              </w:rPr>
              <w:t>固体废物</w:t>
            </w:r>
            <w:r>
              <w:rPr>
                <w:rFonts w:hint="eastAsia" w:ascii="Times New Roman"/>
                <w:b/>
                <w:color w:val="auto"/>
                <w:highlight w:val="none"/>
                <w:lang w:eastAsia="zh-CN"/>
              </w:rPr>
              <w:t>汇总表</w:t>
            </w:r>
          </w:p>
          <w:tbl>
            <w:tblPr>
              <w:tblStyle w:val="32"/>
              <w:tblW w:w="79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68"/>
              <w:gridCol w:w="657"/>
              <w:gridCol w:w="688"/>
              <w:gridCol w:w="1090"/>
              <w:gridCol w:w="794"/>
              <w:gridCol w:w="602"/>
              <w:gridCol w:w="507"/>
              <w:gridCol w:w="520"/>
              <w:gridCol w:w="548"/>
              <w:gridCol w:w="657"/>
              <w:gridCol w:w="472"/>
              <w:gridCol w:w="1034"/>
            </w:tblGrid>
            <w:tr w14:paraId="2E17E7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dxa"/>
                  <w:tcBorders>
                    <w:tl2br w:val="nil"/>
                    <w:tr2bl w:val="nil"/>
                  </w:tcBorders>
                  <w:vAlign w:val="center"/>
                </w:tcPr>
                <w:p w14:paraId="6D7B7DA3">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序号</w:t>
                  </w:r>
                </w:p>
              </w:tc>
              <w:tc>
                <w:tcPr>
                  <w:tcW w:w="690" w:type="dxa"/>
                  <w:tcBorders>
                    <w:tl2br w:val="nil"/>
                    <w:tr2bl w:val="nil"/>
                  </w:tcBorders>
                  <w:vAlign w:val="center"/>
                </w:tcPr>
                <w:p w14:paraId="5593906A">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名称</w:t>
                  </w:r>
                </w:p>
              </w:tc>
              <w:tc>
                <w:tcPr>
                  <w:tcW w:w="690" w:type="dxa"/>
                  <w:tcBorders>
                    <w:tl2br w:val="nil"/>
                    <w:tr2bl w:val="nil"/>
                  </w:tcBorders>
                  <w:vAlign w:val="center"/>
                </w:tcPr>
                <w:p w14:paraId="56ADF4CB">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危险废物类别</w:t>
                  </w:r>
                </w:p>
              </w:tc>
              <w:tc>
                <w:tcPr>
                  <w:tcW w:w="960" w:type="dxa"/>
                  <w:tcBorders>
                    <w:tl2br w:val="nil"/>
                    <w:tr2bl w:val="nil"/>
                  </w:tcBorders>
                  <w:vAlign w:val="center"/>
                </w:tcPr>
                <w:p w14:paraId="2FEFD75D">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olor w:val="auto"/>
                      <w:sz w:val="21"/>
                      <w:szCs w:val="21"/>
                      <w:highlight w:val="none"/>
                      <w:lang w:val="en-US" w:eastAsia="zh-CN"/>
                    </w:rPr>
                    <w:t>危废代码</w:t>
                  </w:r>
                </w:p>
              </w:tc>
              <w:tc>
                <w:tcPr>
                  <w:tcW w:w="735" w:type="dxa"/>
                  <w:tcBorders>
                    <w:tl2br w:val="nil"/>
                    <w:tr2bl w:val="nil"/>
                  </w:tcBorders>
                  <w:vAlign w:val="center"/>
                </w:tcPr>
                <w:p w14:paraId="4BFE6394">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产生量</w:t>
                  </w:r>
                </w:p>
                <w:p w14:paraId="3F4C36E9">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（t/a）</w:t>
                  </w:r>
                </w:p>
              </w:tc>
              <w:tc>
                <w:tcPr>
                  <w:tcW w:w="630" w:type="dxa"/>
                  <w:tcBorders>
                    <w:tl2br w:val="nil"/>
                    <w:tr2bl w:val="nil"/>
                  </w:tcBorders>
                  <w:vAlign w:val="center"/>
                </w:tcPr>
                <w:p w14:paraId="0E920075">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产生工序</w:t>
                  </w:r>
                </w:p>
              </w:tc>
              <w:tc>
                <w:tcPr>
                  <w:tcW w:w="525" w:type="dxa"/>
                  <w:tcBorders>
                    <w:tl2br w:val="nil"/>
                    <w:tr2bl w:val="nil"/>
                  </w:tcBorders>
                  <w:vAlign w:val="center"/>
                </w:tcPr>
                <w:p w14:paraId="381AF98E">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形态</w:t>
                  </w:r>
                </w:p>
              </w:tc>
              <w:tc>
                <w:tcPr>
                  <w:tcW w:w="540" w:type="dxa"/>
                  <w:tcBorders>
                    <w:tl2br w:val="nil"/>
                    <w:tr2bl w:val="nil"/>
                  </w:tcBorders>
                  <w:vAlign w:val="center"/>
                </w:tcPr>
                <w:p w14:paraId="23953EEB">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主要成分</w:t>
                  </w:r>
                </w:p>
              </w:tc>
              <w:tc>
                <w:tcPr>
                  <w:tcW w:w="570" w:type="dxa"/>
                  <w:tcBorders>
                    <w:tl2br w:val="nil"/>
                    <w:tr2bl w:val="nil"/>
                  </w:tcBorders>
                  <w:vAlign w:val="center"/>
                </w:tcPr>
                <w:p w14:paraId="5CAA3AE5">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有害成分</w:t>
                  </w:r>
                </w:p>
              </w:tc>
              <w:tc>
                <w:tcPr>
                  <w:tcW w:w="669" w:type="dxa"/>
                  <w:tcBorders>
                    <w:tl2br w:val="nil"/>
                    <w:tr2bl w:val="nil"/>
                  </w:tcBorders>
                  <w:vAlign w:val="center"/>
                </w:tcPr>
                <w:p w14:paraId="549FAF07">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olor w:val="auto"/>
                      <w:sz w:val="21"/>
                      <w:szCs w:val="21"/>
                      <w:highlight w:val="none"/>
                      <w:lang w:val="en-US" w:eastAsia="zh-CN"/>
                    </w:rPr>
                    <w:t>产生周期</w:t>
                  </w:r>
                </w:p>
              </w:tc>
              <w:tc>
                <w:tcPr>
                  <w:tcW w:w="471" w:type="dxa"/>
                  <w:tcBorders>
                    <w:tl2br w:val="nil"/>
                    <w:tr2bl w:val="nil"/>
                  </w:tcBorders>
                  <w:vAlign w:val="center"/>
                </w:tcPr>
                <w:p w14:paraId="339C8F85">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危险特性</w:t>
                  </w:r>
                </w:p>
              </w:tc>
              <w:tc>
                <w:tcPr>
                  <w:tcW w:w="1084" w:type="dxa"/>
                  <w:tcBorders>
                    <w:tl2br w:val="nil"/>
                    <w:tr2bl w:val="nil"/>
                  </w:tcBorders>
                  <w:vAlign w:val="center"/>
                </w:tcPr>
                <w:p w14:paraId="2BA38E8A">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污染防治措施</w:t>
                  </w:r>
                </w:p>
              </w:tc>
            </w:tr>
            <w:tr w14:paraId="294CE4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dxa"/>
                  <w:tcBorders>
                    <w:tl2br w:val="nil"/>
                    <w:tr2bl w:val="nil"/>
                  </w:tcBorders>
                  <w:vAlign w:val="center"/>
                </w:tcPr>
                <w:p w14:paraId="29E366E2">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1</w:t>
                  </w:r>
                </w:p>
              </w:tc>
              <w:tc>
                <w:tcPr>
                  <w:tcW w:w="690" w:type="dxa"/>
                  <w:tcBorders>
                    <w:tl2br w:val="nil"/>
                    <w:tr2bl w:val="nil"/>
                  </w:tcBorders>
                  <w:vAlign w:val="center"/>
                </w:tcPr>
                <w:p w14:paraId="784A3B51">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废</w:t>
                  </w:r>
                  <w:r>
                    <w:rPr>
                      <w:rFonts w:hint="eastAsia"/>
                      <w:color w:val="auto"/>
                      <w:sz w:val="21"/>
                      <w:szCs w:val="21"/>
                      <w:highlight w:val="none"/>
                      <w:lang w:val="en-US" w:eastAsia="zh-CN"/>
                    </w:rPr>
                    <w:t>紫外</w:t>
                  </w:r>
                  <w:r>
                    <w:rPr>
                      <w:rFonts w:hint="eastAsia" w:ascii="Times New Roman" w:hAnsi="Times New Roman" w:eastAsia="宋体"/>
                      <w:color w:val="auto"/>
                      <w:sz w:val="21"/>
                      <w:szCs w:val="21"/>
                      <w:highlight w:val="none"/>
                      <w:lang w:val="en-US" w:eastAsia="zh-CN"/>
                    </w:rPr>
                    <w:t>灯管</w:t>
                  </w:r>
                </w:p>
              </w:tc>
              <w:tc>
                <w:tcPr>
                  <w:tcW w:w="690" w:type="dxa"/>
                  <w:tcBorders>
                    <w:tl2br w:val="nil"/>
                    <w:tr2bl w:val="nil"/>
                  </w:tcBorders>
                  <w:vAlign w:val="center"/>
                </w:tcPr>
                <w:p w14:paraId="36210372">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HW29</w:t>
                  </w:r>
                </w:p>
              </w:tc>
              <w:tc>
                <w:tcPr>
                  <w:tcW w:w="960" w:type="dxa"/>
                  <w:tcBorders>
                    <w:tl2br w:val="nil"/>
                    <w:tr2bl w:val="nil"/>
                  </w:tcBorders>
                  <w:vAlign w:val="center"/>
                </w:tcPr>
                <w:p w14:paraId="00C51F35">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900-023-29</w:t>
                  </w:r>
                </w:p>
              </w:tc>
              <w:tc>
                <w:tcPr>
                  <w:tcW w:w="735" w:type="dxa"/>
                  <w:tcBorders>
                    <w:tl2br w:val="nil"/>
                    <w:tr2bl w:val="nil"/>
                  </w:tcBorders>
                  <w:vAlign w:val="center"/>
                </w:tcPr>
                <w:p w14:paraId="0ED5DC1E">
                  <w:pPr>
                    <w:jc w:val="center"/>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0.0024</w:t>
                  </w:r>
                </w:p>
              </w:tc>
              <w:tc>
                <w:tcPr>
                  <w:tcW w:w="630" w:type="dxa"/>
                  <w:tcBorders>
                    <w:tl2br w:val="nil"/>
                    <w:tr2bl w:val="nil"/>
                  </w:tcBorders>
                  <w:vAlign w:val="center"/>
                </w:tcPr>
                <w:p w14:paraId="090A5F40">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紫外消毒</w:t>
                  </w:r>
                </w:p>
              </w:tc>
              <w:tc>
                <w:tcPr>
                  <w:tcW w:w="525" w:type="dxa"/>
                  <w:tcBorders>
                    <w:tl2br w:val="nil"/>
                    <w:tr2bl w:val="nil"/>
                  </w:tcBorders>
                  <w:vAlign w:val="center"/>
                </w:tcPr>
                <w:p w14:paraId="7022F5F0">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固态</w:t>
                  </w:r>
                </w:p>
              </w:tc>
              <w:tc>
                <w:tcPr>
                  <w:tcW w:w="540" w:type="dxa"/>
                  <w:tcBorders>
                    <w:tl2br w:val="nil"/>
                    <w:tr2bl w:val="nil"/>
                  </w:tcBorders>
                  <w:vAlign w:val="center"/>
                </w:tcPr>
                <w:p w14:paraId="22E69CCF">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汞</w:t>
                  </w:r>
                </w:p>
              </w:tc>
              <w:tc>
                <w:tcPr>
                  <w:tcW w:w="570" w:type="dxa"/>
                  <w:tcBorders>
                    <w:tl2br w:val="nil"/>
                    <w:tr2bl w:val="nil"/>
                  </w:tcBorders>
                  <w:vAlign w:val="center"/>
                </w:tcPr>
                <w:p w14:paraId="3CFFB09A">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汞</w:t>
                  </w:r>
                </w:p>
              </w:tc>
              <w:tc>
                <w:tcPr>
                  <w:tcW w:w="669" w:type="dxa"/>
                  <w:tcBorders>
                    <w:tl2br w:val="nil"/>
                    <w:tr2bl w:val="nil"/>
                  </w:tcBorders>
                  <w:vAlign w:val="center"/>
                </w:tcPr>
                <w:p w14:paraId="396478A1">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1次/年</w:t>
                  </w:r>
                </w:p>
              </w:tc>
              <w:tc>
                <w:tcPr>
                  <w:tcW w:w="471" w:type="dxa"/>
                  <w:tcBorders>
                    <w:tl2br w:val="nil"/>
                    <w:tr2bl w:val="nil"/>
                  </w:tcBorders>
                  <w:vAlign w:val="center"/>
                </w:tcPr>
                <w:p w14:paraId="3D6D9A07">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T</w:t>
                  </w:r>
                </w:p>
              </w:tc>
              <w:tc>
                <w:tcPr>
                  <w:tcW w:w="1084" w:type="dxa"/>
                  <w:vMerge w:val="restart"/>
                  <w:tcBorders>
                    <w:tl2br w:val="nil"/>
                    <w:tr2bl w:val="nil"/>
                  </w:tcBorders>
                  <w:vAlign w:val="center"/>
                </w:tcPr>
                <w:p w14:paraId="40FF7DB8">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eastAsia="zh-CN"/>
                    </w:rPr>
                    <w:t>于厂内危废暂存间收集后交有资质单位处理</w:t>
                  </w:r>
                </w:p>
              </w:tc>
            </w:tr>
            <w:tr w14:paraId="43ECA3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dxa"/>
                  <w:tcBorders>
                    <w:tl2br w:val="nil"/>
                    <w:tr2bl w:val="nil"/>
                  </w:tcBorders>
                  <w:vAlign w:val="center"/>
                </w:tcPr>
                <w:p w14:paraId="2B55DA28">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ascii="Times New Roman" w:hAnsi="Times New Roman" w:eastAsia="宋体"/>
                      <w:color w:val="auto"/>
                      <w:sz w:val="21"/>
                      <w:szCs w:val="21"/>
                      <w:highlight w:val="none"/>
                      <w:lang w:val="en-US" w:eastAsia="zh-CN"/>
                    </w:rPr>
                  </w:pPr>
                  <w:r>
                    <w:rPr>
                      <w:rFonts w:hint="eastAsia" w:ascii="Times New Roman" w:hAnsi="Times New Roman"/>
                      <w:color w:val="auto"/>
                      <w:sz w:val="21"/>
                      <w:szCs w:val="21"/>
                      <w:highlight w:val="none"/>
                      <w:lang w:val="en-US" w:eastAsia="zh-CN"/>
                    </w:rPr>
                    <w:t>2</w:t>
                  </w:r>
                </w:p>
              </w:tc>
              <w:tc>
                <w:tcPr>
                  <w:tcW w:w="690" w:type="dxa"/>
                  <w:tcBorders>
                    <w:tl2br w:val="nil"/>
                    <w:tr2bl w:val="nil"/>
                  </w:tcBorders>
                  <w:vAlign w:val="center"/>
                </w:tcPr>
                <w:p w14:paraId="28DC34A8">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废机油</w:t>
                  </w:r>
                </w:p>
              </w:tc>
              <w:tc>
                <w:tcPr>
                  <w:tcW w:w="690" w:type="dxa"/>
                  <w:tcBorders>
                    <w:tl2br w:val="nil"/>
                    <w:tr2bl w:val="nil"/>
                  </w:tcBorders>
                  <w:vAlign w:val="center"/>
                </w:tcPr>
                <w:p w14:paraId="489EBF9F">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ascii="Times New Roman" w:hAnsi="Times New Roman"/>
                      <w:color w:val="auto"/>
                      <w:sz w:val="21"/>
                      <w:szCs w:val="21"/>
                      <w:highlight w:val="none"/>
                    </w:rPr>
                  </w:pPr>
                  <w:r>
                    <w:rPr>
                      <w:rFonts w:hint="eastAsia" w:ascii="Times New Roman" w:hAnsi="Times New Roman"/>
                      <w:color w:val="auto"/>
                      <w:sz w:val="21"/>
                      <w:szCs w:val="21"/>
                      <w:highlight w:val="none"/>
                      <w:lang w:val="en-US" w:eastAsia="zh-CN"/>
                    </w:rPr>
                    <w:t>HW08</w:t>
                  </w:r>
                </w:p>
              </w:tc>
              <w:tc>
                <w:tcPr>
                  <w:tcW w:w="960" w:type="dxa"/>
                  <w:tcBorders>
                    <w:tl2br w:val="nil"/>
                    <w:tr2bl w:val="nil"/>
                  </w:tcBorders>
                  <w:vAlign w:val="center"/>
                </w:tcPr>
                <w:p w14:paraId="5A61E342">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900-214-08</w:t>
                  </w:r>
                </w:p>
              </w:tc>
              <w:tc>
                <w:tcPr>
                  <w:tcW w:w="735" w:type="dxa"/>
                  <w:tcBorders>
                    <w:tl2br w:val="nil"/>
                    <w:tr2bl w:val="nil"/>
                  </w:tcBorders>
                  <w:vAlign w:val="center"/>
                </w:tcPr>
                <w:p w14:paraId="5DC60C36">
                  <w:pPr>
                    <w:jc w:val="center"/>
                    <w:rPr>
                      <w:rFonts w:hint="eastAsia" w:ascii="Times New Roman" w:hAnsi="Times New Roman" w:eastAsia="宋体"/>
                      <w:color w:val="auto"/>
                      <w:sz w:val="21"/>
                      <w:szCs w:val="21"/>
                      <w:highlight w:val="none"/>
                      <w:lang w:eastAsia="zh-CN"/>
                    </w:rPr>
                  </w:pPr>
                  <w:r>
                    <w:rPr>
                      <w:rFonts w:hint="eastAsia" w:ascii="Times New Roman" w:hAnsi="Times New Roman" w:eastAsia="宋体"/>
                      <w:color w:val="auto"/>
                      <w:sz w:val="21"/>
                      <w:szCs w:val="21"/>
                      <w:highlight w:val="none"/>
                      <w:lang w:val="en-US" w:eastAsia="zh-CN"/>
                    </w:rPr>
                    <w:t>0.01</w:t>
                  </w:r>
                </w:p>
              </w:tc>
              <w:tc>
                <w:tcPr>
                  <w:tcW w:w="630" w:type="dxa"/>
                  <w:tcBorders>
                    <w:tl2br w:val="nil"/>
                    <w:tr2bl w:val="nil"/>
                  </w:tcBorders>
                  <w:vAlign w:val="center"/>
                </w:tcPr>
                <w:p w14:paraId="5BFC8256">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机械维修</w:t>
                  </w:r>
                </w:p>
              </w:tc>
              <w:tc>
                <w:tcPr>
                  <w:tcW w:w="525" w:type="dxa"/>
                  <w:tcBorders>
                    <w:tl2br w:val="nil"/>
                    <w:tr2bl w:val="nil"/>
                  </w:tcBorders>
                  <w:vAlign w:val="center"/>
                </w:tcPr>
                <w:p w14:paraId="4EDF409C">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液态</w:t>
                  </w:r>
                </w:p>
              </w:tc>
              <w:tc>
                <w:tcPr>
                  <w:tcW w:w="540" w:type="dxa"/>
                  <w:tcBorders>
                    <w:tl2br w:val="nil"/>
                    <w:tr2bl w:val="nil"/>
                  </w:tcBorders>
                  <w:vAlign w:val="center"/>
                </w:tcPr>
                <w:p w14:paraId="56051764">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矿物油</w:t>
                  </w:r>
                </w:p>
              </w:tc>
              <w:tc>
                <w:tcPr>
                  <w:tcW w:w="570" w:type="dxa"/>
                  <w:tcBorders>
                    <w:tl2br w:val="nil"/>
                    <w:tr2bl w:val="nil"/>
                  </w:tcBorders>
                  <w:vAlign w:val="center"/>
                </w:tcPr>
                <w:p w14:paraId="7738598E">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ascii="Times New Roman" w:hAnsi="Times New Roman" w:eastAsia="宋体"/>
                      <w:color w:val="auto"/>
                      <w:sz w:val="21"/>
                      <w:szCs w:val="21"/>
                      <w:highlight w:val="none"/>
                      <w:lang w:eastAsia="zh-CN"/>
                    </w:rPr>
                  </w:pPr>
                  <w:r>
                    <w:rPr>
                      <w:rFonts w:hint="eastAsia" w:ascii="Times New Roman" w:hAnsi="Times New Roman" w:eastAsia="宋体"/>
                      <w:color w:val="auto"/>
                      <w:sz w:val="21"/>
                      <w:szCs w:val="21"/>
                      <w:highlight w:val="none"/>
                      <w:lang w:val="en-US" w:eastAsia="zh-CN"/>
                    </w:rPr>
                    <w:t>矿物油</w:t>
                  </w:r>
                </w:p>
              </w:tc>
              <w:tc>
                <w:tcPr>
                  <w:tcW w:w="669" w:type="dxa"/>
                  <w:tcBorders>
                    <w:tl2br w:val="nil"/>
                    <w:tr2bl w:val="nil"/>
                  </w:tcBorders>
                  <w:vAlign w:val="center"/>
                </w:tcPr>
                <w:p w14:paraId="60CC10A6">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6次/年</w:t>
                  </w:r>
                </w:p>
              </w:tc>
              <w:tc>
                <w:tcPr>
                  <w:tcW w:w="471" w:type="dxa"/>
                  <w:tcBorders>
                    <w:tl2br w:val="nil"/>
                    <w:tr2bl w:val="nil"/>
                  </w:tcBorders>
                  <w:vAlign w:val="center"/>
                </w:tcPr>
                <w:p w14:paraId="22E5C0E1">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T、I</w:t>
                  </w:r>
                </w:p>
              </w:tc>
              <w:tc>
                <w:tcPr>
                  <w:tcW w:w="1084" w:type="dxa"/>
                  <w:vMerge w:val="continue"/>
                  <w:tcBorders>
                    <w:tl2br w:val="nil"/>
                    <w:tr2bl w:val="nil"/>
                  </w:tcBorders>
                  <w:vAlign w:val="center"/>
                </w:tcPr>
                <w:p w14:paraId="374B0D22">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p>
              </w:tc>
            </w:tr>
            <w:tr w14:paraId="15729B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dxa"/>
                  <w:tcBorders>
                    <w:tl2br w:val="nil"/>
                    <w:tr2bl w:val="nil"/>
                  </w:tcBorders>
                  <w:vAlign w:val="center"/>
                </w:tcPr>
                <w:p w14:paraId="2866B089">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color w:val="auto"/>
                      <w:sz w:val="21"/>
                      <w:szCs w:val="21"/>
                      <w:highlight w:val="none"/>
                      <w:u w:val="single"/>
                      <w:lang w:val="en-US" w:eastAsia="zh-CN"/>
                    </w:rPr>
                  </w:pPr>
                  <w:r>
                    <w:rPr>
                      <w:rFonts w:hint="eastAsia"/>
                      <w:color w:val="auto"/>
                      <w:sz w:val="21"/>
                      <w:szCs w:val="21"/>
                      <w:highlight w:val="none"/>
                      <w:u w:val="single"/>
                      <w:lang w:val="en-US" w:eastAsia="zh-CN"/>
                    </w:rPr>
                    <w:t>3</w:t>
                  </w:r>
                </w:p>
              </w:tc>
              <w:tc>
                <w:tcPr>
                  <w:tcW w:w="690" w:type="dxa"/>
                  <w:tcBorders>
                    <w:tl2br w:val="nil"/>
                    <w:tr2bl w:val="nil"/>
                  </w:tcBorders>
                  <w:vAlign w:val="center"/>
                </w:tcPr>
                <w:p w14:paraId="214F5972">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ascii="Times New Roman" w:hAnsi="Times New Roman" w:eastAsia="宋体"/>
                      <w:color w:val="auto"/>
                      <w:sz w:val="21"/>
                      <w:szCs w:val="21"/>
                      <w:highlight w:val="none"/>
                      <w:u w:val="single"/>
                      <w:lang w:val="en-US" w:eastAsia="zh-CN"/>
                    </w:rPr>
                  </w:pPr>
                  <w:r>
                    <w:rPr>
                      <w:rFonts w:hint="eastAsia"/>
                      <w:color w:val="auto"/>
                      <w:sz w:val="21"/>
                      <w:szCs w:val="21"/>
                      <w:highlight w:val="none"/>
                      <w:u w:val="single"/>
                      <w:lang w:val="en-US" w:eastAsia="zh-CN"/>
                    </w:rPr>
                    <w:t>废检测液</w:t>
                  </w:r>
                </w:p>
              </w:tc>
              <w:tc>
                <w:tcPr>
                  <w:tcW w:w="690" w:type="dxa"/>
                  <w:tcBorders>
                    <w:tl2br w:val="nil"/>
                    <w:tr2bl w:val="nil"/>
                  </w:tcBorders>
                  <w:vAlign w:val="center"/>
                </w:tcPr>
                <w:p w14:paraId="4F481F80">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color w:val="auto"/>
                      <w:sz w:val="21"/>
                      <w:szCs w:val="21"/>
                      <w:highlight w:val="none"/>
                      <w:u w:val="single"/>
                      <w:lang w:val="en-US" w:eastAsia="zh-CN"/>
                    </w:rPr>
                  </w:pPr>
                  <w:r>
                    <w:rPr>
                      <w:rFonts w:hint="eastAsia"/>
                      <w:color w:val="auto"/>
                      <w:sz w:val="21"/>
                      <w:szCs w:val="21"/>
                      <w:highlight w:val="none"/>
                      <w:u w:val="single"/>
                      <w:lang w:val="en-US" w:eastAsia="zh-CN"/>
                    </w:rPr>
                    <w:t>HW49</w:t>
                  </w:r>
                </w:p>
              </w:tc>
              <w:tc>
                <w:tcPr>
                  <w:tcW w:w="960" w:type="dxa"/>
                  <w:tcBorders>
                    <w:tl2br w:val="nil"/>
                    <w:tr2bl w:val="nil"/>
                  </w:tcBorders>
                  <w:vAlign w:val="center"/>
                </w:tcPr>
                <w:p w14:paraId="004C4AE8">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ascii="Times New Roman" w:hAnsi="Times New Roman" w:eastAsia="宋体"/>
                      <w:color w:val="auto"/>
                      <w:sz w:val="21"/>
                      <w:szCs w:val="21"/>
                      <w:highlight w:val="none"/>
                      <w:u w:val="single"/>
                      <w:lang w:val="en-US" w:eastAsia="zh-CN"/>
                    </w:rPr>
                  </w:pPr>
                  <w:r>
                    <w:rPr>
                      <w:rFonts w:hint="eastAsia" w:ascii="Times New Roman" w:hAnsi="Times New Roman" w:eastAsia="宋体"/>
                      <w:color w:val="auto"/>
                      <w:sz w:val="21"/>
                      <w:szCs w:val="21"/>
                      <w:highlight w:val="none"/>
                      <w:u w:val="single"/>
                      <w:lang w:val="en-US" w:eastAsia="zh-CN"/>
                    </w:rPr>
                    <w:t>900-047-49</w:t>
                  </w:r>
                </w:p>
              </w:tc>
              <w:tc>
                <w:tcPr>
                  <w:tcW w:w="735" w:type="dxa"/>
                  <w:tcBorders>
                    <w:tl2br w:val="nil"/>
                    <w:tr2bl w:val="nil"/>
                  </w:tcBorders>
                  <w:vAlign w:val="center"/>
                </w:tcPr>
                <w:p w14:paraId="154D9E88">
                  <w:pPr>
                    <w:jc w:val="center"/>
                    <w:rPr>
                      <w:rFonts w:hint="default" w:ascii="Times New Roman" w:hAnsi="Times New Roman" w:eastAsia="宋体"/>
                      <w:color w:val="auto"/>
                      <w:sz w:val="21"/>
                      <w:szCs w:val="21"/>
                      <w:highlight w:val="none"/>
                      <w:u w:val="single"/>
                      <w:lang w:val="en-US" w:eastAsia="zh-CN"/>
                    </w:rPr>
                  </w:pPr>
                  <w:r>
                    <w:rPr>
                      <w:rFonts w:hint="eastAsia"/>
                      <w:color w:val="auto"/>
                      <w:sz w:val="21"/>
                      <w:szCs w:val="21"/>
                      <w:highlight w:val="none"/>
                      <w:u w:val="single"/>
                      <w:lang w:val="en-US" w:eastAsia="zh-CN"/>
                    </w:rPr>
                    <w:t>0.04</w:t>
                  </w:r>
                </w:p>
              </w:tc>
              <w:tc>
                <w:tcPr>
                  <w:tcW w:w="630" w:type="dxa"/>
                  <w:tcBorders>
                    <w:tl2br w:val="nil"/>
                    <w:tr2bl w:val="nil"/>
                  </w:tcBorders>
                  <w:vAlign w:val="center"/>
                </w:tcPr>
                <w:p w14:paraId="6EE3F09C">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ascii="Times New Roman" w:hAnsi="Times New Roman" w:eastAsia="宋体"/>
                      <w:color w:val="auto"/>
                      <w:sz w:val="21"/>
                      <w:szCs w:val="21"/>
                      <w:highlight w:val="none"/>
                      <w:u w:val="single"/>
                      <w:lang w:val="en-US" w:eastAsia="zh-CN"/>
                    </w:rPr>
                  </w:pPr>
                  <w:r>
                    <w:rPr>
                      <w:rFonts w:hint="eastAsia"/>
                      <w:color w:val="auto"/>
                      <w:sz w:val="21"/>
                      <w:szCs w:val="21"/>
                      <w:highlight w:val="none"/>
                      <w:u w:val="single"/>
                      <w:lang w:val="en-US" w:eastAsia="zh-CN"/>
                    </w:rPr>
                    <w:t>在线监测</w:t>
                  </w:r>
                </w:p>
              </w:tc>
              <w:tc>
                <w:tcPr>
                  <w:tcW w:w="525" w:type="dxa"/>
                  <w:tcBorders>
                    <w:tl2br w:val="nil"/>
                    <w:tr2bl w:val="nil"/>
                  </w:tcBorders>
                  <w:vAlign w:val="center"/>
                </w:tcPr>
                <w:p w14:paraId="15AE3680">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ascii="Times New Roman" w:hAnsi="Times New Roman" w:eastAsia="宋体"/>
                      <w:color w:val="auto"/>
                      <w:sz w:val="21"/>
                      <w:szCs w:val="21"/>
                      <w:highlight w:val="none"/>
                      <w:u w:val="single"/>
                      <w:lang w:val="en-US" w:eastAsia="zh-CN"/>
                    </w:rPr>
                  </w:pPr>
                  <w:r>
                    <w:rPr>
                      <w:rFonts w:hint="eastAsia"/>
                      <w:color w:val="auto"/>
                      <w:sz w:val="21"/>
                      <w:szCs w:val="21"/>
                      <w:highlight w:val="none"/>
                      <w:u w:val="single"/>
                      <w:lang w:val="en-US" w:eastAsia="zh-CN"/>
                    </w:rPr>
                    <w:t>液态</w:t>
                  </w:r>
                </w:p>
              </w:tc>
              <w:tc>
                <w:tcPr>
                  <w:tcW w:w="540" w:type="dxa"/>
                  <w:tcBorders>
                    <w:tl2br w:val="nil"/>
                    <w:tr2bl w:val="nil"/>
                  </w:tcBorders>
                  <w:vAlign w:val="center"/>
                </w:tcPr>
                <w:p w14:paraId="0349AAB7">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ascii="Times New Roman" w:hAnsi="Times New Roman" w:eastAsia="宋体"/>
                      <w:color w:val="auto"/>
                      <w:sz w:val="21"/>
                      <w:szCs w:val="21"/>
                      <w:highlight w:val="none"/>
                      <w:u w:val="single"/>
                      <w:lang w:val="en-US" w:eastAsia="zh-CN"/>
                    </w:rPr>
                  </w:pPr>
                  <w:r>
                    <w:rPr>
                      <w:rFonts w:hint="eastAsia"/>
                      <w:color w:val="auto"/>
                      <w:sz w:val="21"/>
                      <w:szCs w:val="21"/>
                      <w:highlight w:val="none"/>
                      <w:u w:val="single"/>
                      <w:lang w:val="en-US" w:eastAsia="zh-CN"/>
                    </w:rPr>
                    <w:t>重金属</w:t>
                  </w:r>
                </w:p>
              </w:tc>
              <w:tc>
                <w:tcPr>
                  <w:tcW w:w="570" w:type="dxa"/>
                  <w:tcBorders>
                    <w:tl2br w:val="nil"/>
                    <w:tr2bl w:val="nil"/>
                  </w:tcBorders>
                  <w:vAlign w:val="center"/>
                </w:tcPr>
                <w:p w14:paraId="2A3DE72E">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ascii="Times New Roman" w:hAnsi="Times New Roman" w:eastAsia="宋体"/>
                      <w:color w:val="auto"/>
                      <w:sz w:val="21"/>
                      <w:szCs w:val="21"/>
                      <w:highlight w:val="none"/>
                      <w:u w:val="single"/>
                      <w:lang w:val="en-US" w:eastAsia="zh-CN"/>
                    </w:rPr>
                  </w:pPr>
                  <w:r>
                    <w:rPr>
                      <w:rFonts w:hint="eastAsia"/>
                      <w:color w:val="auto"/>
                      <w:sz w:val="21"/>
                      <w:szCs w:val="21"/>
                      <w:highlight w:val="none"/>
                      <w:u w:val="single"/>
                      <w:lang w:val="en-US" w:eastAsia="zh-CN"/>
                    </w:rPr>
                    <w:t>重金属</w:t>
                  </w:r>
                </w:p>
              </w:tc>
              <w:tc>
                <w:tcPr>
                  <w:tcW w:w="669" w:type="dxa"/>
                  <w:tcBorders>
                    <w:tl2br w:val="nil"/>
                    <w:tr2bl w:val="nil"/>
                  </w:tcBorders>
                  <w:vAlign w:val="center"/>
                </w:tcPr>
                <w:p w14:paraId="3DC93BB9">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u w:val="single"/>
                      <w:lang w:val="en-US" w:eastAsia="zh-CN"/>
                    </w:rPr>
                  </w:pPr>
                  <w:r>
                    <w:rPr>
                      <w:rFonts w:hint="eastAsia"/>
                      <w:color w:val="auto"/>
                      <w:sz w:val="21"/>
                      <w:szCs w:val="21"/>
                      <w:highlight w:val="none"/>
                      <w:u w:val="single"/>
                      <w:lang w:val="en-US" w:eastAsia="zh-CN"/>
                    </w:rPr>
                    <w:t>1次/月</w:t>
                  </w:r>
                </w:p>
              </w:tc>
              <w:tc>
                <w:tcPr>
                  <w:tcW w:w="471" w:type="dxa"/>
                  <w:tcBorders>
                    <w:tl2br w:val="nil"/>
                    <w:tr2bl w:val="nil"/>
                  </w:tcBorders>
                  <w:vAlign w:val="center"/>
                </w:tcPr>
                <w:p w14:paraId="519C98A6">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ascii="Times New Roman" w:hAnsi="Times New Roman" w:eastAsia="宋体"/>
                      <w:color w:val="auto"/>
                      <w:sz w:val="21"/>
                      <w:szCs w:val="21"/>
                      <w:highlight w:val="none"/>
                      <w:u w:val="single"/>
                      <w:lang w:val="en-US" w:eastAsia="zh-CN"/>
                    </w:rPr>
                  </w:pPr>
                  <w:r>
                    <w:rPr>
                      <w:rFonts w:hint="default" w:ascii="Times New Roman" w:hAnsi="Times New Roman"/>
                      <w:color w:val="auto"/>
                      <w:kern w:val="0"/>
                      <w:sz w:val="21"/>
                      <w:szCs w:val="21"/>
                      <w:u w:val="single"/>
                    </w:rPr>
                    <w:t>T、</w:t>
                  </w:r>
                  <w:r>
                    <w:rPr>
                      <w:rFonts w:hint="eastAsia"/>
                      <w:color w:val="auto"/>
                      <w:kern w:val="0"/>
                      <w:sz w:val="21"/>
                      <w:szCs w:val="21"/>
                      <w:u w:val="single"/>
                      <w:lang w:val="en-US" w:eastAsia="zh-CN"/>
                    </w:rPr>
                    <w:t>C、R、</w:t>
                  </w:r>
                  <w:r>
                    <w:rPr>
                      <w:rFonts w:hint="default" w:ascii="Times New Roman" w:hAnsi="Times New Roman"/>
                      <w:color w:val="auto"/>
                      <w:sz w:val="21"/>
                      <w:szCs w:val="21"/>
                      <w:u w:val="single"/>
                    </w:rPr>
                    <w:t>I</w:t>
                  </w:r>
                </w:p>
              </w:tc>
              <w:tc>
                <w:tcPr>
                  <w:tcW w:w="1084" w:type="dxa"/>
                  <w:vMerge w:val="restart"/>
                  <w:tcBorders>
                    <w:tl2br w:val="nil"/>
                    <w:tr2bl w:val="nil"/>
                  </w:tcBorders>
                  <w:vAlign w:val="center"/>
                </w:tcPr>
                <w:p w14:paraId="6DFFF0FB">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eastAsia="zh-CN"/>
                    </w:rPr>
                    <w:t>于厂内危废暂存间收集后，交给</w:t>
                  </w:r>
                  <w:r>
                    <w:rPr>
                      <w:rFonts w:hint="eastAsia"/>
                      <w:color w:val="auto"/>
                      <w:sz w:val="21"/>
                      <w:szCs w:val="21"/>
                      <w:highlight w:val="none"/>
                      <w:lang w:eastAsia="zh-CN"/>
                    </w:rPr>
                    <w:t>有资质单位</w:t>
                  </w:r>
                  <w:r>
                    <w:rPr>
                      <w:rFonts w:hint="eastAsia" w:ascii="Times New Roman" w:hAnsi="Times New Roman" w:eastAsia="宋体"/>
                      <w:color w:val="auto"/>
                      <w:sz w:val="21"/>
                      <w:szCs w:val="21"/>
                      <w:highlight w:val="none"/>
                      <w:lang w:eastAsia="zh-CN"/>
                    </w:rPr>
                    <w:t>处置。</w:t>
                  </w:r>
                </w:p>
              </w:tc>
            </w:tr>
            <w:tr w14:paraId="5C689E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dxa"/>
                  <w:tcBorders>
                    <w:tl2br w:val="nil"/>
                    <w:tr2bl w:val="nil"/>
                  </w:tcBorders>
                  <w:vAlign w:val="center"/>
                </w:tcPr>
                <w:p w14:paraId="4D1D09A1">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4</w:t>
                  </w:r>
                </w:p>
              </w:tc>
              <w:tc>
                <w:tcPr>
                  <w:tcW w:w="690" w:type="dxa"/>
                  <w:tcBorders>
                    <w:tl2br w:val="nil"/>
                    <w:tr2bl w:val="nil"/>
                  </w:tcBorders>
                  <w:vAlign w:val="center"/>
                </w:tcPr>
                <w:p w14:paraId="427A8654">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废化学品包装袋</w:t>
                  </w:r>
                </w:p>
              </w:tc>
              <w:tc>
                <w:tcPr>
                  <w:tcW w:w="690" w:type="dxa"/>
                  <w:tcBorders>
                    <w:tl2br w:val="nil"/>
                    <w:tr2bl w:val="nil"/>
                  </w:tcBorders>
                  <w:vAlign w:val="center"/>
                </w:tcPr>
                <w:p w14:paraId="4F040630">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HW49</w:t>
                  </w:r>
                </w:p>
              </w:tc>
              <w:tc>
                <w:tcPr>
                  <w:tcW w:w="960" w:type="dxa"/>
                  <w:tcBorders>
                    <w:tl2br w:val="nil"/>
                    <w:tr2bl w:val="nil"/>
                  </w:tcBorders>
                  <w:vAlign w:val="center"/>
                </w:tcPr>
                <w:p w14:paraId="046B2A87">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900-041-49</w:t>
                  </w:r>
                </w:p>
              </w:tc>
              <w:tc>
                <w:tcPr>
                  <w:tcW w:w="735" w:type="dxa"/>
                  <w:tcBorders>
                    <w:tl2br w:val="nil"/>
                    <w:tr2bl w:val="nil"/>
                  </w:tcBorders>
                  <w:vAlign w:val="center"/>
                </w:tcPr>
                <w:p w14:paraId="03990A67">
                  <w:pPr>
                    <w:jc w:val="center"/>
                    <w:rPr>
                      <w:rFonts w:hint="default"/>
                      <w:color w:val="auto"/>
                      <w:sz w:val="21"/>
                      <w:szCs w:val="21"/>
                      <w:highlight w:val="none"/>
                      <w:lang w:val="en-US" w:eastAsia="zh-CN"/>
                    </w:rPr>
                  </w:pPr>
                  <w:r>
                    <w:rPr>
                      <w:rFonts w:hint="eastAsia"/>
                      <w:color w:val="auto"/>
                      <w:sz w:val="21"/>
                      <w:szCs w:val="21"/>
                      <w:highlight w:val="none"/>
                      <w:lang w:val="en-US" w:eastAsia="zh-CN"/>
                    </w:rPr>
                    <w:t>0.01</w:t>
                  </w:r>
                </w:p>
              </w:tc>
              <w:tc>
                <w:tcPr>
                  <w:tcW w:w="630" w:type="dxa"/>
                  <w:tcBorders>
                    <w:tl2br w:val="nil"/>
                    <w:tr2bl w:val="nil"/>
                  </w:tcBorders>
                  <w:vAlign w:val="center"/>
                </w:tcPr>
                <w:p w14:paraId="482C3FBD">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包装袋</w:t>
                  </w:r>
                </w:p>
              </w:tc>
              <w:tc>
                <w:tcPr>
                  <w:tcW w:w="525" w:type="dxa"/>
                  <w:tcBorders>
                    <w:tl2br w:val="nil"/>
                    <w:tr2bl w:val="nil"/>
                  </w:tcBorders>
                  <w:vAlign w:val="center"/>
                </w:tcPr>
                <w:p w14:paraId="0E5F23EB">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固态</w:t>
                  </w:r>
                </w:p>
              </w:tc>
              <w:tc>
                <w:tcPr>
                  <w:tcW w:w="540" w:type="dxa"/>
                  <w:tcBorders>
                    <w:tl2br w:val="nil"/>
                    <w:tr2bl w:val="nil"/>
                  </w:tcBorders>
                  <w:vAlign w:val="center"/>
                </w:tcPr>
                <w:p w14:paraId="31F4C072">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重金属</w:t>
                  </w:r>
                </w:p>
              </w:tc>
              <w:tc>
                <w:tcPr>
                  <w:tcW w:w="570" w:type="dxa"/>
                  <w:tcBorders>
                    <w:tl2br w:val="nil"/>
                    <w:tr2bl w:val="nil"/>
                  </w:tcBorders>
                  <w:vAlign w:val="center"/>
                </w:tcPr>
                <w:p w14:paraId="56319DF4">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重金属</w:t>
                  </w:r>
                </w:p>
              </w:tc>
              <w:tc>
                <w:tcPr>
                  <w:tcW w:w="669" w:type="dxa"/>
                  <w:tcBorders>
                    <w:tl2br w:val="nil"/>
                    <w:tr2bl w:val="nil"/>
                  </w:tcBorders>
                  <w:vAlign w:val="center"/>
                </w:tcPr>
                <w:p w14:paraId="31016D1B">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1次、月</w:t>
                  </w:r>
                </w:p>
              </w:tc>
              <w:tc>
                <w:tcPr>
                  <w:tcW w:w="471" w:type="dxa"/>
                  <w:tcBorders>
                    <w:tl2br w:val="nil"/>
                    <w:tr2bl w:val="nil"/>
                  </w:tcBorders>
                  <w:vAlign w:val="center"/>
                </w:tcPr>
                <w:p w14:paraId="79A3BAE3">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color w:val="auto"/>
                      <w:kern w:val="0"/>
                      <w:sz w:val="21"/>
                      <w:szCs w:val="21"/>
                    </w:rPr>
                  </w:pPr>
                  <w:r>
                    <w:rPr>
                      <w:rFonts w:hint="default" w:ascii="Times New Roman" w:hAnsi="Times New Roman"/>
                      <w:color w:val="auto"/>
                      <w:kern w:val="0"/>
                      <w:sz w:val="21"/>
                      <w:szCs w:val="21"/>
                      <w:lang w:val="en-US" w:eastAsia="zh-CN"/>
                    </w:rPr>
                    <w:t>T/In</w:t>
                  </w:r>
                </w:p>
                <w:p w14:paraId="1CF3C5E2">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color w:val="auto"/>
                      <w:kern w:val="0"/>
                      <w:sz w:val="21"/>
                      <w:szCs w:val="21"/>
                    </w:rPr>
                  </w:pPr>
                </w:p>
              </w:tc>
              <w:tc>
                <w:tcPr>
                  <w:tcW w:w="1084" w:type="dxa"/>
                  <w:vMerge w:val="continue"/>
                  <w:tcBorders>
                    <w:tl2br w:val="nil"/>
                    <w:tr2bl w:val="nil"/>
                  </w:tcBorders>
                  <w:vAlign w:val="center"/>
                </w:tcPr>
                <w:p w14:paraId="1E607E59">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p>
              </w:tc>
            </w:tr>
            <w:tr w14:paraId="39AF6E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dxa"/>
                  <w:tcBorders>
                    <w:tl2br w:val="nil"/>
                    <w:tr2bl w:val="nil"/>
                  </w:tcBorders>
                  <w:vAlign w:val="center"/>
                </w:tcPr>
                <w:p w14:paraId="6468CF64">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5</w:t>
                  </w:r>
                </w:p>
              </w:tc>
              <w:tc>
                <w:tcPr>
                  <w:tcW w:w="690" w:type="dxa"/>
                  <w:tcBorders>
                    <w:tl2br w:val="nil"/>
                    <w:tr2bl w:val="nil"/>
                  </w:tcBorders>
                  <w:vAlign w:val="center"/>
                </w:tcPr>
                <w:p w14:paraId="0B8DAC23">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废试剂瓶</w:t>
                  </w:r>
                </w:p>
              </w:tc>
              <w:tc>
                <w:tcPr>
                  <w:tcW w:w="690" w:type="dxa"/>
                  <w:tcBorders>
                    <w:tl2br w:val="nil"/>
                    <w:tr2bl w:val="nil"/>
                  </w:tcBorders>
                  <w:vAlign w:val="center"/>
                </w:tcPr>
                <w:p w14:paraId="0A3BE580">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HW49</w:t>
                  </w:r>
                </w:p>
              </w:tc>
              <w:tc>
                <w:tcPr>
                  <w:tcW w:w="960" w:type="dxa"/>
                  <w:tcBorders>
                    <w:tl2br w:val="nil"/>
                    <w:tr2bl w:val="nil"/>
                  </w:tcBorders>
                  <w:vAlign w:val="center"/>
                </w:tcPr>
                <w:p w14:paraId="1E5F1710">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lang w:val="en-US" w:eastAsia="zh-CN"/>
                    </w:rPr>
                    <w:t>900-04</w:t>
                  </w:r>
                  <w:r>
                    <w:rPr>
                      <w:rFonts w:hint="eastAsia"/>
                      <w:color w:val="auto"/>
                      <w:sz w:val="21"/>
                      <w:szCs w:val="21"/>
                      <w:highlight w:val="none"/>
                      <w:lang w:val="en-US" w:eastAsia="zh-CN"/>
                    </w:rPr>
                    <w:t>7</w:t>
                  </w:r>
                  <w:r>
                    <w:rPr>
                      <w:rFonts w:hint="eastAsia" w:ascii="Times New Roman" w:hAnsi="Times New Roman" w:eastAsia="宋体"/>
                      <w:color w:val="auto"/>
                      <w:sz w:val="21"/>
                      <w:szCs w:val="21"/>
                      <w:highlight w:val="none"/>
                      <w:lang w:val="en-US" w:eastAsia="zh-CN"/>
                    </w:rPr>
                    <w:t>-49</w:t>
                  </w:r>
                </w:p>
              </w:tc>
              <w:tc>
                <w:tcPr>
                  <w:tcW w:w="735" w:type="dxa"/>
                  <w:tcBorders>
                    <w:tl2br w:val="nil"/>
                    <w:tr2bl w:val="nil"/>
                  </w:tcBorders>
                  <w:vAlign w:val="center"/>
                </w:tcPr>
                <w:p w14:paraId="6A4E50F3">
                  <w:pPr>
                    <w:jc w:val="center"/>
                    <w:rPr>
                      <w:rFonts w:hint="default"/>
                      <w:color w:val="auto"/>
                      <w:sz w:val="21"/>
                      <w:szCs w:val="21"/>
                      <w:highlight w:val="none"/>
                      <w:lang w:val="en-US" w:eastAsia="zh-CN"/>
                    </w:rPr>
                  </w:pPr>
                  <w:r>
                    <w:rPr>
                      <w:rFonts w:hint="eastAsia"/>
                      <w:color w:val="auto"/>
                      <w:sz w:val="21"/>
                      <w:szCs w:val="21"/>
                      <w:highlight w:val="none"/>
                      <w:lang w:val="en-US" w:eastAsia="zh-CN"/>
                    </w:rPr>
                    <w:t>0.01</w:t>
                  </w:r>
                </w:p>
              </w:tc>
              <w:tc>
                <w:tcPr>
                  <w:tcW w:w="630" w:type="dxa"/>
                  <w:tcBorders>
                    <w:tl2br w:val="nil"/>
                    <w:tr2bl w:val="nil"/>
                  </w:tcBorders>
                  <w:vAlign w:val="center"/>
                </w:tcPr>
                <w:p w14:paraId="29C592A6">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监测试剂</w:t>
                  </w:r>
                </w:p>
              </w:tc>
              <w:tc>
                <w:tcPr>
                  <w:tcW w:w="525" w:type="dxa"/>
                  <w:tcBorders>
                    <w:tl2br w:val="nil"/>
                    <w:tr2bl w:val="nil"/>
                  </w:tcBorders>
                  <w:vAlign w:val="center"/>
                </w:tcPr>
                <w:p w14:paraId="47684E98">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固态</w:t>
                  </w:r>
                </w:p>
              </w:tc>
              <w:tc>
                <w:tcPr>
                  <w:tcW w:w="540" w:type="dxa"/>
                  <w:tcBorders>
                    <w:tl2br w:val="nil"/>
                    <w:tr2bl w:val="nil"/>
                  </w:tcBorders>
                  <w:vAlign w:val="center"/>
                </w:tcPr>
                <w:p w14:paraId="74130C8D">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重金属</w:t>
                  </w:r>
                </w:p>
              </w:tc>
              <w:tc>
                <w:tcPr>
                  <w:tcW w:w="570" w:type="dxa"/>
                  <w:tcBorders>
                    <w:tl2br w:val="nil"/>
                    <w:tr2bl w:val="nil"/>
                  </w:tcBorders>
                  <w:vAlign w:val="center"/>
                </w:tcPr>
                <w:p w14:paraId="25A04628">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重金属</w:t>
                  </w:r>
                </w:p>
              </w:tc>
              <w:tc>
                <w:tcPr>
                  <w:tcW w:w="669" w:type="dxa"/>
                  <w:tcBorders>
                    <w:tl2br w:val="nil"/>
                    <w:tr2bl w:val="nil"/>
                  </w:tcBorders>
                  <w:vAlign w:val="center"/>
                </w:tcPr>
                <w:p w14:paraId="769FA60E">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1次、月</w:t>
                  </w:r>
                </w:p>
              </w:tc>
              <w:tc>
                <w:tcPr>
                  <w:tcW w:w="471" w:type="dxa"/>
                  <w:tcBorders>
                    <w:tl2br w:val="nil"/>
                    <w:tr2bl w:val="nil"/>
                  </w:tcBorders>
                  <w:vAlign w:val="center"/>
                </w:tcPr>
                <w:p w14:paraId="1B27868B">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color w:val="auto"/>
                      <w:kern w:val="0"/>
                      <w:sz w:val="21"/>
                      <w:szCs w:val="21"/>
                    </w:rPr>
                  </w:pPr>
                  <w:r>
                    <w:rPr>
                      <w:rFonts w:hint="default" w:ascii="Times New Roman" w:hAnsi="Times New Roman"/>
                      <w:color w:val="auto"/>
                      <w:kern w:val="0"/>
                      <w:sz w:val="21"/>
                      <w:szCs w:val="21"/>
                    </w:rPr>
                    <w:t>T、</w:t>
                  </w:r>
                  <w:r>
                    <w:rPr>
                      <w:rFonts w:hint="eastAsia"/>
                      <w:color w:val="auto"/>
                      <w:kern w:val="0"/>
                      <w:sz w:val="21"/>
                      <w:szCs w:val="21"/>
                      <w:lang w:val="en-US" w:eastAsia="zh-CN"/>
                    </w:rPr>
                    <w:t>C、R、</w:t>
                  </w:r>
                  <w:r>
                    <w:rPr>
                      <w:rFonts w:hint="default" w:ascii="Times New Roman" w:hAnsi="Times New Roman"/>
                      <w:color w:val="auto"/>
                      <w:sz w:val="21"/>
                      <w:szCs w:val="21"/>
                    </w:rPr>
                    <w:t>I</w:t>
                  </w:r>
                </w:p>
              </w:tc>
              <w:tc>
                <w:tcPr>
                  <w:tcW w:w="1084" w:type="dxa"/>
                  <w:vMerge w:val="continue"/>
                  <w:tcBorders>
                    <w:tl2br w:val="nil"/>
                    <w:tr2bl w:val="nil"/>
                  </w:tcBorders>
                  <w:vAlign w:val="center"/>
                </w:tcPr>
                <w:p w14:paraId="61546A61">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p>
              </w:tc>
            </w:tr>
            <w:tr w14:paraId="5A44C2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3" w:type="dxa"/>
                  <w:tcBorders>
                    <w:tl2br w:val="nil"/>
                    <w:tr2bl w:val="nil"/>
                  </w:tcBorders>
                  <w:vAlign w:val="center"/>
                </w:tcPr>
                <w:p w14:paraId="16D646CB">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6</w:t>
                  </w:r>
                </w:p>
              </w:tc>
              <w:tc>
                <w:tcPr>
                  <w:tcW w:w="690" w:type="dxa"/>
                  <w:tcBorders>
                    <w:tl2br w:val="nil"/>
                    <w:tr2bl w:val="nil"/>
                  </w:tcBorders>
                  <w:vAlign w:val="center"/>
                </w:tcPr>
                <w:p w14:paraId="515F7DAE">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化验废液</w:t>
                  </w:r>
                </w:p>
              </w:tc>
              <w:tc>
                <w:tcPr>
                  <w:tcW w:w="690" w:type="dxa"/>
                  <w:tcBorders>
                    <w:tl2br w:val="nil"/>
                    <w:tr2bl w:val="nil"/>
                  </w:tcBorders>
                  <w:vAlign w:val="center"/>
                </w:tcPr>
                <w:p w14:paraId="0C5C0189">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color w:val="auto"/>
                      <w:sz w:val="21"/>
                      <w:szCs w:val="21"/>
                      <w:highlight w:val="none"/>
                      <w:lang w:val="en-US" w:eastAsia="zh-CN"/>
                    </w:rPr>
                  </w:pPr>
                  <w:r>
                    <w:rPr>
                      <w:rFonts w:hint="eastAsia"/>
                      <w:color w:val="auto"/>
                      <w:sz w:val="21"/>
                      <w:szCs w:val="21"/>
                      <w:highlight w:val="none"/>
                      <w:u w:val="single"/>
                      <w:lang w:val="en-US" w:eastAsia="zh-CN"/>
                    </w:rPr>
                    <w:t>HW49</w:t>
                  </w:r>
                </w:p>
              </w:tc>
              <w:tc>
                <w:tcPr>
                  <w:tcW w:w="960" w:type="dxa"/>
                  <w:tcBorders>
                    <w:tl2br w:val="nil"/>
                    <w:tr2bl w:val="nil"/>
                  </w:tcBorders>
                  <w:vAlign w:val="center"/>
                </w:tcPr>
                <w:p w14:paraId="029DC818">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ascii="Times New Roman" w:hAnsi="Times New Roman" w:eastAsia="宋体"/>
                      <w:color w:val="auto"/>
                      <w:sz w:val="21"/>
                      <w:szCs w:val="21"/>
                      <w:highlight w:val="none"/>
                      <w:lang w:val="en-US" w:eastAsia="zh-CN"/>
                    </w:rPr>
                  </w:pPr>
                  <w:r>
                    <w:rPr>
                      <w:rFonts w:hint="eastAsia" w:ascii="Times New Roman" w:hAnsi="Times New Roman" w:eastAsia="宋体"/>
                      <w:color w:val="auto"/>
                      <w:sz w:val="21"/>
                      <w:szCs w:val="21"/>
                      <w:highlight w:val="none"/>
                      <w:u w:val="single"/>
                      <w:lang w:val="en-US" w:eastAsia="zh-CN"/>
                    </w:rPr>
                    <w:t>900-047-49</w:t>
                  </w:r>
                </w:p>
              </w:tc>
              <w:tc>
                <w:tcPr>
                  <w:tcW w:w="735" w:type="dxa"/>
                  <w:tcBorders>
                    <w:tl2br w:val="nil"/>
                    <w:tr2bl w:val="nil"/>
                  </w:tcBorders>
                  <w:vAlign w:val="center"/>
                </w:tcPr>
                <w:p w14:paraId="3121B425">
                  <w:pPr>
                    <w:jc w:val="center"/>
                    <w:rPr>
                      <w:rFonts w:hint="eastAsia"/>
                      <w:color w:val="auto"/>
                      <w:sz w:val="21"/>
                      <w:szCs w:val="21"/>
                      <w:highlight w:val="none"/>
                      <w:lang w:val="en-US" w:eastAsia="zh-CN"/>
                    </w:rPr>
                  </w:pPr>
                  <w:r>
                    <w:rPr>
                      <w:rFonts w:hint="eastAsia"/>
                      <w:color w:val="auto"/>
                      <w:sz w:val="21"/>
                      <w:szCs w:val="21"/>
                      <w:highlight w:val="none"/>
                      <w:u w:val="single"/>
                      <w:lang w:val="en-US" w:eastAsia="zh-CN"/>
                    </w:rPr>
                    <w:t>0.01</w:t>
                  </w:r>
                </w:p>
              </w:tc>
              <w:tc>
                <w:tcPr>
                  <w:tcW w:w="630" w:type="dxa"/>
                  <w:tcBorders>
                    <w:tl2br w:val="nil"/>
                    <w:tr2bl w:val="nil"/>
                  </w:tcBorders>
                  <w:vAlign w:val="center"/>
                </w:tcPr>
                <w:p w14:paraId="48974060">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color w:val="auto"/>
                      <w:sz w:val="21"/>
                      <w:szCs w:val="21"/>
                      <w:highlight w:val="none"/>
                      <w:lang w:val="en-US" w:eastAsia="zh-CN"/>
                    </w:rPr>
                  </w:pPr>
                  <w:r>
                    <w:rPr>
                      <w:rFonts w:hint="eastAsia"/>
                      <w:color w:val="auto"/>
                      <w:sz w:val="21"/>
                      <w:szCs w:val="21"/>
                      <w:highlight w:val="none"/>
                      <w:u w:val="single"/>
                      <w:lang w:val="en-US" w:eastAsia="zh-CN"/>
                    </w:rPr>
                    <w:t>在线监测</w:t>
                  </w:r>
                </w:p>
              </w:tc>
              <w:tc>
                <w:tcPr>
                  <w:tcW w:w="525" w:type="dxa"/>
                  <w:tcBorders>
                    <w:tl2br w:val="nil"/>
                    <w:tr2bl w:val="nil"/>
                  </w:tcBorders>
                  <w:vAlign w:val="center"/>
                </w:tcPr>
                <w:p w14:paraId="16E2F3C2">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color w:val="auto"/>
                      <w:sz w:val="21"/>
                      <w:szCs w:val="21"/>
                      <w:highlight w:val="none"/>
                      <w:lang w:val="en-US" w:eastAsia="zh-CN"/>
                    </w:rPr>
                  </w:pPr>
                  <w:r>
                    <w:rPr>
                      <w:rFonts w:hint="eastAsia"/>
                      <w:color w:val="auto"/>
                      <w:sz w:val="21"/>
                      <w:szCs w:val="21"/>
                      <w:highlight w:val="none"/>
                      <w:u w:val="single"/>
                      <w:lang w:val="en-US" w:eastAsia="zh-CN"/>
                    </w:rPr>
                    <w:t>液态</w:t>
                  </w:r>
                </w:p>
              </w:tc>
              <w:tc>
                <w:tcPr>
                  <w:tcW w:w="540" w:type="dxa"/>
                  <w:tcBorders>
                    <w:tl2br w:val="nil"/>
                    <w:tr2bl w:val="nil"/>
                  </w:tcBorders>
                  <w:vAlign w:val="center"/>
                </w:tcPr>
                <w:p w14:paraId="49F1F7A7">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color w:val="auto"/>
                      <w:sz w:val="21"/>
                      <w:szCs w:val="21"/>
                      <w:highlight w:val="none"/>
                      <w:lang w:val="en-US" w:eastAsia="zh-CN"/>
                    </w:rPr>
                  </w:pPr>
                  <w:r>
                    <w:rPr>
                      <w:rFonts w:hint="eastAsia"/>
                      <w:color w:val="auto"/>
                      <w:sz w:val="21"/>
                      <w:szCs w:val="21"/>
                      <w:highlight w:val="none"/>
                      <w:u w:val="single"/>
                      <w:lang w:val="en-US" w:eastAsia="zh-CN"/>
                    </w:rPr>
                    <w:t>重金属</w:t>
                  </w:r>
                </w:p>
              </w:tc>
              <w:tc>
                <w:tcPr>
                  <w:tcW w:w="570" w:type="dxa"/>
                  <w:tcBorders>
                    <w:tl2br w:val="nil"/>
                    <w:tr2bl w:val="nil"/>
                  </w:tcBorders>
                  <w:vAlign w:val="center"/>
                </w:tcPr>
                <w:p w14:paraId="7397D790">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color w:val="auto"/>
                      <w:sz w:val="21"/>
                      <w:szCs w:val="21"/>
                      <w:highlight w:val="none"/>
                      <w:lang w:val="en-US" w:eastAsia="zh-CN"/>
                    </w:rPr>
                  </w:pPr>
                  <w:r>
                    <w:rPr>
                      <w:rFonts w:hint="eastAsia"/>
                      <w:color w:val="auto"/>
                      <w:sz w:val="21"/>
                      <w:szCs w:val="21"/>
                      <w:highlight w:val="none"/>
                      <w:u w:val="single"/>
                      <w:lang w:val="en-US" w:eastAsia="zh-CN"/>
                    </w:rPr>
                    <w:t>重金属</w:t>
                  </w:r>
                </w:p>
              </w:tc>
              <w:tc>
                <w:tcPr>
                  <w:tcW w:w="669" w:type="dxa"/>
                  <w:tcBorders>
                    <w:tl2br w:val="nil"/>
                    <w:tr2bl w:val="nil"/>
                  </w:tcBorders>
                  <w:vAlign w:val="center"/>
                </w:tcPr>
                <w:p w14:paraId="48B5F35B">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eastAsia"/>
                      <w:color w:val="auto"/>
                      <w:sz w:val="21"/>
                      <w:szCs w:val="21"/>
                      <w:highlight w:val="none"/>
                      <w:lang w:val="en-US" w:eastAsia="zh-CN"/>
                    </w:rPr>
                  </w:pPr>
                  <w:r>
                    <w:rPr>
                      <w:rFonts w:hint="eastAsia"/>
                      <w:color w:val="auto"/>
                      <w:sz w:val="21"/>
                      <w:szCs w:val="21"/>
                      <w:highlight w:val="none"/>
                      <w:u w:val="single"/>
                      <w:lang w:val="en-US" w:eastAsia="zh-CN"/>
                    </w:rPr>
                    <w:t>1次/月</w:t>
                  </w:r>
                </w:p>
              </w:tc>
              <w:tc>
                <w:tcPr>
                  <w:tcW w:w="471" w:type="dxa"/>
                  <w:tcBorders>
                    <w:tl2br w:val="nil"/>
                    <w:tr2bl w:val="nil"/>
                  </w:tcBorders>
                  <w:vAlign w:val="center"/>
                </w:tcPr>
                <w:p w14:paraId="7564E50A">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color w:val="auto"/>
                      <w:kern w:val="0"/>
                      <w:sz w:val="21"/>
                      <w:szCs w:val="21"/>
                    </w:rPr>
                  </w:pPr>
                  <w:r>
                    <w:rPr>
                      <w:rFonts w:hint="default" w:ascii="Times New Roman" w:hAnsi="Times New Roman"/>
                      <w:color w:val="auto"/>
                      <w:kern w:val="0"/>
                      <w:sz w:val="21"/>
                      <w:szCs w:val="21"/>
                      <w:u w:val="single"/>
                    </w:rPr>
                    <w:t>T、</w:t>
                  </w:r>
                  <w:r>
                    <w:rPr>
                      <w:rFonts w:hint="eastAsia"/>
                      <w:color w:val="auto"/>
                      <w:kern w:val="0"/>
                      <w:sz w:val="21"/>
                      <w:szCs w:val="21"/>
                      <w:u w:val="single"/>
                      <w:lang w:val="en-US" w:eastAsia="zh-CN"/>
                    </w:rPr>
                    <w:t>C、R、</w:t>
                  </w:r>
                  <w:r>
                    <w:rPr>
                      <w:rFonts w:hint="default" w:ascii="Times New Roman" w:hAnsi="Times New Roman"/>
                      <w:color w:val="auto"/>
                      <w:sz w:val="21"/>
                      <w:szCs w:val="21"/>
                      <w:u w:val="single"/>
                    </w:rPr>
                    <w:t>I</w:t>
                  </w:r>
                </w:p>
              </w:tc>
              <w:tc>
                <w:tcPr>
                  <w:tcW w:w="1084" w:type="dxa"/>
                  <w:vMerge w:val="continue"/>
                  <w:tcBorders>
                    <w:tl2br w:val="nil"/>
                    <w:tr2bl w:val="nil"/>
                  </w:tcBorders>
                  <w:vAlign w:val="center"/>
                </w:tcPr>
                <w:p w14:paraId="7028AA0B">
                  <w:pPr>
                    <w:keepNext w:val="0"/>
                    <w:keepLines w:val="0"/>
                    <w:pageBreakBefore w:val="0"/>
                    <w:widowControl w:val="0"/>
                    <w:kinsoku/>
                    <w:wordWrap/>
                    <w:overflowPunct/>
                    <w:topLinePunct w:val="0"/>
                    <w:autoSpaceDE/>
                    <w:autoSpaceDN/>
                    <w:bidi w:val="0"/>
                    <w:adjustRightInd/>
                    <w:snapToGrid/>
                    <w:ind w:left="-53" w:leftChars="-25" w:right="-53" w:rightChars="-25"/>
                    <w:jc w:val="center"/>
                    <w:textAlignment w:val="auto"/>
                    <w:rPr>
                      <w:rFonts w:hint="default" w:ascii="Times New Roman" w:hAnsi="Times New Roman" w:eastAsia="宋体"/>
                      <w:color w:val="auto"/>
                      <w:sz w:val="21"/>
                      <w:szCs w:val="21"/>
                      <w:highlight w:val="none"/>
                      <w:lang w:val="en-US" w:eastAsia="zh-CN"/>
                    </w:rPr>
                  </w:pPr>
                </w:p>
              </w:tc>
            </w:tr>
          </w:tbl>
          <w:p w14:paraId="5DC57A2C">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eastAsia" w:ascii="Times New Roman" w:hAnsi="Times New Roman" w:eastAsia="宋体" w:cs="Times New Roman"/>
                <w:b/>
                <w:bCs/>
                <w:color w:val="auto"/>
                <w:highlight w:val="none"/>
                <w:lang w:val="en-US" w:eastAsia="zh-CN"/>
              </w:rPr>
            </w:pPr>
            <w:r>
              <w:rPr>
                <w:rFonts w:hint="eastAsia" w:ascii="Times New Roman" w:hAnsi="Times New Roman" w:eastAsia="宋体" w:cs="Times New Roman"/>
                <w:b/>
                <w:bCs/>
                <w:color w:val="auto"/>
                <w:highlight w:val="none"/>
                <w:lang w:val="en-US" w:eastAsia="zh-CN"/>
              </w:rPr>
              <w:t>2、固体废物环境管理要求</w:t>
            </w:r>
          </w:p>
          <w:p w14:paraId="507FAB42">
            <w:pPr>
              <w:spacing w:line="360" w:lineRule="auto"/>
              <w:ind w:firstLine="480"/>
              <w:rPr>
                <w:rFonts w:hint="eastAsia"/>
                <w:color w:val="auto"/>
                <w:sz w:val="24"/>
                <w:highlight w:val="none"/>
                <w:lang w:eastAsia="zh-CN"/>
              </w:rPr>
            </w:pPr>
            <w:r>
              <w:rPr>
                <w:rFonts w:hint="eastAsia"/>
                <w:color w:val="auto"/>
                <w:sz w:val="24"/>
                <w:highlight w:val="none"/>
                <w:lang w:eastAsia="zh-CN"/>
              </w:rPr>
              <w:t>（1）一般工业固废</w:t>
            </w:r>
          </w:p>
          <w:p w14:paraId="0DBB7FF1">
            <w:pPr>
              <w:spacing w:line="360" w:lineRule="auto"/>
              <w:ind w:firstLine="480"/>
              <w:rPr>
                <w:rFonts w:hint="default"/>
                <w:color w:val="auto"/>
                <w:sz w:val="24"/>
                <w:highlight w:val="none"/>
                <w:lang w:val="en-US" w:eastAsia="zh-CN"/>
              </w:rPr>
            </w:pPr>
            <w:r>
              <w:rPr>
                <w:rFonts w:hint="eastAsia"/>
                <w:color w:val="auto"/>
                <w:sz w:val="24"/>
                <w:highlight w:val="none"/>
                <w:lang w:val="en-US" w:eastAsia="zh-CN"/>
              </w:rPr>
              <w:t>①格栅和沉砂</w:t>
            </w:r>
          </w:p>
          <w:p w14:paraId="1B6EC913">
            <w:pPr>
              <w:spacing w:line="360" w:lineRule="auto"/>
              <w:ind w:firstLine="480"/>
              <w:rPr>
                <w:rFonts w:hint="eastAsia"/>
                <w:color w:val="auto"/>
                <w:sz w:val="24"/>
                <w:highlight w:val="none"/>
                <w:lang w:eastAsia="zh-CN"/>
              </w:rPr>
            </w:pPr>
            <w:r>
              <w:rPr>
                <w:rFonts w:hint="eastAsia"/>
                <w:color w:val="auto"/>
                <w:sz w:val="24"/>
                <w:highlight w:val="none"/>
                <w:lang w:eastAsia="zh-CN"/>
              </w:rPr>
              <w:t>栅渣</w:t>
            </w:r>
            <w:r>
              <w:rPr>
                <w:rFonts w:hint="eastAsia"/>
                <w:color w:val="auto"/>
                <w:sz w:val="24"/>
                <w:highlight w:val="none"/>
                <w:lang w:val="en-US" w:eastAsia="zh-CN"/>
              </w:rPr>
              <w:t>和沉砂</w:t>
            </w:r>
            <w:r>
              <w:rPr>
                <w:rFonts w:hint="eastAsia"/>
                <w:color w:val="auto"/>
                <w:sz w:val="24"/>
                <w:highlight w:val="none"/>
                <w:lang w:eastAsia="zh-CN"/>
              </w:rPr>
              <w:t>主要是生活污水中的漂浮物，以塑料、树枝、砂石等为主；性质与生活垃圾类似，故经栅渣收集后交由环卫部门清运处理。</w:t>
            </w:r>
          </w:p>
          <w:p w14:paraId="3EEE3602">
            <w:pPr>
              <w:spacing w:line="360" w:lineRule="auto"/>
              <w:ind w:firstLine="480"/>
              <w:rPr>
                <w:rFonts w:hint="eastAsia"/>
                <w:color w:val="auto"/>
                <w:sz w:val="24"/>
                <w:highlight w:val="none"/>
                <w:lang w:val="en-US" w:eastAsia="zh-CN"/>
              </w:rPr>
            </w:pPr>
            <w:r>
              <w:rPr>
                <w:rFonts w:hint="eastAsia"/>
                <w:color w:val="auto"/>
                <w:sz w:val="24"/>
                <w:highlight w:val="none"/>
                <w:lang w:val="en-US" w:eastAsia="zh-CN"/>
              </w:rPr>
              <w:t>②污泥</w:t>
            </w:r>
          </w:p>
          <w:p w14:paraId="43A2BB35">
            <w:pPr>
              <w:spacing w:line="360" w:lineRule="auto"/>
              <w:ind w:firstLine="480"/>
              <w:rPr>
                <w:rFonts w:hint="eastAsia"/>
                <w:color w:val="auto"/>
                <w:sz w:val="24"/>
                <w:highlight w:val="none"/>
                <w:lang w:eastAsia="zh-CN"/>
              </w:rPr>
            </w:pPr>
            <w:r>
              <w:rPr>
                <w:rFonts w:hint="eastAsia"/>
                <w:color w:val="auto"/>
                <w:sz w:val="24"/>
                <w:highlight w:val="none"/>
                <w:lang w:eastAsia="zh-CN"/>
              </w:rPr>
              <w:t>生活污水处理厂污泥属于一般固废，本项目污泥经脱水后，最终运至生活垃圾焚烧发电厂，满足《城镇污水处理厂污染物排放标准》（GB18918-2002）的相关要求。</w:t>
            </w:r>
          </w:p>
          <w:p w14:paraId="35E8514D">
            <w:pPr>
              <w:spacing w:line="360" w:lineRule="auto"/>
              <w:ind w:firstLine="480"/>
              <w:rPr>
                <w:rFonts w:hint="eastAsia"/>
                <w:color w:val="auto"/>
                <w:sz w:val="24"/>
                <w:highlight w:val="none"/>
                <w:lang w:eastAsia="zh-CN"/>
              </w:rPr>
            </w:pPr>
            <w:r>
              <w:rPr>
                <w:rFonts w:hint="eastAsia"/>
                <w:color w:val="auto"/>
                <w:sz w:val="24"/>
                <w:highlight w:val="none"/>
                <w:lang w:val="en-US" w:eastAsia="zh-CN"/>
              </w:rPr>
              <w:t>本项目在建设一个一般固废暂存间，面积20m</w:t>
            </w:r>
            <w:r>
              <w:rPr>
                <w:rFonts w:hint="eastAsia"/>
                <w:color w:val="auto"/>
                <w:sz w:val="24"/>
                <w:highlight w:val="none"/>
                <w:vertAlign w:val="superscript"/>
                <w:lang w:val="en-US" w:eastAsia="zh-CN"/>
              </w:rPr>
              <w:t>2</w:t>
            </w:r>
            <w:r>
              <w:rPr>
                <w:rFonts w:hint="eastAsia"/>
                <w:color w:val="auto"/>
                <w:sz w:val="24"/>
                <w:highlight w:val="none"/>
                <w:lang w:val="en-US" w:eastAsia="zh-CN"/>
              </w:rPr>
              <w:t>，</w:t>
            </w:r>
            <w:r>
              <w:rPr>
                <w:rFonts w:hint="eastAsia"/>
                <w:color w:val="auto"/>
                <w:sz w:val="24"/>
                <w:highlight w:val="none"/>
                <w:lang w:eastAsia="zh-CN"/>
              </w:rPr>
              <w:t>一般工业固废的临时贮存场所及贮存方式应满足《一般工业固体废物贮存和填埋污染控制标准》（GB18599-2020）的要求，与危险废物、生活垃圾实行严格的分类收集、分类存放，一般固废均收集于带盖收集桶内，存放于相应构筑物的暂存点，可防止废液及粉尘四溢，收集后及时清运，在清运的过程中须遵守严格的卫生安全程序，避免沿途洒落和飘散造成环境污染，确保不产生二次污染。废检测液、废化学品包装通过分类储存后交由有资质单位处置，废机油、废灯光管通过分类收集后全部交由有资质的单位进行处理。</w:t>
            </w:r>
          </w:p>
          <w:p w14:paraId="0C89102B">
            <w:pPr>
              <w:spacing w:line="360" w:lineRule="auto"/>
              <w:ind w:firstLine="480"/>
              <w:rPr>
                <w:rFonts w:hint="default"/>
                <w:color w:val="auto"/>
                <w:sz w:val="24"/>
                <w:highlight w:val="none"/>
                <w:lang w:val="en-US" w:eastAsia="zh-CN"/>
              </w:rPr>
            </w:pPr>
            <w:r>
              <w:rPr>
                <w:rFonts w:hint="eastAsia"/>
                <w:color w:val="auto"/>
                <w:sz w:val="24"/>
                <w:highlight w:val="none"/>
                <w:lang w:val="en-US" w:eastAsia="zh-CN"/>
              </w:rPr>
              <w:t>（2）生活垃圾</w:t>
            </w:r>
          </w:p>
          <w:p w14:paraId="3397BCA4">
            <w:pPr>
              <w:spacing w:line="360" w:lineRule="auto"/>
              <w:ind w:firstLine="480"/>
              <w:rPr>
                <w:rFonts w:hint="default"/>
                <w:color w:val="auto"/>
                <w:sz w:val="24"/>
                <w:highlight w:val="none"/>
                <w:lang w:val="en-US" w:eastAsia="zh-CN"/>
              </w:rPr>
            </w:pPr>
            <w:r>
              <w:rPr>
                <w:rFonts w:hint="eastAsia"/>
                <w:color w:val="auto"/>
                <w:sz w:val="24"/>
                <w:highlight w:val="none"/>
                <w:lang w:eastAsia="zh-CN"/>
              </w:rPr>
              <w:t>经垃圾桶收集后，交由环卫部门清运即可。</w:t>
            </w:r>
          </w:p>
          <w:p w14:paraId="1E4A9B44">
            <w:pPr>
              <w:spacing w:line="360" w:lineRule="auto"/>
              <w:ind w:firstLine="48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（3）危险废物</w:t>
            </w:r>
          </w:p>
          <w:p w14:paraId="4A2BF7D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olor w:val="auto"/>
                <w:sz w:val="24"/>
                <w:highlight w:val="none"/>
                <w:vertAlign w:val="baseline"/>
                <w:lang w:eastAsia="zh-CN"/>
              </w:rPr>
            </w:pPr>
            <w:r>
              <w:rPr>
                <w:rFonts w:hint="eastAsia"/>
                <w:color w:val="auto"/>
                <w:sz w:val="24"/>
                <w:highlight w:val="none"/>
                <w:lang w:eastAsia="zh-CN"/>
              </w:rPr>
              <w:t>本项目建设一座危废暂存间</w:t>
            </w:r>
            <w:r>
              <w:rPr>
                <w:rFonts w:hint="eastAsia"/>
                <w:color w:val="auto"/>
                <w:sz w:val="24"/>
                <w:highlight w:val="none"/>
                <w:vertAlign w:val="baseline"/>
                <w:lang w:eastAsia="zh-CN"/>
              </w:rPr>
              <w:t>。</w:t>
            </w:r>
          </w:p>
          <w:p w14:paraId="08B2ACB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olor w:val="auto"/>
                <w:sz w:val="24"/>
                <w:highlight w:val="none"/>
                <w:lang w:eastAsia="zh-CN"/>
              </w:rPr>
            </w:pPr>
            <w:r>
              <w:rPr>
                <w:rFonts w:hint="eastAsia"/>
                <w:color w:val="auto"/>
                <w:sz w:val="24"/>
                <w:highlight w:val="none"/>
                <w:lang w:eastAsia="zh-CN"/>
              </w:rPr>
              <w:t>严格按照《危险废物贮存污染物控制标准》（GB18597-2023）、《环境保护图形标志、固体废物贮存（处置）场》（GB15562.2）</w:t>
            </w:r>
            <w:r>
              <w:rPr>
                <w:rFonts w:hint="eastAsia"/>
                <w:color w:val="auto"/>
                <w:sz w:val="24"/>
                <w:highlight w:val="none"/>
                <w:u w:val="single"/>
                <w:lang w:eastAsia="zh-CN"/>
              </w:rPr>
              <w:t>和《危险废物收集、贮存、运输技术规范》（HJ2025-20</w:t>
            </w:r>
            <w:r>
              <w:rPr>
                <w:rFonts w:hint="eastAsia"/>
                <w:color w:val="auto"/>
                <w:sz w:val="24"/>
                <w:highlight w:val="none"/>
                <w:u w:val="single"/>
                <w:lang w:val="en-US" w:eastAsia="zh-CN"/>
              </w:rPr>
              <w:t>23</w:t>
            </w:r>
            <w:r>
              <w:rPr>
                <w:rFonts w:hint="eastAsia"/>
                <w:color w:val="auto"/>
                <w:sz w:val="24"/>
                <w:highlight w:val="none"/>
                <w:u w:val="single"/>
                <w:lang w:eastAsia="zh-CN"/>
              </w:rPr>
              <w:t>）的相关规定进行</w:t>
            </w:r>
            <w:r>
              <w:rPr>
                <w:rFonts w:hint="eastAsia"/>
                <w:color w:val="auto"/>
                <w:sz w:val="24"/>
                <w:highlight w:val="none"/>
                <w:lang w:eastAsia="zh-CN"/>
              </w:rPr>
              <w:t>。在做好各项措施的前提下，可满足“四防”（防风、防雨、防晒、防渗漏）要求；贮存场所内采用安全照明设施，并设置观察窗口；废物贮存设施周围设置围墙或其它防护栅栏，并配备通讯设备、照明设施、安全防护服装及工具，并设有应急防护设施；废物贮存设施内清理出来的泄漏物，一律按危险废物处理。</w:t>
            </w:r>
          </w:p>
          <w:p w14:paraId="6408087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olor w:val="auto"/>
                <w:sz w:val="24"/>
                <w:highlight w:val="none"/>
                <w:lang w:eastAsia="zh-CN"/>
              </w:rPr>
            </w:pPr>
            <w:r>
              <w:rPr>
                <w:rFonts w:hint="eastAsia"/>
                <w:color w:val="auto"/>
                <w:sz w:val="24"/>
                <w:highlight w:val="none"/>
                <w:lang w:eastAsia="zh-CN"/>
              </w:rPr>
              <w:t>综上所述，在采取上述措施后，本项目所产生的固废都得到了安全清洁处置，不会产生二次污染。</w:t>
            </w:r>
          </w:p>
          <w:p w14:paraId="5070635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olor w:val="auto"/>
                <w:sz w:val="24"/>
                <w:highlight w:val="none"/>
                <w:lang w:eastAsia="zh-CN"/>
              </w:rPr>
            </w:pPr>
            <w:r>
              <w:rPr>
                <w:rFonts w:hint="eastAsia"/>
                <w:color w:val="auto"/>
                <w:sz w:val="24"/>
                <w:highlight w:val="none"/>
                <w:lang w:eastAsia="zh-CN"/>
              </w:rPr>
              <w:t>（</w:t>
            </w:r>
            <w:r>
              <w:rPr>
                <w:rFonts w:hint="eastAsia"/>
                <w:color w:val="auto"/>
                <w:sz w:val="24"/>
                <w:highlight w:val="none"/>
                <w:lang w:val="en-US" w:eastAsia="zh-CN"/>
              </w:rPr>
              <w:t>4</w:t>
            </w:r>
            <w:r>
              <w:rPr>
                <w:rFonts w:hint="eastAsia"/>
                <w:color w:val="auto"/>
                <w:sz w:val="24"/>
                <w:highlight w:val="none"/>
                <w:lang w:eastAsia="zh-CN"/>
              </w:rPr>
              <w:t>）危废暂存、运输、处置要求</w:t>
            </w:r>
          </w:p>
          <w:p w14:paraId="307C86C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b/>
                <w:bCs/>
                <w:color w:val="auto"/>
                <w:sz w:val="24"/>
                <w:highlight w:val="none"/>
                <w:lang w:eastAsia="zh-CN"/>
              </w:rPr>
              <w:t>储存：</w:t>
            </w:r>
            <w:r>
              <w:rPr>
                <w:rFonts w:hint="eastAsia" w:ascii="Times New Roman" w:hAnsi="Times New Roman" w:eastAsia="宋体" w:cs="Times New Roman"/>
                <w:color w:val="auto"/>
                <w:sz w:val="24"/>
                <w:highlight w:val="none"/>
                <w:lang w:eastAsia="zh-CN"/>
              </w:rPr>
              <w:t>在固体废物储存过程中，严禁将危险废物随意露天堆放，</w:t>
            </w:r>
          </w:p>
          <w:p w14:paraId="5B8961D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t>危废暂存间设置进行防雨、防渗、防漏处理，将危废对周边环境的影响降到最小，应遵循的设置要求如下：</w:t>
            </w:r>
          </w:p>
          <w:p w14:paraId="22AEB4A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fldChar w:fldCharType="begin"/>
            </w:r>
            <w:r>
              <w:rPr>
                <w:rFonts w:hint="eastAsia" w:ascii="Times New Roman" w:hAnsi="Times New Roman" w:eastAsia="宋体" w:cs="Times New Roman"/>
                <w:color w:val="auto"/>
                <w:sz w:val="24"/>
                <w:highlight w:val="none"/>
                <w:lang w:eastAsia="zh-CN"/>
              </w:rPr>
              <w:instrText xml:space="preserve"> = 1 \* GB3 </w:instrText>
            </w:r>
            <w:r>
              <w:rPr>
                <w:rFonts w:hint="eastAsia" w:ascii="Times New Roman" w:hAnsi="Times New Roman" w:eastAsia="宋体" w:cs="Times New Roman"/>
                <w:color w:val="auto"/>
                <w:sz w:val="24"/>
                <w:highlight w:val="none"/>
                <w:lang w:eastAsia="zh-CN"/>
              </w:rPr>
              <w:fldChar w:fldCharType="separate"/>
            </w:r>
            <w:r>
              <w:rPr>
                <w:rFonts w:hint="eastAsia" w:ascii="Times New Roman" w:hAnsi="Times New Roman" w:eastAsia="宋体" w:cs="Times New Roman"/>
                <w:color w:val="auto"/>
                <w:sz w:val="24"/>
                <w:highlight w:val="none"/>
                <w:lang w:eastAsia="zh-CN"/>
              </w:rPr>
              <w:t>①</w:t>
            </w:r>
            <w:r>
              <w:rPr>
                <w:rFonts w:hint="eastAsia" w:ascii="Times New Roman" w:hAnsi="Times New Roman" w:eastAsia="宋体" w:cs="Times New Roman"/>
                <w:color w:val="auto"/>
                <w:sz w:val="24"/>
                <w:highlight w:val="none"/>
                <w:lang w:eastAsia="zh-CN"/>
              </w:rPr>
              <w:fldChar w:fldCharType="end"/>
            </w:r>
            <w:r>
              <w:rPr>
                <w:rFonts w:hint="eastAsia" w:ascii="Times New Roman" w:hAnsi="Times New Roman" w:eastAsia="宋体" w:cs="Times New Roman"/>
                <w:color w:val="auto"/>
                <w:sz w:val="24"/>
                <w:highlight w:val="none"/>
                <w:lang w:eastAsia="zh-CN"/>
              </w:rPr>
              <w:t>应建有堵截泄漏的裙脚，地面与裙脚要用坚固防渗的材料建造。应有隔离设施、报警装置和防风、防晒、防雨设施；</w:t>
            </w:r>
          </w:p>
          <w:p w14:paraId="50C4AD2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fldChar w:fldCharType="begin"/>
            </w:r>
            <w:r>
              <w:rPr>
                <w:rFonts w:hint="eastAsia" w:ascii="Times New Roman" w:hAnsi="Times New Roman" w:eastAsia="宋体" w:cs="Times New Roman"/>
                <w:color w:val="auto"/>
                <w:sz w:val="24"/>
                <w:highlight w:val="none"/>
                <w:lang w:eastAsia="zh-CN"/>
              </w:rPr>
              <w:instrText xml:space="preserve"> = 2 \* GB3 </w:instrText>
            </w:r>
            <w:r>
              <w:rPr>
                <w:rFonts w:hint="eastAsia" w:ascii="Times New Roman" w:hAnsi="Times New Roman" w:eastAsia="宋体" w:cs="Times New Roman"/>
                <w:color w:val="auto"/>
                <w:sz w:val="24"/>
                <w:highlight w:val="none"/>
                <w:lang w:eastAsia="zh-CN"/>
              </w:rPr>
              <w:fldChar w:fldCharType="separate"/>
            </w:r>
            <w:r>
              <w:rPr>
                <w:rFonts w:hint="eastAsia" w:ascii="Times New Roman" w:hAnsi="Times New Roman" w:eastAsia="宋体" w:cs="Times New Roman"/>
                <w:color w:val="auto"/>
                <w:sz w:val="24"/>
                <w:highlight w:val="none"/>
                <w:lang w:eastAsia="zh-CN"/>
              </w:rPr>
              <w:t>②</w:t>
            </w:r>
            <w:r>
              <w:rPr>
                <w:rFonts w:hint="eastAsia" w:ascii="Times New Roman" w:hAnsi="Times New Roman" w:eastAsia="宋体" w:cs="Times New Roman"/>
                <w:color w:val="auto"/>
                <w:sz w:val="24"/>
                <w:highlight w:val="none"/>
                <w:lang w:eastAsia="zh-CN"/>
              </w:rPr>
              <w:fldChar w:fldCharType="end"/>
            </w:r>
            <w:r>
              <w:rPr>
                <w:rFonts w:hint="eastAsia" w:ascii="Times New Roman" w:hAnsi="Times New Roman" w:eastAsia="宋体" w:cs="Times New Roman"/>
                <w:color w:val="auto"/>
                <w:sz w:val="24"/>
                <w:highlight w:val="none"/>
                <w:lang w:eastAsia="zh-CN"/>
              </w:rPr>
              <w:t>基础防渗层为粘土层的，其厚度应在1m以上，渗透系数应小于</w:t>
            </w:r>
            <w:r>
              <w:rPr>
                <w:rFonts w:hint="default" w:ascii="Times New Roman" w:hAnsi="Times New Roman" w:eastAsia="宋体" w:cs="Times New Roman"/>
                <w:color w:val="auto"/>
                <w:sz w:val="24"/>
                <w:highlight w:val="none"/>
                <w:lang w:eastAsia="zh-CN"/>
              </w:rPr>
              <w:t>1.0×10</w:t>
            </w:r>
            <w:r>
              <w:rPr>
                <w:rFonts w:hint="default" w:ascii="Times New Roman" w:hAnsi="Times New Roman" w:eastAsia="宋体" w:cs="Times New Roman"/>
                <w:color w:val="auto"/>
                <w:sz w:val="24"/>
                <w:highlight w:val="none"/>
                <w:vertAlign w:val="superscript"/>
                <w:lang w:eastAsia="zh-CN"/>
              </w:rPr>
              <w:t>-10</w:t>
            </w:r>
            <w:r>
              <w:rPr>
                <w:rFonts w:hint="default" w:ascii="Times New Roman" w:hAnsi="Times New Roman" w:eastAsia="宋体" w:cs="Times New Roman"/>
                <w:color w:val="auto"/>
                <w:sz w:val="24"/>
                <w:highlight w:val="none"/>
                <w:lang w:eastAsia="zh-CN"/>
              </w:rPr>
              <w:t>cm/s</w:t>
            </w:r>
            <w:r>
              <w:rPr>
                <w:rFonts w:hint="eastAsia" w:ascii="Times New Roman" w:hAnsi="Times New Roman" w:eastAsia="宋体" w:cs="Times New Roman"/>
                <w:color w:val="auto"/>
                <w:sz w:val="24"/>
                <w:highlight w:val="none"/>
                <w:lang w:eastAsia="zh-CN"/>
              </w:rPr>
              <w:t>；基础防渗层也可用厚度在2毫米以上的高密度聚乙烯或其他人工防渗材料组成；</w:t>
            </w:r>
          </w:p>
          <w:p w14:paraId="5A9F89E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fldChar w:fldCharType="begin"/>
            </w:r>
            <w:r>
              <w:rPr>
                <w:rFonts w:hint="eastAsia" w:ascii="Times New Roman" w:hAnsi="Times New Roman" w:eastAsia="宋体" w:cs="Times New Roman"/>
                <w:color w:val="auto"/>
                <w:sz w:val="24"/>
                <w:highlight w:val="none"/>
                <w:lang w:eastAsia="zh-CN"/>
              </w:rPr>
              <w:instrText xml:space="preserve"> = 3 \* GB3 </w:instrText>
            </w:r>
            <w:r>
              <w:rPr>
                <w:rFonts w:hint="eastAsia" w:ascii="Times New Roman" w:hAnsi="Times New Roman" w:eastAsia="宋体" w:cs="Times New Roman"/>
                <w:color w:val="auto"/>
                <w:sz w:val="24"/>
                <w:highlight w:val="none"/>
                <w:lang w:eastAsia="zh-CN"/>
              </w:rPr>
              <w:fldChar w:fldCharType="separate"/>
            </w:r>
            <w:r>
              <w:rPr>
                <w:rFonts w:hint="eastAsia" w:ascii="Times New Roman" w:hAnsi="Times New Roman" w:eastAsia="宋体" w:cs="Times New Roman"/>
                <w:color w:val="auto"/>
                <w:sz w:val="24"/>
                <w:highlight w:val="none"/>
                <w:lang w:eastAsia="zh-CN"/>
              </w:rPr>
              <w:t>③</w:t>
            </w:r>
            <w:r>
              <w:rPr>
                <w:rFonts w:hint="eastAsia" w:ascii="Times New Roman" w:hAnsi="Times New Roman" w:eastAsia="宋体" w:cs="Times New Roman"/>
                <w:color w:val="auto"/>
                <w:sz w:val="24"/>
                <w:highlight w:val="none"/>
                <w:lang w:eastAsia="zh-CN"/>
              </w:rPr>
              <w:fldChar w:fldCharType="end"/>
            </w:r>
            <w:r>
              <w:rPr>
                <w:rFonts w:hint="eastAsia" w:ascii="Times New Roman" w:hAnsi="Times New Roman" w:eastAsia="宋体" w:cs="Times New Roman"/>
                <w:color w:val="auto"/>
                <w:sz w:val="24"/>
                <w:highlight w:val="none"/>
                <w:lang w:eastAsia="zh-CN"/>
              </w:rPr>
              <w:t>须有泄漏液体收集装置及气体导出口和气体净化装置；</w:t>
            </w:r>
          </w:p>
          <w:p w14:paraId="0063538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fldChar w:fldCharType="begin"/>
            </w:r>
            <w:r>
              <w:rPr>
                <w:rFonts w:hint="eastAsia" w:ascii="Times New Roman" w:hAnsi="Times New Roman" w:eastAsia="宋体" w:cs="Times New Roman"/>
                <w:color w:val="auto"/>
                <w:sz w:val="24"/>
                <w:highlight w:val="none"/>
                <w:lang w:eastAsia="zh-CN"/>
              </w:rPr>
              <w:instrText xml:space="preserve"> = 4 \* GB3 </w:instrText>
            </w:r>
            <w:r>
              <w:rPr>
                <w:rFonts w:hint="eastAsia" w:ascii="Times New Roman" w:hAnsi="Times New Roman" w:eastAsia="宋体" w:cs="Times New Roman"/>
                <w:color w:val="auto"/>
                <w:sz w:val="24"/>
                <w:highlight w:val="none"/>
                <w:lang w:eastAsia="zh-CN"/>
              </w:rPr>
              <w:fldChar w:fldCharType="separate"/>
            </w:r>
            <w:r>
              <w:rPr>
                <w:rFonts w:hint="eastAsia" w:ascii="Times New Roman" w:hAnsi="Times New Roman" w:eastAsia="宋体" w:cs="Times New Roman"/>
                <w:color w:val="auto"/>
                <w:sz w:val="24"/>
                <w:highlight w:val="none"/>
                <w:lang w:eastAsia="zh-CN"/>
              </w:rPr>
              <w:t>④</w:t>
            </w:r>
            <w:r>
              <w:rPr>
                <w:rFonts w:hint="eastAsia" w:ascii="Times New Roman" w:hAnsi="Times New Roman" w:eastAsia="宋体" w:cs="Times New Roman"/>
                <w:color w:val="auto"/>
                <w:sz w:val="24"/>
                <w:highlight w:val="none"/>
                <w:lang w:eastAsia="zh-CN"/>
              </w:rPr>
              <w:fldChar w:fldCharType="end"/>
            </w:r>
            <w:r>
              <w:rPr>
                <w:rFonts w:hint="eastAsia" w:ascii="Times New Roman" w:hAnsi="Times New Roman" w:eastAsia="宋体" w:cs="Times New Roman"/>
                <w:color w:val="auto"/>
                <w:sz w:val="24"/>
                <w:highlight w:val="none"/>
                <w:lang w:eastAsia="zh-CN"/>
              </w:rPr>
              <w:t>用于存放液体、半固体危险废物的地方，还须有耐腐蚀的硬化地面，地面无裂隙；</w:t>
            </w:r>
          </w:p>
          <w:p w14:paraId="69859F8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single"/>
                <w:lang w:eastAsia="zh-CN"/>
              </w:rPr>
            </w:pPr>
            <w:r>
              <w:rPr>
                <w:rFonts w:hint="eastAsia" w:ascii="Times New Roman" w:hAnsi="Times New Roman" w:eastAsia="宋体" w:cs="Times New Roman"/>
                <w:color w:val="auto"/>
                <w:sz w:val="24"/>
                <w:highlight w:val="none"/>
                <w:u w:val="single"/>
                <w:lang w:eastAsia="zh-CN"/>
              </w:rPr>
              <w:fldChar w:fldCharType="begin"/>
            </w:r>
            <w:r>
              <w:rPr>
                <w:rFonts w:hint="eastAsia" w:ascii="Times New Roman" w:hAnsi="Times New Roman" w:eastAsia="宋体" w:cs="Times New Roman"/>
                <w:color w:val="auto"/>
                <w:sz w:val="24"/>
                <w:highlight w:val="none"/>
                <w:u w:val="single"/>
                <w:lang w:eastAsia="zh-CN"/>
              </w:rPr>
              <w:instrText xml:space="preserve"> = 5 \* GB3 </w:instrText>
            </w:r>
            <w:r>
              <w:rPr>
                <w:rFonts w:hint="eastAsia" w:ascii="Times New Roman" w:hAnsi="Times New Roman" w:eastAsia="宋体" w:cs="Times New Roman"/>
                <w:color w:val="auto"/>
                <w:sz w:val="24"/>
                <w:highlight w:val="none"/>
                <w:u w:val="single"/>
                <w:lang w:eastAsia="zh-CN"/>
              </w:rPr>
              <w:fldChar w:fldCharType="separate"/>
            </w:r>
            <w:r>
              <w:rPr>
                <w:rFonts w:hint="eastAsia" w:ascii="Times New Roman" w:hAnsi="Times New Roman" w:eastAsia="宋体" w:cs="Times New Roman"/>
                <w:color w:val="auto"/>
                <w:sz w:val="24"/>
                <w:highlight w:val="none"/>
                <w:u w:val="single"/>
                <w:lang w:eastAsia="zh-CN"/>
              </w:rPr>
              <w:t>⑤</w:t>
            </w:r>
            <w:r>
              <w:rPr>
                <w:rFonts w:hint="eastAsia" w:ascii="Times New Roman" w:hAnsi="Times New Roman" w:eastAsia="宋体" w:cs="Times New Roman"/>
                <w:color w:val="auto"/>
                <w:sz w:val="24"/>
                <w:highlight w:val="none"/>
                <w:u w:val="single"/>
                <w:lang w:eastAsia="zh-CN"/>
              </w:rPr>
              <w:fldChar w:fldCharType="end"/>
            </w:r>
            <w:r>
              <w:rPr>
                <w:rFonts w:hint="eastAsia" w:ascii="Times New Roman" w:hAnsi="Times New Roman" w:eastAsia="宋体" w:cs="Times New Roman"/>
                <w:color w:val="auto"/>
                <w:sz w:val="24"/>
                <w:highlight w:val="none"/>
                <w:u w:val="single"/>
                <w:lang w:eastAsia="zh-CN"/>
              </w:rPr>
              <w:t>设置“危险废物暂存间”和危险废物标志的牌子；危险废物贮存间门口需张贴标准规范的危险废物标识和危废信息板，屋内张贴企业《危险废物管理制度》；</w:t>
            </w:r>
          </w:p>
          <w:p w14:paraId="763B6DA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lang w:eastAsia="zh-CN"/>
              </w:rPr>
            </w:pPr>
            <w:r>
              <w:rPr>
                <w:rFonts w:hint="eastAsia" w:ascii="Times New Roman" w:hAnsi="Times New Roman" w:eastAsia="宋体" w:cs="Times New Roman"/>
                <w:color w:val="auto"/>
                <w:sz w:val="24"/>
                <w:highlight w:val="none"/>
                <w:lang w:eastAsia="zh-CN"/>
              </w:rPr>
              <w:fldChar w:fldCharType="begin"/>
            </w:r>
            <w:r>
              <w:rPr>
                <w:rFonts w:hint="eastAsia" w:ascii="Times New Roman" w:hAnsi="Times New Roman" w:eastAsia="宋体" w:cs="Times New Roman"/>
                <w:color w:val="auto"/>
                <w:sz w:val="24"/>
                <w:highlight w:val="none"/>
                <w:lang w:eastAsia="zh-CN"/>
              </w:rPr>
              <w:instrText xml:space="preserve"> = 6 \* GB3 </w:instrText>
            </w:r>
            <w:r>
              <w:rPr>
                <w:rFonts w:hint="eastAsia" w:ascii="Times New Roman" w:hAnsi="Times New Roman" w:eastAsia="宋体" w:cs="Times New Roman"/>
                <w:color w:val="auto"/>
                <w:sz w:val="24"/>
                <w:highlight w:val="none"/>
                <w:lang w:eastAsia="zh-CN"/>
              </w:rPr>
              <w:fldChar w:fldCharType="separate"/>
            </w:r>
            <w:r>
              <w:rPr>
                <w:rFonts w:hint="eastAsia" w:ascii="Times New Roman" w:hAnsi="Times New Roman" w:eastAsia="宋体" w:cs="Times New Roman"/>
                <w:color w:val="auto"/>
                <w:sz w:val="24"/>
                <w:highlight w:val="none"/>
                <w:lang w:eastAsia="zh-CN"/>
              </w:rPr>
              <w:t>⑥</w:t>
            </w:r>
            <w:r>
              <w:rPr>
                <w:rFonts w:hint="eastAsia" w:ascii="Times New Roman" w:hAnsi="Times New Roman" w:eastAsia="宋体" w:cs="Times New Roman"/>
                <w:color w:val="auto"/>
                <w:sz w:val="24"/>
                <w:highlight w:val="none"/>
                <w:lang w:eastAsia="zh-CN"/>
              </w:rPr>
              <w:fldChar w:fldCharType="end"/>
            </w:r>
            <w:r>
              <w:rPr>
                <w:rFonts w:hint="eastAsia" w:ascii="Times New Roman" w:hAnsi="Times New Roman" w:eastAsia="宋体" w:cs="Times New Roman"/>
                <w:color w:val="auto"/>
                <w:sz w:val="24"/>
                <w:highlight w:val="none"/>
                <w:lang w:eastAsia="zh-CN"/>
              </w:rPr>
              <w:t>危废暂存点应设计建造径流疏导系统（地沟或围堰），防止外界雨水径流影响。</w:t>
            </w:r>
          </w:p>
          <w:p w14:paraId="0F71630D">
            <w:pPr>
              <w:spacing w:line="360" w:lineRule="auto"/>
              <w:ind w:firstLine="482" w:firstLineChars="200"/>
              <w:rPr>
                <w:color w:val="auto"/>
                <w:sz w:val="24"/>
              </w:rPr>
            </w:pPr>
            <w:r>
              <w:rPr>
                <w:b/>
                <w:color w:val="auto"/>
                <w:sz w:val="24"/>
              </w:rPr>
              <w:t>运输</w:t>
            </w:r>
            <w:r>
              <w:rPr>
                <w:color w:val="auto"/>
                <w:sz w:val="24"/>
              </w:rPr>
              <w:t>：危险废物运输过程中，必须配备随车人员在途中经常检查，危险废物如有丢失、被盗，应立即报告当地交通运输、环境保护主管部门，并由交通运输主管部门会同公安部门和环保部门查处。</w:t>
            </w:r>
          </w:p>
          <w:p w14:paraId="63ADAF2D">
            <w:pPr>
              <w:spacing w:line="360" w:lineRule="auto"/>
              <w:ind w:firstLine="482" w:firstLineChars="200"/>
              <w:rPr>
                <w:color w:val="auto"/>
                <w:sz w:val="24"/>
              </w:rPr>
            </w:pPr>
            <w:r>
              <w:rPr>
                <w:b/>
                <w:color w:val="auto"/>
                <w:sz w:val="24"/>
              </w:rPr>
              <w:t>处置：</w:t>
            </w:r>
            <w:r>
              <w:rPr>
                <w:color w:val="auto"/>
                <w:sz w:val="24"/>
              </w:rPr>
              <w:t>应委托具有相应资质的运输单位和利用处置经营单位，签订委托合同，依法委托运输、利用处置危险废物。在委托时，应详细核实运输单位、车辆、驾驶员及押运员的资质，并根据废物特性，选择运输工具，严防二次污染；应详细核实经营单位资质，严禁委托不具资质或资质不符的单位处置。</w:t>
            </w:r>
          </w:p>
          <w:p w14:paraId="019C8491">
            <w:pPr>
              <w:spacing w:line="360" w:lineRule="auto"/>
              <w:ind w:firstLine="480" w:firstLineChars="200"/>
              <w:rPr>
                <w:rFonts w:eastAsia="宋"/>
                <w:bCs/>
                <w:color w:val="auto"/>
                <w:sz w:val="24"/>
              </w:rPr>
            </w:pPr>
            <w:r>
              <w:rPr>
                <w:color w:val="auto"/>
                <w:sz w:val="24"/>
              </w:rPr>
              <w:t>综上所述，在采取上述措施后，本项目所产生的固废都得到了安全清洁处置，不会产生二次污染。</w:t>
            </w:r>
          </w:p>
          <w:p w14:paraId="7017843E">
            <w:pPr>
              <w:spacing w:line="360" w:lineRule="auto"/>
              <w:ind w:firstLine="480" w:firstLineChars="200"/>
              <w:rPr>
                <w:rFonts w:eastAsia="宋"/>
                <w:bCs/>
                <w:color w:val="auto"/>
                <w:sz w:val="24"/>
              </w:rPr>
            </w:pPr>
            <w:r>
              <w:rPr>
                <w:rFonts w:eastAsia="宋"/>
                <w:bCs/>
                <w:color w:val="auto"/>
                <w:sz w:val="24"/>
              </w:rPr>
              <w:t>（5）污泥处置要求</w:t>
            </w:r>
          </w:p>
          <w:p w14:paraId="7AF4468D">
            <w:pPr>
              <w:spacing w:line="360" w:lineRule="auto"/>
              <w:ind w:firstLine="482" w:firstLineChars="200"/>
              <w:rPr>
                <w:rFonts w:eastAsia="宋"/>
                <w:bCs/>
                <w:color w:val="auto"/>
                <w:sz w:val="24"/>
              </w:rPr>
            </w:pPr>
            <w:r>
              <w:rPr>
                <w:rFonts w:eastAsia="宋"/>
                <w:b/>
                <w:color w:val="auto"/>
                <w:sz w:val="24"/>
              </w:rPr>
              <w:t>合理选择污泥运输路线：</w:t>
            </w:r>
            <w:r>
              <w:rPr>
                <w:rFonts w:hint="eastAsia" w:eastAsia="宋"/>
                <w:b w:val="0"/>
                <w:bCs/>
                <w:color w:val="auto"/>
                <w:sz w:val="24"/>
                <w:u w:val="single"/>
                <w:lang w:eastAsia="zh-CN"/>
              </w:rPr>
              <w:t>本项目污泥经脱水后含水率低于</w:t>
            </w:r>
            <w:r>
              <w:rPr>
                <w:rFonts w:hint="eastAsia" w:eastAsia="宋"/>
                <w:b w:val="0"/>
                <w:bCs/>
                <w:color w:val="auto"/>
                <w:sz w:val="24"/>
                <w:u w:val="single"/>
                <w:lang w:val="en-US" w:eastAsia="zh-CN"/>
              </w:rPr>
              <w:t>60%外运至龙山县生活垃圾二级中转站，再转运至永顺县生活垃圾焚烧发电厂进行焚烧。</w:t>
            </w:r>
            <w:r>
              <w:rPr>
                <w:rFonts w:eastAsia="宋"/>
                <w:color w:val="auto"/>
                <w:sz w:val="24"/>
              </w:rPr>
              <w:t>尽量选择道路路况较好，且能避开途经的城市主城区等敏感区域的运输路线；避开交通高峰时段污泥运输过程中，加强污泥运输管理，运输车辆密闭，禁止沿途遗漏和抛洒，避免运输途中造成二次污染。</w:t>
            </w:r>
          </w:p>
          <w:p w14:paraId="566D3BED">
            <w:pPr>
              <w:spacing w:line="360" w:lineRule="auto"/>
              <w:ind w:firstLine="482" w:firstLineChars="200"/>
              <w:rPr>
                <w:rFonts w:eastAsia="宋"/>
                <w:bCs/>
                <w:color w:val="auto"/>
                <w:sz w:val="24"/>
              </w:rPr>
            </w:pPr>
            <w:r>
              <w:rPr>
                <w:rFonts w:eastAsia="宋"/>
                <w:b/>
                <w:color w:val="auto"/>
                <w:sz w:val="24"/>
              </w:rPr>
              <w:t>应加强污泥环境风险防范：</w:t>
            </w:r>
            <w:r>
              <w:rPr>
                <w:rFonts w:eastAsia="宋"/>
                <w:color w:val="auto"/>
                <w:sz w:val="24"/>
              </w:rPr>
              <w:t>评价要求建设到位和污泥处理处置单位应当建立污泥管理台账，详细记录污泥产生量、转移量、处理处置量及其去向等情况，定期向所在地县级以上地方环保部门报告；污水处理厂转出污泥时应如实填写转移联单；禁止污泥运输单位、处理处置单位接收无转移联单的污泥。</w:t>
            </w:r>
          </w:p>
          <w:p w14:paraId="42B34BCD">
            <w:pPr>
              <w:spacing w:line="360" w:lineRule="auto"/>
              <w:ind w:firstLine="482" w:firstLineChars="200"/>
              <w:rPr>
                <w:rFonts w:eastAsia="宋"/>
                <w:bCs/>
                <w:color w:val="auto"/>
                <w:sz w:val="24"/>
              </w:rPr>
            </w:pPr>
            <w:r>
              <w:rPr>
                <w:rFonts w:eastAsia="宋"/>
                <w:b/>
                <w:color w:val="auto"/>
                <w:sz w:val="24"/>
              </w:rPr>
              <w:t>规范污泥运输单位：</w:t>
            </w:r>
            <w:r>
              <w:rPr>
                <w:rFonts w:eastAsia="宋"/>
                <w:color w:val="auto"/>
                <w:sz w:val="24"/>
              </w:rPr>
              <w:t>建设单位禁止委托个人和没有获得相关运营资质的单位从事污泥运输，保证污泥运输车辆已采取密封、防水、防渗漏和防遗撒等措施。含水污泥需用密封容器分装，加强污泥运输管理，避免运输途中污泥渗滤液泄漏造成二次污染。</w:t>
            </w:r>
          </w:p>
          <w:p w14:paraId="10511FE9">
            <w:pPr>
              <w:spacing w:line="360" w:lineRule="auto"/>
              <w:ind w:firstLine="480" w:firstLineChars="200"/>
              <w:rPr>
                <w:rFonts w:eastAsia="宋"/>
                <w:bCs/>
                <w:color w:val="auto"/>
                <w:sz w:val="24"/>
              </w:rPr>
            </w:pPr>
            <w:r>
              <w:rPr>
                <w:rFonts w:eastAsia="宋"/>
                <w:color w:val="auto"/>
                <w:sz w:val="24"/>
              </w:rPr>
              <w:t>污水处理厂应当对污泥产生、运输、贮存、处置实施全过程管理，制定并落实污泥环境管理的规章制度、工作流程和要求，设置专门的监控部门，确保污泥妥善处理处置，严禁擅自倾倒、堆放、丢弃、遗撒污泥。</w:t>
            </w:r>
          </w:p>
          <w:p w14:paraId="459B0EF0">
            <w:pPr>
              <w:spacing w:line="360" w:lineRule="auto"/>
              <w:ind w:firstLine="480" w:firstLineChars="200"/>
              <w:rPr>
                <w:rFonts w:eastAsia="宋"/>
                <w:bCs/>
                <w:color w:val="auto"/>
                <w:sz w:val="24"/>
              </w:rPr>
            </w:pPr>
            <w:r>
              <w:rPr>
                <w:rFonts w:hint="eastAsia" w:ascii="宋体" w:hAnsi="宋体" w:cs="宋体"/>
                <w:color w:val="auto"/>
                <w:sz w:val="24"/>
              </w:rPr>
              <w:t>②</w:t>
            </w:r>
            <w:r>
              <w:rPr>
                <w:rFonts w:eastAsia="宋"/>
                <w:color w:val="auto"/>
                <w:sz w:val="24"/>
              </w:rPr>
              <w:t>污泥处理处置应遵循减量化、稳定化、无害化的原则。污泥处理设施应当与污水处理设施同时规划、同时建设、同时投入运行。</w:t>
            </w:r>
          </w:p>
          <w:p w14:paraId="4F6FBED4">
            <w:pPr>
              <w:spacing w:line="360" w:lineRule="auto"/>
              <w:ind w:firstLine="480" w:firstLineChars="200"/>
              <w:rPr>
                <w:rFonts w:eastAsia="宋"/>
                <w:bCs/>
                <w:color w:val="auto"/>
                <w:sz w:val="24"/>
              </w:rPr>
            </w:pPr>
            <w:r>
              <w:rPr>
                <w:rFonts w:hint="eastAsia" w:ascii="宋体" w:hAnsi="宋体" w:cs="宋体"/>
                <w:color w:val="auto"/>
                <w:sz w:val="24"/>
              </w:rPr>
              <w:t>③</w:t>
            </w:r>
            <w:r>
              <w:rPr>
                <w:rFonts w:eastAsia="宋"/>
                <w:color w:val="auto"/>
                <w:sz w:val="24"/>
              </w:rPr>
              <w:t>加强污泥环境风险防范。污泥产生、运输、贮存、处理处置的全过程应当遵守国家和地方相关污染控制标准及技术规范。</w:t>
            </w:r>
          </w:p>
          <w:p w14:paraId="1AD1BC6C">
            <w:pPr>
              <w:spacing w:line="360" w:lineRule="auto"/>
              <w:ind w:firstLine="480" w:firstLineChars="200"/>
              <w:rPr>
                <w:rFonts w:eastAsia="宋"/>
                <w:bCs/>
                <w:color w:val="auto"/>
                <w:sz w:val="24"/>
              </w:rPr>
            </w:pPr>
            <w:r>
              <w:rPr>
                <w:rFonts w:hint="eastAsia" w:ascii="宋体" w:hAnsi="宋体" w:cs="宋体"/>
                <w:color w:val="auto"/>
                <w:sz w:val="24"/>
              </w:rPr>
              <w:t>④</w:t>
            </w:r>
            <w:r>
              <w:rPr>
                <w:rFonts w:eastAsia="宋"/>
                <w:color w:val="auto"/>
                <w:sz w:val="24"/>
              </w:rPr>
              <w:t>建立污泥管理台账和转移联单制度。污水处理厂、污泥处理处置单位应当建立污泥管理台账，详细记录污泥产生量、转移量、处理处置量及其去向等情况。</w:t>
            </w:r>
          </w:p>
          <w:p w14:paraId="7511C15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eastAsia="宋"/>
                <w:color w:val="auto"/>
                <w:sz w:val="24"/>
              </w:rPr>
            </w:pPr>
            <w:r>
              <w:rPr>
                <w:rFonts w:hint="eastAsia" w:ascii="宋体" w:hAnsi="宋体" w:cs="宋体"/>
                <w:color w:val="auto"/>
                <w:sz w:val="24"/>
              </w:rPr>
              <w:t>⑤</w:t>
            </w:r>
            <w:r>
              <w:rPr>
                <w:rFonts w:eastAsia="宋"/>
                <w:color w:val="auto"/>
                <w:sz w:val="24"/>
              </w:rPr>
              <w:t>规范污泥运输。污泥运输车辆应当采取密封、防水、防渗漏和防遗撒等措施。</w:t>
            </w:r>
          </w:p>
          <w:p w14:paraId="6468C1C7">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eastAsia" w:ascii="Times New Roman" w:hAnsi="Times New Roman" w:eastAsia="宋体" w:cs="Times New Roman"/>
                <w:b/>
                <w:bCs/>
                <w:color w:val="auto"/>
                <w:u w:val="none"/>
                <w:lang w:val="en-US" w:eastAsia="zh-CN"/>
              </w:rPr>
            </w:pPr>
            <w:r>
              <w:rPr>
                <w:rFonts w:hint="eastAsia" w:cs="Times New Roman"/>
                <w:b/>
                <w:bCs/>
                <w:color w:val="auto"/>
                <w:u w:val="none"/>
                <w:lang w:val="en-US" w:eastAsia="zh-CN"/>
              </w:rPr>
              <w:t>六</w:t>
            </w:r>
            <w:r>
              <w:rPr>
                <w:rFonts w:hint="eastAsia" w:ascii="Times New Roman" w:hAnsi="Times New Roman" w:eastAsia="宋体" w:cs="Times New Roman"/>
                <w:b/>
                <w:bCs/>
                <w:color w:val="auto"/>
                <w:u w:val="none"/>
                <w:lang w:val="en-US" w:eastAsia="zh-CN"/>
              </w:rPr>
              <w:t>、地下水环境影响和保护措施</w:t>
            </w:r>
          </w:p>
          <w:p w14:paraId="3C39C239">
            <w:pPr>
              <w:pStyle w:val="133"/>
              <w:spacing w:line="360" w:lineRule="auto"/>
              <w:ind w:left="0" w:firstLine="472" w:firstLineChars="196"/>
              <w:jc w:val="both"/>
              <w:rPr>
                <w:rFonts w:hint="eastAsia"/>
                <w:b/>
                <w:bCs w:val="0"/>
                <w:color w:val="auto"/>
                <w:sz w:val="24"/>
                <w:u w:val="none"/>
                <w:lang w:val="en-US" w:eastAsia="zh-CN"/>
              </w:rPr>
            </w:pPr>
            <w:r>
              <w:rPr>
                <w:rFonts w:hint="eastAsia"/>
                <w:b/>
                <w:bCs w:val="0"/>
                <w:color w:val="auto"/>
                <w:sz w:val="24"/>
                <w:u w:val="none"/>
                <w:lang w:val="en-US" w:eastAsia="zh-CN"/>
              </w:rPr>
              <w:t>1、地下水污染源</w:t>
            </w:r>
          </w:p>
          <w:p w14:paraId="44E9CBD1">
            <w:pPr>
              <w:pStyle w:val="133"/>
              <w:spacing w:line="360" w:lineRule="auto"/>
              <w:ind w:left="0" w:firstLine="470" w:firstLineChars="196"/>
              <w:jc w:val="both"/>
              <w:rPr>
                <w:rFonts w:hint="eastAsia"/>
                <w:b w:val="0"/>
                <w:bCs/>
                <w:color w:val="auto"/>
                <w:sz w:val="24"/>
                <w:u w:val="none"/>
                <w:lang w:val="en-US" w:eastAsia="zh-CN"/>
              </w:rPr>
            </w:pPr>
            <w:r>
              <w:rPr>
                <w:rFonts w:hint="eastAsia"/>
                <w:b w:val="0"/>
                <w:bCs/>
                <w:color w:val="auto"/>
                <w:sz w:val="24"/>
                <w:u w:val="none"/>
                <w:lang w:val="en-US" w:eastAsia="zh-CN"/>
              </w:rPr>
              <w:t>本项目为生活污水处理站，污水处理厂及其管道部分存在污染地下水和土壤的风险。具体可能造成的污染环节如下：</w:t>
            </w:r>
          </w:p>
          <w:p w14:paraId="4D22D695">
            <w:pPr>
              <w:pStyle w:val="133"/>
              <w:spacing w:line="360" w:lineRule="auto"/>
              <w:ind w:left="0" w:firstLine="470" w:firstLineChars="196"/>
              <w:jc w:val="both"/>
              <w:rPr>
                <w:rFonts w:hint="eastAsia"/>
                <w:b w:val="0"/>
                <w:bCs/>
                <w:color w:val="auto"/>
                <w:sz w:val="24"/>
                <w:u w:val="none"/>
                <w:lang w:val="en-US" w:eastAsia="zh-CN"/>
              </w:rPr>
            </w:pPr>
            <w:r>
              <w:rPr>
                <w:rFonts w:hint="eastAsia"/>
                <w:b w:val="0"/>
                <w:bCs/>
                <w:color w:val="auto"/>
                <w:sz w:val="24"/>
                <w:u w:val="none"/>
                <w:lang w:val="en-US" w:eastAsia="zh-CN"/>
              </w:rPr>
              <w:t xml:space="preserve"> ①废水收集、处理系统防渗措施不当造成生产废水直接下渗，影响厂址周围地区浅层地下水和土壤。 </w:t>
            </w:r>
          </w:p>
          <w:p w14:paraId="4D5A90C1">
            <w:pPr>
              <w:pStyle w:val="133"/>
              <w:spacing w:line="360" w:lineRule="auto"/>
              <w:ind w:left="0" w:firstLine="470" w:firstLineChars="196"/>
              <w:jc w:val="both"/>
              <w:rPr>
                <w:rFonts w:hint="eastAsia"/>
                <w:b w:val="0"/>
                <w:bCs/>
                <w:color w:val="auto"/>
                <w:sz w:val="24"/>
                <w:u w:val="none"/>
                <w:lang w:val="en-US" w:eastAsia="zh-CN"/>
              </w:rPr>
            </w:pPr>
            <w:r>
              <w:rPr>
                <w:rFonts w:hint="eastAsia"/>
                <w:b w:val="0"/>
                <w:bCs/>
                <w:color w:val="auto"/>
                <w:sz w:val="24"/>
                <w:u w:val="none"/>
                <w:lang w:val="en-US" w:eastAsia="zh-CN"/>
              </w:rPr>
              <w:t xml:space="preserve">②收集管道下渗或漏水，污染管道附近的浅层地下水和土壤。 </w:t>
            </w:r>
          </w:p>
          <w:p w14:paraId="0A9DAA3B">
            <w:pPr>
              <w:pStyle w:val="133"/>
              <w:spacing w:line="360" w:lineRule="auto"/>
              <w:ind w:left="0" w:firstLine="470" w:firstLineChars="196"/>
              <w:jc w:val="both"/>
              <w:rPr>
                <w:rFonts w:hint="eastAsia"/>
                <w:b w:val="0"/>
                <w:bCs/>
                <w:color w:val="auto"/>
                <w:sz w:val="24"/>
                <w:u w:val="none"/>
                <w:lang w:val="en-US" w:eastAsia="zh-CN"/>
              </w:rPr>
            </w:pPr>
            <w:r>
              <w:rPr>
                <w:rFonts w:hint="eastAsia"/>
                <w:b w:val="0"/>
                <w:bCs/>
                <w:color w:val="auto"/>
                <w:sz w:val="24"/>
                <w:u w:val="none"/>
                <w:lang w:val="en-US" w:eastAsia="zh-CN"/>
              </w:rPr>
              <w:t xml:space="preserve">③污水处理场污泥、废渣等暂存场所防渗不当，造成淋滤液下渗污染地下水和土壤。 </w:t>
            </w:r>
          </w:p>
          <w:p w14:paraId="09E5204F">
            <w:pPr>
              <w:pStyle w:val="133"/>
              <w:spacing w:line="360" w:lineRule="auto"/>
              <w:ind w:left="0" w:firstLine="470" w:firstLineChars="196"/>
              <w:jc w:val="both"/>
              <w:rPr>
                <w:rFonts w:hint="eastAsia"/>
                <w:b w:val="0"/>
                <w:bCs/>
                <w:color w:val="auto"/>
                <w:sz w:val="24"/>
                <w:u w:val="none"/>
                <w:lang w:val="en-US" w:eastAsia="zh-CN"/>
              </w:rPr>
            </w:pPr>
            <w:r>
              <w:rPr>
                <w:rFonts w:hint="eastAsia"/>
                <w:b w:val="0"/>
                <w:bCs/>
                <w:color w:val="auto"/>
                <w:sz w:val="24"/>
                <w:u w:val="none"/>
              </w:rPr>
              <w:t>⑤</w:t>
            </w:r>
            <w:r>
              <w:rPr>
                <w:rFonts w:hint="eastAsia"/>
                <w:b w:val="0"/>
                <w:bCs/>
                <w:color w:val="auto"/>
                <w:sz w:val="24"/>
                <w:u w:val="none"/>
                <w:lang w:val="en-US" w:eastAsia="zh-CN"/>
              </w:rPr>
              <w:t>柴油泄漏造成土壤、地下水的污染。</w:t>
            </w:r>
          </w:p>
          <w:p w14:paraId="593A3572">
            <w:pPr>
              <w:pStyle w:val="133"/>
              <w:spacing w:line="360" w:lineRule="auto"/>
              <w:ind w:left="0" w:firstLine="470" w:firstLineChars="196"/>
              <w:jc w:val="both"/>
              <w:rPr>
                <w:color w:val="auto"/>
                <w:u w:val="none"/>
              </w:rPr>
            </w:pPr>
            <w:r>
              <w:rPr>
                <w:b w:val="0"/>
                <w:bCs/>
                <w:color w:val="auto"/>
                <w:sz w:val="24"/>
                <w:u w:val="none"/>
              </w:rPr>
              <w:t>主要污染源为污水处</w:t>
            </w:r>
            <w:r>
              <w:rPr>
                <w:bCs/>
                <w:color w:val="auto"/>
                <w:sz w:val="24"/>
                <w:u w:val="none"/>
              </w:rPr>
              <w:t>理构建筑物</w:t>
            </w:r>
            <w:r>
              <w:rPr>
                <w:color w:val="auto"/>
                <w:sz w:val="24"/>
                <w:u w:val="none"/>
              </w:rPr>
              <w:t>（</w:t>
            </w:r>
            <w:r>
              <w:rPr>
                <w:rFonts w:eastAsia="宋"/>
                <w:color w:val="auto"/>
                <w:sz w:val="24"/>
                <w:u w:val="none"/>
              </w:rPr>
              <w:t>格栅池、调节池、</w:t>
            </w:r>
            <w:r>
              <w:rPr>
                <w:rFonts w:hint="eastAsia" w:eastAsia="宋"/>
                <w:color w:val="auto"/>
                <w:sz w:val="24"/>
                <w:u w:val="none"/>
                <w:lang w:val="en-US" w:eastAsia="zh-CN"/>
              </w:rPr>
              <w:t>生化池设备</w:t>
            </w:r>
            <w:r>
              <w:rPr>
                <w:rFonts w:eastAsia="宋"/>
                <w:color w:val="auto"/>
                <w:sz w:val="24"/>
                <w:u w:val="none"/>
              </w:rPr>
              <w:t>、贮泥池、</w:t>
            </w:r>
            <w:r>
              <w:rPr>
                <w:color w:val="auto"/>
                <w:sz w:val="24"/>
                <w:u w:val="none"/>
              </w:rPr>
              <w:t>污水管道）</w:t>
            </w:r>
            <w:r>
              <w:rPr>
                <w:bCs/>
                <w:color w:val="auto"/>
                <w:sz w:val="24"/>
                <w:u w:val="none"/>
              </w:rPr>
              <w:t>、污水输送管道、危废暂存间</w:t>
            </w:r>
            <w:r>
              <w:rPr>
                <w:rFonts w:hint="eastAsia"/>
                <w:bCs/>
                <w:color w:val="auto"/>
                <w:sz w:val="24"/>
                <w:u w:val="none"/>
                <w:lang w:eastAsia="zh-CN"/>
              </w:rPr>
              <w:t>、柴油储罐</w:t>
            </w:r>
            <w:r>
              <w:rPr>
                <w:bCs/>
                <w:color w:val="auto"/>
                <w:sz w:val="24"/>
                <w:u w:val="none"/>
              </w:rPr>
              <w:t>等，可能对地下水造成污染的途径主要有：污水处理构筑物、污水输送管道、危废暂存间等因老化、腐蚀、破损</w:t>
            </w:r>
            <w:r>
              <w:rPr>
                <w:rFonts w:hint="eastAsia"/>
                <w:bCs/>
                <w:color w:val="auto"/>
                <w:sz w:val="24"/>
                <w:u w:val="none"/>
                <w:lang w:eastAsia="zh-CN"/>
              </w:rPr>
              <w:t>、柴油储罐破损</w:t>
            </w:r>
            <w:r>
              <w:rPr>
                <w:bCs/>
                <w:color w:val="auto"/>
                <w:sz w:val="24"/>
                <w:u w:val="none"/>
              </w:rPr>
              <w:t>等因素的影响，防渗层不能满足地下水防渗要求，污水下渗对地下水造成的污染，污染物类型包括</w:t>
            </w:r>
            <w:r>
              <w:rPr>
                <w:rFonts w:eastAsia="宋"/>
                <w:color w:val="auto"/>
                <w:sz w:val="24"/>
                <w:u w:val="none"/>
              </w:rPr>
              <w:t>COD、BOD</w:t>
            </w:r>
            <w:r>
              <w:rPr>
                <w:rFonts w:eastAsia="宋"/>
                <w:color w:val="auto"/>
                <w:sz w:val="24"/>
                <w:u w:val="none"/>
                <w:vertAlign w:val="subscript"/>
              </w:rPr>
              <w:t>5</w:t>
            </w:r>
            <w:r>
              <w:rPr>
                <w:rFonts w:eastAsia="宋"/>
                <w:color w:val="auto"/>
                <w:sz w:val="24"/>
                <w:u w:val="none"/>
              </w:rPr>
              <w:t>、SS、NH</w:t>
            </w:r>
            <w:r>
              <w:rPr>
                <w:rFonts w:eastAsia="宋"/>
                <w:color w:val="auto"/>
                <w:sz w:val="24"/>
                <w:u w:val="none"/>
                <w:vertAlign w:val="subscript"/>
              </w:rPr>
              <w:t>3</w:t>
            </w:r>
            <w:r>
              <w:rPr>
                <w:rFonts w:eastAsia="宋"/>
                <w:color w:val="auto"/>
                <w:sz w:val="24"/>
                <w:u w:val="none"/>
              </w:rPr>
              <w:t>-N、TP</w:t>
            </w:r>
            <w:r>
              <w:rPr>
                <w:bCs/>
                <w:color w:val="auto"/>
                <w:sz w:val="24"/>
                <w:u w:val="none"/>
              </w:rPr>
              <w:t>等。</w:t>
            </w:r>
          </w:p>
          <w:p w14:paraId="53392072">
            <w:pPr>
              <w:pStyle w:val="133"/>
              <w:spacing w:line="360" w:lineRule="auto"/>
              <w:ind w:left="0" w:firstLine="472" w:firstLineChars="196"/>
              <w:jc w:val="both"/>
              <w:rPr>
                <w:b/>
                <w:color w:val="auto"/>
                <w:sz w:val="24"/>
              </w:rPr>
            </w:pPr>
            <w:r>
              <w:rPr>
                <w:rFonts w:hint="eastAsia"/>
                <w:b/>
                <w:color w:val="auto"/>
                <w:sz w:val="24"/>
                <w:lang w:val="en-US" w:eastAsia="zh-CN"/>
              </w:rPr>
              <w:t>2、</w:t>
            </w:r>
            <w:r>
              <w:rPr>
                <w:rFonts w:hint="eastAsia"/>
                <w:b/>
                <w:color w:val="auto"/>
                <w:sz w:val="24"/>
              </w:rPr>
              <w:t>污染防控措施</w:t>
            </w:r>
          </w:p>
          <w:p w14:paraId="6060197C">
            <w:pPr>
              <w:pStyle w:val="133"/>
              <w:spacing w:line="360" w:lineRule="auto"/>
              <w:ind w:left="0" w:firstLine="470" w:firstLineChars="196"/>
              <w:jc w:val="both"/>
              <w:rPr>
                <w:bCs/>
                <w:color w:val="auto"/>
                <w:sz w:val="24"/>
              </w:rPr>
            </w:pPr>
            <w:r>
              <w:rPr>
                <w:rFonts w:hint="eastAsia"/>
                <w:bCs/>
                <w:color w:val="auto"/>
                <w:sz w:val="24"/>
                <w:lang w:eastAsia="zh-CN"/>
              </w:rPr>
              <w:t>（</w:t>
            </w:r>
            <w:r>
              <w:rPr>
                <w:rFonts w:hint="eastAsia"/>
                <w:bCs/>
                <w:color w:val="auto"/>
                <w:sz w:val="24"/>
                <w:lang w:val="en-US" w:eastAsia="zh-CN"/>
              </w:rPr>
              <w:t>1</w:t>
            </w:r>
            <w:r>
              <w:rPr>
                <w:rFonts w:hint="eastAsia"/>
                <w:bCs/>
                <w:color w:val="auto"/>
                <w:sz w:val="24"/>
                <w:lang w:eastAsia="zh-CN"/>
              </w:rPr>
              <w:t>）</w:t>
            </w:r>
            <w:r>
              <w:rPr>
                <w:bCs/>
                <w:color w:val="auto"/>
                <w:sz w:val="24"/>
              </w:rPr>
              <w:t>源头控制</w:t>
            </w:r>
          </w:p>
          <w:p w14:paraId="7B5A70E2">
            <w:pPr>
              <w:pStyle w:val="133"/>
              <w:spacing w:line="360" w:lineRule="auto"/>
              <w:ind w:left="0" w:firstLine="470" w:firstLineChars="196"/>
              <w:jc w:val="both"/>
              <w:rPr>
                <w:bCs/>
                <w:color w:val="auto"/>
                <w:sz w:val="24"/>
              </w:rPr>
            </w:pPr>
            <w:r>
              <w:rPr>
                <w:bCs/>
                <w:color w:val="auto"/>
                <w:sz w:val="24"/>
              </w:rPr>
              <w:t>主要包括在管道、设备、污水储存及处理构筑物采取相应措施，防止和降低污染物跑、冒、滴、漏，将污染物泄漏的环境风险事故降到最低程度。</w:t>
            </w:r>
          </w:p>
          <w:p w14:paraId="3E204AA7">
            <w:pPr>
              <w:spacing w:line="360" w:lineRule="auto"/>
              <w:ind w:firstLine="480" w:firstLineChars="200"/>
              <w:rPr>
                <w:rFonts w:hint="eastAsia" w:ascii="Times New Roman" w:hAnsi="Times New Roman" w:eastAsia="宋" w:cs="Times New Roman"/>
                <w:color w:val="auto"/>
                <w:sz w:val="24"/>
              </w:rPr>
            </w:pPr>
            <w:r>
              <w:rPr>
                <w:rFonts w:hint="eastAsia" w:ascii="Times New Roman" w:hAnsi="Times New Roman" w:eastAsia="宋" w:cs="Times New Roman"/>
                <w:color w:val="auto"/>
                <w:sz w:val="24"/>
                <w:lang w:eastAsia="zh-CN"/>
              </w:rPr>
              <w:t>（</w:t>
            </w:r>
            <w:r>
              <w:rPr>
                <w:rFonts w:hint="eastAsia" w:ascii="Times New Roman" w:hAnsi="Times New Roman" w:eastAsia="宋" w:cs="Times New Roman"/>
                <w:color w:val="auto"/>
                <w:sz w:val="24"/>
                <w:lang w:val="en-US" w:eastAsia="zh-CN"/>
              </w:rPr>
              <w:t>2</w:t>
            </w:r>
            <w:r>
              <w:rPr>
                <w:rFonts w:hint="eastAsia" w:ascii="Times New Roman" w:hAnsi="Times New Roman" w:eastAsia="宋" w:cs="Times New Roman"/>
                <w:color w:val="auto"/>
                <w:sz w:val="24"/>
                <w:lang w:eastAsia="zh-CN"/>
              </w:rPr>
              <w:t>）</w:t>
            </w:r>
            <w:r>
              <w:rPr>
                <w:rFonts w:hint="eastAsia" w:ascii="Times New Roman" w:hAnsi="Times New Roman" w:eastAsia="宋" w:cs="Times New Roman"/>
                <w:color w:val="auto"/>
                <w:sz w:val="24"/>
              </w:rPr>
              <w:t>分区防控</w:t>
            </w:r>
          </w:p>
          <w:p w14:paraId="26843C59">
            <w:pPr>
              <w:pStyle w:val="133"/>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leftChars="0" w:right="0" w:rightChars="0" w:firstLine="480" w:firstLineChars="200"/>
              <w:jc w:val="both"/>
              <w:textAlignment w:val="auto"/>
              <w:rPr>
                <w:bCs/>
                <w:color w:val="auto"/>
                <w:sz w:val="24"/>
              </w:rPr>
            </w:pPr>
            <w:r>
              <w:rPr>
                <w:bCs/>
                <w:color w:val="auto"/>
                <w:sz w:val="24"/>
              </w:rPr>
              <w:t>项目在实施过程中对污水处理各池体、配套设施等地面均采取防渗、防水处理等措施，同时对污水管道及尾水排放管道定期巡检，杜绝地下水污染防患。</w:t>
            </w:r>
          </w:p>
          <w:p w14:paraId="309A0820">
            <w:pPr>
              <w:spacing w:line="360" w:lineRule="auto"/>
              <w:ind w:firstLine="480" w:firstLineChars="200"/>
              <w:rPr>
                <w:rFonts w:eastAsia="宋"/>
                <w:bCs/>
                <w:color w:val="auto"/>
                <w:sz w:val="24"/>
              </w:rPr>
            </w:pPr>
            <w:r>
              <w:rPr>
                <w:rFonts w:eastAsia="宋"/>
                <w:color w:val="auto"/>
                <w:sz w:val="24"/>
              </w:rPr>
              <w:t>将全厂构筑物划分为重点防渗区、简单防渗区。</w:t>
            </w:r>
          </w:p>
          <w:p w14:paraId="53B0EB3A">
            <w:pPr>
              <w:spacing w:line="360" w:lineRule="auto"/>
              <w:ind w:firstLine="480" w:firstLineChars="200"/>
              <w:rPr>
                <w:rFonts w:eastAsia="宋"/>
                <w:bCs/>
                <w:color w:val="auto"/>
                <w:sz w:val="24"/>
              </w:rPr>
            </w:pPr>
            <w:r>
              <w:rPr>
                <w:rFonts w:hint="eastAsia" w:eastAsia="宋"/>
                <w:color w:val="auto"/>
                <w:sz w:val="24"/>
              </w:rPr>
              <w:t>本项目污水管、污水处理设施（AA0、污泥池、调节池、格栅渠）、排放槽和危废暂存间为重点防渗区，储药间为一般防渗区，其他区域为简单防渗区</w:t>
            </w:r>
            <w:r>
              <w:rPr>
                <w:rFonts w:eastAsia="宋"/>
                <w:color w:val="auto"/>
                <w:sz w:val="24"/>
              </w:rPr>
              <w:t>。</w:t>
            </w:r>
          </w:p>
          <w:p w14:paraId="3E6147AD">
            <w:pPr>
              <w:spacing w:line="360" w:lineRule="auto"/>
              <w:ind w:firstLine="480" w:firstLineChars="200"/>
              <w:rPr>
                <w:rFonts w:hint="eastAsia" w:ascii="Times New Roman" w:hAnsi="Times New Roman" w:eastAsia="宋" w:cs="Times New Roman"/>
                <w:color w:val="auto"/>
                <w:sz w:val="24"/>
                <w:lang w:eastAsia="zh-CN"/>
              </w:rPr>
            </w:pPr>
            <w:r>
              <w:rPr>
                <w:rFonts w:ascii="Times New Roman" w:hAnsi="Times New Roman" w:eastAsia="宋" w:cs="Times New Roman"/>
                <w:color w:val="auto"/>
                <w:sz w:val="24"/>
              </w:rPr>
              <w:t>本项目厂区、管网防渗区划及结构措施见</w:t>
            </w:r>
            <w:r>
              <w:rPr>
                <w:rFonts w:hint="eastAsia" w:ascii="Times New Roman" w:hAnsi="Times New Roman" w:eastAsia="宋" w:cs="Times New Roman"/>
                <w:color w:val="auto"/>
                <w:sz w:val="24"/>
                <w:lang w:eastAsia="zh-CN"/>
              </w:rPr>
              <w:t>下</w:t>
            </w:r>
            <w:r>
              <w:rPr>
                <w:rFonts w:ascii="Times New Roman" w:hAnsi="Times New Roman" w:eastAsia="宋" w:cs="Times New Roman"/>
                <w:color w:val="auto"/>
                <w:sz w:val="24"/>
              </w:rPr>
              <w:t>表</w:t>
            </w:r>
            <w:r>
              <w:rPr>
                <w:rFonts w:hint="eastAsia" w:ascii="Times New Roman" w:hAnsi="Times New Roman" w:eastAsia="宋" w:cs="Times New Roman"/>
                <w:color w:val="auto"/>
                <w:sz w:val="24"/>
                <w:lang w:eastAsia="zh-CN"/>
              </w:rPr>
              <w:t>：</w:t>
            </w:r>
          </w:p>
          <w:p w14:paraId="0CC31316">
            <w:pPr>
              <w:keepNext w:val="0"/>
              <w:keepLines w:val="0"/>
              <w:pageBreakBefore w:val="0"/>
              <w:widowControl w:val="0"/>
              <w:kinsoku/>
              <w:wordWrap/>
              <w:overflowPunct/>
              <w:topLinePunct w:val="0"/>
              <w:autoSpaceDE/>
              <w:autoSpaceDN/>
              <w:bidi w:val="0"/>
              <w:adjustRightInd/>
              <w:snapToGrid/>
              <w:spacing w:before="48" w:beforeLines="15" w:after="48" w:afterLines="15" w:line="240" w:lineRule="auto"/>
              <w:ind w:firstLine="0" w:firstLineChars="0"/>
              <w:jc w:val="center"/>
              <w:textAlignment w:val="auto"/>
              <w:rPr>
                <w:rFonts w:ascii="Times New Roman" w:hAnsi="Times New Roman" w:eastAsia="宋体" w:cs="Times New Roman"/>
                <w:b/>
                <w:color w:val="auto"/>
                <w:highlight w:val="none"/>
              </w:rPr>
            </w:pPr>
            <w:r>
              <w:rPr>
                <w:rFonts w:ascii="Times New Roman" w:hAnsi="Times New Roman" w:eastAsia="宋体" w:cs="Times New Roman"/>
                <w:b/>
                <w:color w:val="auto"/>
                <w:highlight w:val="none"/>
              </w:rPr>
              <w:t>表4</w:t>
            </w:r>
            <w:r>
              <w:rPr>
                <w:rFonts w:hint="eastAsia" w:ascii="Times New Roman" w:hAnsi="Times New Roman" w:eastAsia="宋体" w:cs="Times New Roman"/>
                <w:b/>
                <w:color w:val="auto"/>
                <w:highlight w:val="none"/>
              </w:rPr>
              <w:t>-</w:t>
            </w:r>
            <w:r>
              <w:rPr>
                <w:rFonts w:ascii="Times New Roman" w:hAnsi="Times New Roman" w:eastAsia="宋体" w:cs="Times New Roman"/>
                <w:b/>
                <w:color w:val="auto"/>
                <w:highlight w:val="none"/>
              </w:rPr>
              <w:t>1</w:t>
            </w:r>
            <w:r>
              <w:rPr>
                <w:rFonts w:hint="eastAsia" w:cs="Times New Roman"/>
                <w:b/>
                <w:color w:val="auto"/>
                <w:highlight w:val="none"/>
                <w:lang w:val="en-US" w:eastAsia="zh-CN"/>
              </w:rPr>
              <w:t>4</w:t>
            </w:r>
            <w:r>
              <w:rPr>
                <w:rFonts w:hint="eastAsia" w:ascii="Times New Roman" w:hAnsi="Times New Roman" w:eastAsia="宋体" w:cs="Times New Roman"/>
                <w:b/>
                <w:color w:val="auto"/>
                <w:highlight w:val="none"/>
                <w:lang w:val="en-US" w:eastAsia="zh-CN"/>
              </w:rPr>
              <w:t xml:space="preserve"> </w:t>
            </w:r>
            <w:r>
              <w:rPr>
                <w:rFonts w:ascii="Times New Roman" w:hAnsi="Times New Roman" w:eastAsia="宋体" w:cs="Times New Roman"/>
                <w:b/>
                <w:color w:val="auto"/>
                <w:highlight w:val="none"/>
              </w:rPr>
              <w:t>项目分区防渗一览表</w:t>
            </w:r>
          </w:p>
          <w:tbl>
            <w:tblPr>
              <w:tblStyle w:val="32"/>
              <w:tblpPr w:leftFromText="180" w:rightFromText="180" w:vertAnchor="text" w:horzAnchor="margin" w:tblpXSpec="center" w:tblpY="157"/>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807"/>
              <w:gridCol w:w="1506"/>
              <w:gridCol w:w="1125"/>
              <w:gridCol w:w="5204"/>
            </w:tblGrid>
            <w:tr w14:paraId="6FB6E5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67" w:type="pct"/>
                  <w:tcBorders>
                    <w:tl2br w:val="nil"/>
                    <w:tr2bl w:val="nil"/>
                  </w:tcBorders>
                  <w:vAlign w:val="center"/>
                </w:tcPr>
                <w:p w14:paraId="2D94ED0D">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序号</w:t>
                  </w:r>
                </w:p>
              </w:tc>
              <w:tc>
                <w:tcPr>
                  <w:tcW w:w="871" w:type="pct"/>
                  <w:tcBorders>
                    <w:tl2br w:val="nil"/>
                    <w:tr2bl w:val="nil"/>
                  </w:tcBorders>
                  <w:vAlign w:val="center"/>
                </w:tcPr>
                <w:p w14:paraId="2AB1C92D">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名称</w:t>
                  </w:r>
                </w:p>
              </w:tc>
              <w:tc>
                <w:tcPr>
                  <w:tcW w:w="651" w:type="pct"/>
                  <w:tcBorders>
                    <w:tl2br w:val="nil"/>
                    <w:tr2bl w:val="nil"/>
                  </w:tcBorders>
                  <w:vAlign w:val="center"/>
                </w:tcPr>
                <w:p w14:paraId="09A17362">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防渗级别</w:t>
                  </w:r>
                </w:p>
              </w:tc>
              <w:tc>
                <w:tcPr>
                  <w:tcW w:w="3010" w:type="pct"/>
                  <w:tcBorders>
                    <w:tl2br w:val="nil"/>
                    <w:tr2bl w:val="nil"/>
                  </w:tcBorders>
                  <w:vAlign w:val="center"/>
                </w:tcPr>
                <w:p w14:paraId="78745BC5">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防渗要求</w:t>
                  </w:r>
                </w:p>
              </w:tc>
            </w:tr>
            <w:tr w14:paraId="5E6A95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088" w:hRule="atLeast"/>
                <w:jc w:val="center"/>
              </w:trPr>
              <w:tc>
                <w:tcPr>
                  <w:tcW w:w="467" w:type="pct"/>
                  <w:tcBorders>
                    <w:tl2br w:val="nil"/>
                    <w:tr2bl w:val="nil"/>
                  </w:tcBorders>
                  <w:vAlign w:val="center"/>
                </w:tcPr>
                <w:p w14:paraId="6542DBA9">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p>
                <w:p w14:paraId="72671C77">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cs="宋体"/>
                      <w:color w:val="auto"/>
                      <w:kern w:val="0"/>
                      <w:sz w:val="21"/>
                      <w:szCs w:val="21"/>
                      <w:lang w:val="zh-CN" w:bidi="zh-CN"/>
                    </w:rPr>
                    <w:t>1</w:t>
                  </w:r>
                </w:p>
              </w:tc>
              <w:tc>
                <w:tcPr>
                  <w:tcW w:w="871" w:type="pct"/>
                  <w:tcBorders>
                    <w:tl2br w:val="nil"/>
                    <w:tr2bl w:val="nil"/>
                  </w:tcBorders>
                  <w:vAlign w:val="center"/>
                </w:tcPr>
                <w:p w14:paraId="1ED770B8">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污水管</w:t>
                  </w:r>
                </w:p>
                <w:p w14:paraId="54090F31">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（埋地）</w:t>
                  </w:r>
                </w:p>
              </w:tc>
              <w:tc>
                <w:tcPr>
                  <w:tcW w:w="651" w:type="pct"/>
                  <w:tcBorders>
                    <w:tl2br w:val="nil"/>
                    <w:tr2bl w:val="nil"/>
                  </w:tcBorders>
                  <w:vAlign w:val="center"/>
                </w:tcPr>
                <w:p w14:paraId="5BC0C72F">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重点防渗区</w:t>
                  </w:r>
                </w:p>
              </w:tc>
              <w:tc>
                <w:tcPr>
                  <w:tcW w:w="3010" w:type="pct"/>
                  <w:tcBorders>
                    <w:tl2br w:val="nil"/>
                    <w:tr2bl w:val="nil"/>
                  </w:tcBorders>
                  <w:vAlign w:val="center"/>
                </w:tcPr>
                <w:p w14:paraId="3E592784">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污水输送全部采用管道输送，管道材料应视输送介质的不同选择合适材质并做表面的防腐、防锈蚀处理，减轻</w:t>
                  </w:r>
                  <w:r>
                    <w:rPr>
                      <w:rFonts w:cs="宋体"/>
                      <w:color w:val="auto"/>
                      <w:kern w:val="0"/>
                      <w:sz w:val="21"/>
                      <w:szCs w:val="21"/>
                      <w:lang w:val="zh-CN" w:bidi="zh-CN"/>
                    </w:rPr>
                    <w:t xml:space="preserve"> </w:t>
                  </w:r>
                  <w:r>
                    <w:rPr>
                      <w:rFonts w:hint="eastAsia" w:cs="宋体"/>
                      <w:color w:val="auto"/>
                      <w:kern w:val="0"/>
                      <w:sz w:val="21"/>
                      <w:szCs w:val="21"/>
                      <w:lang w:val="zh-CN" w:bidi="zh-CN"/>
                    </w:rPr>
                    <w:t>管道腐蚀造成的渗漏，并进行定期检查，防止跑冒漏滴的现象发生。</w:t>
                  </w:r>
                </w:p>
              </w:tc>
            </w:tr>
            <w:tr w14:paraId="3B7ABB5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17" w:hRule="atLeast"/>
                <w:jc w:val="center"/>
              </w:trPr>
              <w:tc>
                <w:tcPr>
                  <w:tcW w:w="467" w:type="pct"/>
                  <w:tcBorders>
                    <w:tl2br w:val="nil"/>
                    <w:tr2bl w:val="nil"/>
                  </w:tcBorders>
                  <w:vAlign w:val="center"/>
                </w:tcPr>
                <w:p w14:paraId="4883C329">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p>
                <w:p w14:paraId="7E591059">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cs="宋体"/>
                      <w:color w:val="auto"/>
                      <w:kern w:val="0"/>
                      <w:sz w:val="21"/>
                      <w:szCs w:val="21"/>
                      <w:lang w:val="zh-CN" w:bidi="zh-CN"/>
                    </w:rPr>
                    <w:t>2</w:t>
                  </w:r>
                </w:p>
              </w:tc>
              <w:tc>
                <w:tcPr>
                  <w:tcW w:w="871" w:type="pct"/>
                  <w:tcBorders>
                    <w:tl2br w:val="nil"/>
                    <w:tr2bl w:val="nil"/>
                  </w:tcBorders>
                  <w:vAlign w:val="center"/>
                </w:tcPr>
                <w:p w14:paraId="58A53618">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污水处理设施</w:t>
                  </w:r>
                </w:p>
              </w:tc>
              <w:tc>
                <w:tcPr>
                  <w:tcW w:w="651" w:type="pct"/>
                  <w:tcBorders>
                    <w:tl2br w:val="nil"/>
                    <w:tr2bl w:val="nil"/>
                  </w:tcBorders>
                  <w:vAlign w:val="center"/>
                </w:tcPr>
                <w:p w14:paraId="31B34841">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重点防渗区</w:t>
                  </w:r>
                </w:p>
              </w:tc>
              <w:tc>
                <w:tcPr>
                  <w:tcW w:w="3010" w:type="pct"/>
                  <w:tcBorders>
                    <w:tl2br w:val="nil"/>
                    <w:tr2bl w:val="nil"/>
                  </w:tcBorders>
                  <w:vAlign w:val="center"/>
                </w:tcPr>
                <w:p w14:paraId="09209717">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池体采用钢筋混凝土加防渗剂的防渗地坪</w:t>
                  </w:r>
                  <w:r>
                    <w:rPr>
                      <w:rFonts w:cs="宋体"/>
                      <w:color w:val="auto"/>
                      <w:kern w:val="0"/>
                      <w:sz w:val="21"/>
                      <w:szCs w:val="21"/>
                      <w:lang w:val="zh-CN" w:bidi="zh-CN"/>
                    </w:rPr>
                    <w:t>+</w:t>
                  </w:r>
                  <w:r>
                    <w:rPr>
                      <w:rFonts w:hint="eastAsia" w:cs="宋体"/>
                      <w:color w:val="auto"/>
                      <w:kern w:val="0"/>
                      <w:sz w:val="21"/>
                      <w:szCs w:val="21"/>
                      <w:lang w:val="zh-CN" w:bidi="zh-CN"/>
                    </w:rPr>
                    <w:t>人工材料（</w:t>
                  </w:r>
                  <w:r>
                    <w:rPr>
                      <w:rFonts w:cs="宋体"/>
                      <w:color w:val="auto"/>
                      <w:kern w:val="0"/>
                      <w:sz w:val="21"/>
                      <w:szCs w:val="21"/>
                      <w:lang w:val="zh-CN" w:bidi="zh-CN"/>
                    </w:rPr>
                    <w:t xml:space="preserve"> HDPE </w:t>
                  </w:r>
                  <w:r>
                    <w:rPr>
                      <w:rFonts w:hint="eastAsia" w:cs="宋体"/>
                      <w:color w:val="auto"/>
                      <w:kern w:val="0"/>
                      <w:sz w:val="21"/>
                      <w:szCs w:val="21"/>
                      <w:lang w:val="zh-CN" w:bidi="zh-CN"/>
                    </w:rPr>
                    <w:t>）</w:t>
                  </w:r>
                  <w:r>
                    <w:rPr>
                      <w:rFonts w:cs="宋体"/>
                      <w:color w:val="auto"/>
                      <w:kern w:val="0"/>
                      <w:sz w:val="21"/>
                      <w:szCs w:val="21"/>
                      <w:lang w:val="zh-CN" w:bidi="zh-CN"/>
                    </w:rPr>
                    <w:t xml:space="preserve"> </w:t>
                  </w:r>
                  <w:r>
                    <w:rPr>
                      <w:rFonts w:hint="eastAsia" w:cs="宋体"/>
                      <w:color w:val="auto"/>
                      <w:kern w:val="0"/>
                      <w:sz w:val="21"/>
                      <w:szCs w:val="21"/>
                      <w:lang w:val="zh-CN" w:bidi="zh-CN"/>
                    </w:rPr>
                    <w:t>防渗层，</w:t>
                  </w:r>
                  <w:r>
                    <w:rPr>
                      <w:rFonts w:cs="宋体"/>
                      <w:color w:val="auto"/>
                      <w:kern w:val="0"/>
                      <w:sz w:val="21"/>
                      <w:szCs w:val="21"/>
                      <w:lang w:val="zh-CN" w:bidi="zh-CN"/>
                    </w:rPr>
                    <w:t xml:space="preserve"> </w:t>
                  </w:r>
                  <w:r>
                    <w:rPr>
                      <w:rFonts w:hint="eastAsia" w:cs="宋体"/>
                      <w:color w:val="auto"/>
                      <w:kern w:val="0"/>
                      <w:sz w:val="21"/>
                      <w:szCs w:val="21"/>
                      <w:lang w:val="zh-CN" w:bidi="zh-CN"/>
                    </w:rPr>
                    <w:t>确保等效黏土防渗层</w:t>
                  </w:r>
                  <w:r>
                    <w:rPr>
                      <w:rFonts w:cs="宋体"/>
                      <w:color w:val="auto"/>
                      <w:kern w:val="0"/>
                      <w:sz w:val="21"/>
                      <w:szCs w:val="21"/>
                      <w:lang w:val="zh-CN" w:bidi="zh-CN"/>
                    </w:rPr>
                    <w:t xml:space="preserve"> Mb≥6.0m </w:t>
                  </w:r>
                  <w:r>
                    <w:rPr>
                      <w:rFonts w:hint="eastAsia" w:cs="宋体"/>
                      <w:color w:val="auto"/>
                      <w:kern w:val="0"/>
                      <w:sz w:val="21"/>
                      <w:szCs w:val="21"/>
                      <w:lang w:val="zh-CN" w:bidi="zh-CN"/>
                    </w:rPr>
                    <w:t>，</w:t>
                  </w:r>
                  <w:r>
                    <w:rPr>
                      <w:rFonts w:cs="宋体"/>
                      <w:color w:val="auto"/>
                      <w:kern w:val="0"/>
                      <w:sz w:val="21"/>
                      <w:szCs w:val="21"/>
                      <w:lang w:val="zh-CN" w:bidi="zh-CN"/>
                    </w:rPr>
                    <w:t xml:space="preserve"> K≤1×10</w:t>
                  </w:r>
                  <w:r>
                    <w:rPr>
                      <w:rFonts w:cs="宋体"/>
                      <w:color w:val="auto"/>
                      <w:kern w:val="0"/>
                      <w:sz w:val="21"/>
                      <w:szCs w:val="21"/>
                      <w:vertAlign w:val="superscript"/>
                      <w:lang w:val="zh-CN" w:bidi="zh-CN"/>
                    </w:rPr>
                    <w:t>-7</w:t>
                  </w:r>
                  <w:r>
                    <w:rPr>
                      <w:rFonts w:cs="宋体"/>
                      <w:color w:val="auto"/>
                      <w:kern w:val="0"/>
                      <w:sz w:val="21"/>
                      <w:szCs w:val="21"/>
                      <w:lang w:val="zh-CN" w:bidi="zh-CN"/>
                    </w:rPr>
                    <w:t>cm/s</w:t>
                  </w:r>
                  <w:r>
                    <w:rPr>
                      <w:rFonts w:hint="eastAsia" w:cs="宋体"/>
                      <w:color w:val="auto"/>
                      <w:kern w:val="0"/>
                      <w:sz w:val="21"/>
                      <w:szCs w:val="21"/>
                      <w:lang w:val="zh-CN" w:bidi="zh-CN"/>
                    </w:rPr>
                    <w:t>。</w:t>
                  </w:r>
                </w:p>
              </w:tc>
            </w:tr>
            <w:tr w14:paraId="5AD5E0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17" w:hRule="atLeast"/>
                <w:jc w:val="center"/>
              </w:trPr>
              <w:tc>
                <w:tcPr>
                  <w:tcW w:w="467" w:type="pct"/>
                  <w:tcBorders>
                    <w:tl2br w:val="nil"/>
                    <w:tr2bl w:val="nil"/>
                  </w:tcBorders>
                  <w:vAlign w:val="center"/>
                </w:tcPr>
                <w:p w14:paraId="15C3EFE5">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cs="宋体"/>
                      <w:color w:val="auto"/>
                      <w:kern w:val="0"/>
                      <w:sz w:val="21"/>
                      <w:szCs w:val="21"/>
                      <w:lang w:val="zh-CN" w:bidi="zh-CN"/>
                    </w:rPr>
                    <w:t>3</w:t>
                  </w:r>
                </w:p>
              </w:tc>
              <w:tc>
                <w:tcPr>
                  <w:tcW w:w="871" w:type="pct"/>
                  <w:tcBorders>
                    <w:tl2br w:val="nil"/>
                    <w:tr2bl w:val="nil"/>
                  </w:tcBorders>
                  <w:vAlign w:val="center"/>
                </w:tcPr>
                <w:p w14:paraId="45DF1909">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排放管</w:t>
                  </w:r>
                </w:p>
              </w:tc>
              <w:tc>
                <w:tcPr>
                  <w:tcW w:w="651" w:type="pct"/>
                  <w:tcBorders>
                    <w:tl2br w:val="nil"/>
                    <w:tr2bl w:val="nil"/>
                  </w:tcBorders>
                  <w:vAlign w:val="center"/>
                </w:tcPr>
                <w:p w14:paraId="620784F6">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重点防渗区</w:t>
                  </w:r>
                </w:p>
              </w:tc>
              <w:tc>
                <w:tcPr>
                  <w:tcW w:w="3010" w:type="pct"/>
                  <w:tcBorders>
                    <w:tl2br w:val="nil"/>
                    <w:tr2bl w:val="nil"/>
                  </w:tcBorders>
                  <w:vAlign w:val="center"/>
                </w:tcPr>
                <w:p w14:paraId="30AB5EF2">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池体采用钢筋混凝土加防渗剂的防渗地坪</w:t>
                  </w:r>
                  <w:r>
                    <w:rPr>
                      <w:rFonts w:cs="宋体"/>
                      <w:color w:val="auto"/>
                      <w:kern w:val="0"/>
                      <w:sz w:val="21"/>
                      <w:szCs w:val="21"/>
                      <w:lang w:val="zh-CN" w:bidi="zh-CN"/>
                    </w:rPr>
                    <w:t>+</w:t>
                  </w:r>
                  <w:r>
                    <w:rPr>
                      <w:rFonts w:hint="eastAsia" w:cs="宋体"/>
                      <w:color w:val="auto"/>
                      <w:kern w:val="0"/>
                      <w:sz w:val="21"/>
                      <w:szCs w:val="21"/>
                      <w:lang w:val="zh-CN" w:bidi="zh-CN"/>
                    </w:rPr>
                    <w:t>人工材料（</w:t>
                  </w:r>
                  <w:r>
                    <w:rPr>
                      <w:rFonts w:cs="宋体"/>
                      <w:color w:val="auto"/>
                      <w:kern w:val="0"/>
                      <w:sz w:val="21"/>
                      <w:szCs w:val="21"/>
                      <w:lang w:val="zh-CN" w:bidi="zh-CN"/>
                    </w:rPr>
                    <w:t xml:space="preserve"> HDPE </w:t>
                  </w:r>
                  <w:r>
                    <w:rPr>
                      <w:rFonts w:hint="eastAsia" w:cs="宋体"/>
                      <w:color w:val="auto"/>
                      <w:kern w:val="0"/>
                      <w:sz w:val="21"/>
                      <w:szCs w:val="21"/>
                      <w:lang w:val="zh-CN" w:bidi="zh-CN"/>
                    </w:rPr>
                    <w:t>）</w:t>
                  </w:r>
                  <w:r>
                    <w:rPr>
                      <w:rFonts w:cs="宋体"/>
                      <w:color w:val="auto"/>
                      <w:kern w:val="0"/>
                      <w:sz w:val="21"/>
                      <w:szCs w:val="21"/>
                      <w:lang w:val="zh-CN" w:bidi="zh-CN"/>
                    </w:rPr>
                    <w:t xml:space="preserve"> </w:t>
                  </w:r>
                  <w:r>
                    <w:rPr>
                      <w:rFonts w:hint="eastAsia" w:cs="宋体"/>
                      <w:color w:val="auto"/>
                      <w:kern w:val="0"/>
                      <w:sz w:val="21"/>
                      <w:szCs w:val="21"/>
                      <w:lang w:val="zh-CN" w:bidi="zh-CN"/>
                    </w:rPr>
                    <w:t>防渗层，</w:t>
                  </w:r>
                  <w:r>
                    <w:rPr>
                      <w:rFonts w:cs="宋体"/>
                      <w:color w:val="auto"/>
                      <w:kern w:val="0"/>
                      <w:sz w:val="21"/>
                      <w:szCs w:val="21"/>
                      <w:lang w:val="zh-CN" w:bidi="zh-CN"/>
                    </w:rPr>
                    <w:t xml:space="preserve"> </w:t>
                  </w:r>
                  <w:r>
                    <w:rPr>
                      <w:rFonts w:hint="eastAsia" w:cs="宋体"/>
                      <w:color w:val="auto"/>
                      <w:kern w:val="0"/>
                      <w:sz w:val="21"/>
                      <w:szCs w:val="21"/>
                      <w:lang w:val="zh-CN" w:bidi="zh-CN"/>
                    </w:rPr>
                    <w:t>确保等效黏土防渗层</w:t>
                  </w:r>
                  <w:r>
                    <w:rPr>
                      <w:rFonts w:cs="宋体"/>
                      <w:color w:val="auto"/>
                      <w:kern w:val="0"/>
                      <w:sz w:val="21"/>
                      <w:szCs w:val="21"/>
                      <w:lang w:val="zh-CN" w:bidi="zh-CN"/>
                    </w:rPr>
                    <w:t xml:space="preserve"> Mb≥6.0m </w:t>
                  </w:r>
                  <w:r>
                    <w:rPr>
                      <w:rFonts w:hint="eastAsia" w:cs="宋体"/>
                      <w:color w:val="auto"/>
                      <w:kern w:val="0"/>
                      <w:sz w:val="21"/>
                      <w:szCs w:val="21"/>
                      <w:lang w:val="zh-CN" w:bidi="zh-CN"/>
                    </w:rPr>
                    <w:t>，</w:t>
                  </w:r>
                  <w:r>
                    <w:rPr>
                      <w:rFonts w:cs="宋体"/>
                      <w:color w:val="auto"/>
                      <w:kern w:val="0"/>
                      <w:sz w:val="21"/>
                      <w:szCs w:val="21"/>
                      <w:lang w:val="zh-CN" w:bidi="zh-CN"/>
                    </w:rPr>
                    <w:t xml:space="preserve"> K≤1×10</w:t>
                  </w:r>
                  <w:r>
                    <w:rPr>
                      <w:rFonts w:cs="宋体"/>
                      <w:color w:val="auto"/>
                      <w:kern w:val="0"/>
                      <w:sz w:val="21"/>
                      <w:szCs w:val="21"/>
                      <w:vertAlign w:val="superscript"/>
                      <w:lang w:val="zh-CN" w:bidi="zh-CN"/>
                    </w:rPr>
                    <w:t>-7</w:t>
                  </w:r>
                  <w:r>
                    <w:rPr>
                      <w:rFonts w:cs="宋体"/>
                      <w:color w:val="auto"/>
                      <w:kern w:val="0"/>
                      <w:sz w:val="21"/>
                      <w:szCs w:val="21"/>
                      <w:vertAlign w:val="baseline"/>
                      <w:lang w:val="zh-CN" w:bidi="zh-CN"/>
                    </w:rPr>
                    <w:t>c</w:t>
                  </w:r>
                  <w:r>
                    <w:rPr>
                      <w:rFonts w:cs="宋体"/>
                      <w:color w:val="auto"/>
                      <w:kern w:val="0"/>
                      <w:sz w:val="21"/>
                      <w:szCs w:val="21"/>
                      <w:lang w:val="zh-CN" w:bidi="zh-CN"/>
                    </w:rPr>
                    <w:t>m/s</w:t>
                  </w:r>
                  <w:r>
                    <w:rPr>
                      <w:rFonts w:hint="eastAsia" w:cs="宋体"/>
                      <w:color w:val="auto"/>
                      <w:kern w:val="0"/>
                      <w:sz w:val="21"/>
                      <w:szCs w:val="21"/>
                      <w:lang w:val="zh-CN" w:bidi="zh-CN"/>
                    </w:rPr>
                    <w:t>。</w:t>
                  </w:r>
                </w:p>
              </w:tc>
            </w:tr>
            <w:tr w14:paraId="748D48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17" w:hRule="atLeast"/>
                <w:jc w:val="center"/>
              </w:trPr>
              <w:tc>
                <w:tcPr>
                  <w:tcW w:w="467" w:type="pct"/>
                  <w:tcBorders>
                    <w:tl2br w:val="nil"/>
                    <w:tr2bl w:val="nil"/>
                  </w:tcBorders>
                  <w:vAlign w:val="center"/>
                </w:tcPr>
                <w:p w14:paraId="6A6D2232">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hint="eastAsia" w:eastAsia="宋体" w:cs="宋体"/>
                      <w:color w:val="auto"/>
                      <w:kern w:val="0"/>
                      <w:sz w:val="21"/>
                      <w:szCs w:val="21"/>
                      <w:lang w:val="en-US" w:eastAsia="zh-CN" w:bidi="zh-CN"/>
                    </w:rPr>
                  </w:pPr>
                  <w:r>
                    <w:rPr>
                      <w:rFonts w:hint="eastAsia" w:cs="宋体"/>
                      <w:color w:val="auto"/>
                      <w:kern w:val="0"/>
                      <w:sz w:val="21"/>
                      <w:szCs w:val="21"/>
                      <w:lang w:val="en-US" w:eastAsia="zh-CN" w:bidi="zh-CN"/>
                    </w:rPr>
                    <w:t>4</w:t>
                  </w:r>
                </w:p>
              </w:tc>
              <w:tc>
                <w:tcPr>
                  <w:tcW w:w="871" w:type="pct"/>
                  <w:tcBorders>
                    <w:tl2br w:val="nil"/>
                    <w:tr2bl w:val="nil"/>
                  </w:tcBorders>
                  <w:vAlign w:val="center"/>
                </w:tcPr>
                <w:p w14:paraId="683E0E25">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hint="default" w:eastAsia="宋体" w:cs="宋体"/>
                      <w:color w:val="auto"/>
                      <w:kern w:val="0"/>
                      <w:sz w:val="21"/>
                      <w:szCs w:val="21"/>
                      <w:lang w:val="en-US" w:eastAsia="zh-CN" w:bidi="zh-CN"/>
                    </w:rPr>
                  </w:pPr>
                  <w:r>
                    <w:rPr>
                      <w:rFonts w:hint="eastAsia" w:cs="宋体"/>
                      <w:color w:val="auto"/>
                      <w:kern w:val="0"/>
                      <w:sz w:val="21"/>
                      <w:szCs w:val="21"/>
                      <w:lang w:val="en-US" w:eastAsia="zh-CN" w:bidi="zh-CN"/>
                    </w:rPr>
                    <w:t>危废暂存间</w:t>
                  </w:r>
                </w:p>
              </w:tc>
              <w:tc>
                <w:tcPr>
                  <w:tcW w:w="651" w:type="pct"/>
                  <w:tcBorders>
                    <w:tl2br w:val="nil"/>
                    <w:tr2bl w:val="nil"/>
                  </w:tcBorders>
                  <w:vAlign w:val="center"/>
                </w:tcPr>
                <w:p w14:paraId="552C17B7">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hint="eastAsia" w:cs="宋体"/>
                      <w:color w:val="auto"/>
                      <w:kern w:val="0"/>
                      <w:sz w:val="21"/>
                      <w:szCs w:val="21"/>
                      <w:lang w:val="zh-CN" w:bidi="zh-CN"/>
                    </w:rPr>
                  </w:pPr>
                  <w:r>
                    <w:rPr>
                      <w:rFonts w:hint="eastAsia" w:cs="宋体"/>
                      <w:color w:val="auto"/>
                      <w:kern w:val="0"/>
                      <w:sz w:val="21"/>
                      <w:szCs w:val="21"/>
                      <w:lang w:val="zh-CN" w:bidi="zh-CN"/>
                    </w:rPr>
                    <w:t>重点防渗区</w:t>
                  </w:r>
                </w:p>
              </w:tc>
              <w:tc>
                <w:tcPr>
                  <w:tcW w:w="3010" w:type="pct"/>
                  <w:tcBorders>
                    <w:tl2br w:val="nil"/>
                    <w:tr2bl w:val="nil"/>
                  </w:tcBorders>
                  <w:vAlign w:val="center"/>
                </w:tcPr>
                <w:p w14:paraId="19521C4F">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hint="eastAsia" w:cs="宋体"/>
                      <w:color w:val="auto"/>
                      <w:kern w:val="0"/>
                      <w:sz w:val="21"/>
                      <w:szCs w:val="21"/>
                      <w:lang w:val="zh-CN" w:bidi="zh-CN"/>
                    </w:rPr>
                  </w:pPr>
                  <w:r>
                    <w:rPr>
                      <w:rFonts w:hint="eastAsia" w:cs="宋体"/>
                      <w:color w:val="auto"/>
                      <w:kern w:val="0"/>
                      <w:sz w:val="21"/>
                      <w:szCs w:val="21"/>
                      <w:lang w:val="zh-CN" w:bidi="zh-CN"/>
                    </w:rPr>
                    <w:t>地面采取钢筋混凝土并涂覆防渗涂料</w:t>
                  </w:r>
                  <w:r>
                    <w:rPr>
                      <w:rFonts w:hint="eastAsia" w:cs="宋体"/>
                      <w:color w:val="auto"/>
                      <w:kern w:val="0"/>
                      <w:sz w:val="21"/>
                      <w:szCs w:val="21"/>
                      <w:lang w:val="zh-CN" w:eastAsia="zh-CN" w:bidi="zh-CN"/>
                    </w:rPr>
                    <w:t>，</w:t>
                  </w:r>
                  <w:r>
                    <w:rPr>
                      <w:rFonts w:hint="eastAsia" w:cs="宋体"/>
                      <w:color w:val="auto"/>
                      <w:kern w:val="0"/>
                      <w:sz w:val="21"/>
                      <w:szCs w:val="21"/>
                      <w:lang w:val="en-US" w:eastAsia="zh-CN" w:bidi="zh-CN"/>
                    </w:rPr>
                    <w:t>确保</w:t>
                  </w:r>
                  <w:r>
                    <w:rPr>
                      <w:rFonts w:hint="eastAsia" w:cs="宋体"/>
                      <w:color w:val="auto"/>
                      <w:kern w:val="0"/>
                      <w:sz w:val="21"/>
                      <w:szCs w:val="21"/>
                      <w:lang w:val="zh-CN" w:bidi="zh-CN"/>
                    </w:rPr>
                    <w:t>等效黏土防渗层</w:t>
                  </w:r>
                  <w:r>
                    <w:rPr>
                      <w:rFonts w:cs="宋体"/>
                      <w:color w:val="auto"/>
                      <w:kern w:val="0"/>
                      <w:sz w:val="21"/>
                      <w:szCs w:val="21"/>
                      <w:lang w:val="zh-CN" w:bidi="zh-CN"/>
                    </w:rPr>
                    <w:t>Mb≥6.0m</w:t>
                  </w:r>
                  <w:r>
                    <w:rPr>
                      <w:rFonts w:hint="eastAsia" w:cs="宋体"/>
                      <w:color w:val="auto"/>
                      <w:kern w:val="0"/>
                      <w:sz w:val="21"/>
                      <w:szCs w:val="21"/>
                      <w:lang w:val="zh-CN" w:bidi="zh-CN"/>
                    </w:rPr>
                    <w:t>，</w:t>
                  </w:r>
                  <w:r>
                    <w:rPr>
                      <w:rFonts w:cs="宋体"/>
                      <w:color w:val="auto"/>
                      <w:kern w:val="0"/>
                      <w:sz w:val="21"/>
                      <w:szCs w:val="21"/>
                      <w:lang w:val="zh-CN" w:bidi="zh-CN"/>
                    </w:rPr>
                    <w:t xml:space="preserve"> K≤1×10</w:t>
                  </w:r>
                  <w:r>
                    <w:rPr>
                      <w:rFonts w:cs="宋体"/>
                      <w:color w:val="auto"/>
                      <w:kern w:val="0"/>
                      <w:sz w:val="21"/>
                      <w:szCs w:val="21"/>
                      <w:vertAlign w:val="superscript"/>
                      <w:lang w:val="zh-CN" w:bidi="zh-CN"/>
                    </w:rPr>
                    <w:t>-7</w:t>
                  </w:r>
                  <w:r>
                    <w:rPr>
                      <w:rFonts w:cs="宋体"/>
                      <w:color w:val="auto"/>
                      <w:kern w:val="0"/>
                      <w:sz w:val="21"/>
                      <w:szCs w:val="21"/>
                      <w:lang w:val="zh-CN" w:bidi="zh-CN"/>
                    </w:rPr>
                    <w:t>cm/s</w:t>
                  </w:r>
                  <w:r>
                    <w:rPr>
                      <w:rFonts w:hint="eastAsia" w:cs="宋体"/>
                      <w:color w:val="auto"/>
                      <w:kern w:val="0"/>
                      <w:sz w:val="21"/>
                      <w:szCs w:val="21"/>
                      <w:lang w:val="zh-CN" w:bidi="zh-CN"/>
                    </w:rPr>
                    <w:t>；</w:t>
                  </w:r>
                </w:p>
              </w:tc>
            </w:tr>
            <w:tr w14:paraId="228485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817" w:hRule="atLeast"/>
                <w:jc w:val="center"/>
              </w:trPr>
              <w:tc>
                <w:tcPr>
                  <w:tcW w:w="467" w:type="pct"/>
                  <w:tcBorders>
                    <w:tl2br w:val="nil"/>
                    <w:tr2bl w:val="nil"/>
                  </w:tcBorders>
                  <w:vAlign w:val="center"/>
                </w:tcPr>
                <w:p w14:paraId="204F331E">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hint="default" w:cs="宋体"/>
                      <w:color w:val="auto"/>
                      <w:kern w:val="0"/>
                      <w:sz w:val="21"/>
                      <w:szCs w:val="21"/>
                      <w:lang w:val="en-US" w:eastAsia="zh-CN" w:bidi="zh-CN"/>
                    </w:rPr>
                  </w:pPr>
                  <w:r>
                    <w:rPr>
                      <w:rFonts w:hint="eastAsia" w:cs="宋体"/>
                      <w:color w:val="auto"/>
                      <w:kern w:val="0"/>
                      <w:sz w:val="21"/>
                      <w:szCs w:val="21"/>
                      <w:lang w:val="en-US" w:eastAsia="zh-CN" w:bidi="zh-CN"/>
                    </w:rPr>
                    <w:t>5</w:t>
                  </w:r>
                </w:p>
              </w:tc>
              <w:tc>
                <w:tcPr>
                  <w:tcW w:w="871" w:type="pct"/>
                  <w:tcBorders>
                    <w:tl2br w:val="nil"/>
                    <w:tr2bl w:val="nil"/>
                  </w:tcBorders>
                  <w:vAlign w:val="center"/>
                </w:tcPr>
                <w:p w14:paraId="7F85A47F">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hint="default" w:cs="宋体"/>
                      <w:color w:val="auto"/>
                      <w:kern w:val="0"/>
                      <w:sz w:val="21"/>
                      <w:szCs w:val="21"/>
                      <w:lang w:val="en-US" w:eastAsia="zh-CN" w:bidi="zh-CN"/>
                    </w:rPr>
                  </w:pPr>
                  <w:r>
                    <w:rPr>
                      <w:rFonts w:hint="eastAsia" w:cs="宋体"/>
                      <w:color w:val="auto"/>
                      <w:kern w:val="0"/>
                      <w:sz w:val="21"/>
                      <w:szCs w:val="21"/>
                      <w:lang w:val="en-US" w:eastAsia="zh-CN" w:bidi="zh-CN"/>
                    </w:rPr>
                    <w:t>柴油发电机房</w:t>
                  </w:r>
                </w:p>
              </w:tc>
              <w:tc>
                <w:tcPr>
                  <w:tcW w:w="1074" w:type="dxa"/>
                  <w:tcBorders>
                    <w:tl2br w:val="nil"/>
                    <w:tr2bl w:val="nil"/>
                  </w:tcBorders>
                  <w:vAlign w:val="center"/>
                </w:tcPr>
                <w:p w14:paraId="7267258C">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leftChars="0" w:right="0" w:rightChars="0" w:firstLine="0" w:firstLineChars="0"/>
                    <w:jc w:val="center"/>
                    <w:rPr>
                      <w:rFonts w:hint="eastAsia" w:cs="宋体"/>
                      <w:color w:val="auto"/>
                      <w:kern w:val="0"/>
                      <w:sz w:val="21"/>
                      <w:szCs w:val="21"/>
                      <w:lang w:val="zh-CN" w:bidi="zh-CN"/>
                    </w:rPr>
                  </w:pPr>
                  <w:r>
                    <w:rPr>
                      <w:rFonts w:hint="eastAsia" w:cs="宋体"/>
                      <w:color w:val="auto"/>
                      <w:kern w:val="0"/>
                      <w:sz w:val="21"/>
                      <w:szCs w:val="21"/>
                      <w:lang w:val="zh-CN" w:bidi="zh-CN"/>
                    </w:rPr>
                    <w:t>重点防渗区</w:t>
                  </w:r>
                </w:p>
              </w:tc>
              <w:tc>
                <w:tcPr>
                  <w:tcW w:w="4969" w:type="dxa"/>
                  <w:tcBorders>
                    <w:tl2br w:val="nil"/>
                    <w:tr2bl w:val="nil"/>
                  </w:tcBorders>
                  <w:vAlign w:val="center"/>
                </w:tcPr>
                <w:p w14:paraId="6C427044">
                  <w:pPr>
                    <w:keepNext w:val="0"/>
                    <w:keepLines w:val="0"/>
                    <w:pageBreakBefore w:val="0"/>
                    <w:widowControl w:val="0"/>
                    <w:kinsoku/>
                    <w:wordWrap/>
                    <w:overflowPunct w:val="0"/>
                    <w:topLinePunct w:val="0"/>
                    <w:autoSpaceDE w:val="0"/>
                    <w:autoSpaceDN w:val="0"/>
                    <w:bidi w:val="0"/>
                    <w:snapToGrid w:val="0"/>
                    <w:spacing w:before="0" w:after="0" w:line="240" w:lineRule="auto"/>
                    <w:ind w:left="0" w:leftChars="0" w:right="0" w:rightChars="0" w:firstLine="0" w:firstLineChars="0"/>
                    <w:jc w:val="center"/>
                    <w:rPr>
                      <w:rFonts w:hint="eastAsia" w:cs="宋体"/>
                      <w:color w:val="auto"/>
                      <w:kern w:val="0"/>
                      <w:sz w:val="21"/>
                      <w:szCs w:val="21"/>
                      <w:lang w:val="zh-CN" w:bidi="zh-CN"/>
                    </w:rPr>
                  </w:pPr>
                  <w:r>
                    <w:rPr>
                      <w:rFonts w:hint="eastAsia" w:cs="宋体"/>
                      <w:color w:val="auto"/>
                      <w:kern w:val="0"/>
                      <w:sz w:val="21"/>
                      <w:szCs w:val="21"/>
                      <w:lang w:val="en-US" w:bidi="zh-CN"/>
                    </w:rPr>
                    <w:t>设置围堰，</w:t>
                  </w:r>
                  <w:r>
                    <w:rPr>
                      <w:rFonts w:hint="eastAsia" w:cs="宋体"/>
                      <w:color w:val="auto"/>
                      <w:kern w:val="0"/>
                      <w:sz w:val="21"/>
                      <w:szCs w:val="21"/>
                      <w:lang w:val="zh-CN" w:bidi="zh-CN"/>
                    </w:rPr>
                    <w:t>地面采取钢筋混凝土并涂覆防渗涂料</w:t>
                  </w:r>
                  <w:r>
                    <w:rPr>
                      <w:rFonts w:hint="eastAsia" w:cs="宋体"/>
                      <w:color w:val="auto"/>
                      <w:kern w:val="0"/>
                      <w:sz w:val="21"/>
                      <w:szCs w:val="21"/>
                      <w:lang w:val="zh-CN" w:eastAsia="zh-CN" w:bidi="zh-CN"/>
                    </w:rPr>
                    <w:t>，</w:t>
                  </w:r>
                  <w:r>
                    <w:rPr>
                      <w:rFonts w:hint="eastAsia" w:cs="宋体"/>
                      <w:color w:val="auto"/>
                      <w:kern w:val="0"/>
                      <w:sz w:val="21"/>
                      <w:szCs w:val="21"/>
                      <w:lang w:val="en-US" w:eastAsia="zh-CN" w:bidi="zh-CN"/>
                    </w:rPr>
                    <w:t>确保</w:t>
                  </w:r>
                  <w:r>
                    <w:rPr>
                      <w:rFonts w:hint="eastAsia" w:cs="宋体"/>
                      <w:color w:val="auto"/>
                      <w:kern w:val="0"/>
                      <w:sz w:val="21"/>
                      <w:szCs w:val="21"/>
                      <w:lang w:val="zh-CN" w:bidi="zh-CN"/>
                    </w:rPr>
                    <w:t>等效黏土防渗层</w:t>
                  </w:r>
                  <w:r>
                    <w:rPr>
                      <w:rFonts w:cs="宋体"/>
                      <w:color w:val="auto"/>
                      <w:kern w:val="0"/>
                      <w:sz w:val="21"/>
                      <w:szCs w:val="21"/>
                      <w:lang w:val="zh-CN" w:bidi="zh-CN"/>
                    </w:rPr>
                    <w:t>Mb≥6.0m</w:t>
                  </w:r>
                  <w:r>
                    <w:rPr>
                      <w:rFonts w:hint="eastAsia" w:cs="宋体"/>
                      <w:color w:val="auto"/>
                      <w:kern w:val="0"/>
                      <w:sz w:val="21"/>
                      <w:szCs w:val="21"/>
                      <w:lang w:val="zh-CN" w:bidi="zh-CN"/>
                    </w:rPr>
                    <w:t>，</w:t>
                  </w:r>
                  <w:r>
                    <w:rPr>
                      <w:rFonts w:cs="宋体"/>
                      <w:color w:val="auto"/>
                      <w:kern w:val="0"/>
                      <w:sz w:val="21"/>
                      <w:szCs w:val="21"/>
                      <w:lang w:val="zh-CN" w:bidi="zh-CN"/>
                    </w:rPr>
                    <w:t xml:space="preserve"> K≤1×10</w:t>
                  </w:r>
                  <w:r>
                    <w:rPr>
                      <w:rFonts w:cs="宋体"/>
                      <w:color w:val="auto"/>
                      <w:kern w:val="0"/>
                      <w:sz w:val="21"/>
                      <w:szCs w:val="21"/>
                      <w:vertAlign w:val="superscript"/>
                      <w:lang w:val="zh-CN" w:bidi="zh-CN"/>
                    </w:rPr>
                    <w:t>-7</w:t>
                  </w:r>
                  <w:r>
                    <w:rPr>
                      <w:rFonts w:cs="宋体"/>
                      <w:color w:val="auto"/>
                      <w:kern w:val="0"/>
                      <w:sz w:val="21"/>
                      <w:szCs w:val="21"/>
                      <w:lang w:val="zh-CN" w:bidi="zh-CN"/>
                    </w:rPr>
                    <w:t>cm/s</w:t>
                  </w:r>
                  <w:r>
                    <w:rPr>
                      <w:rFonts w:hint="eastAsia" w:cs="宋体"/>
                      <w:color w:val="auto"/>
                      <w:kern w:val="0"/>
                      <w:sz w:val="21"/>
                      <w:szCs w:val="21"/>
                      <w:lang w:val="zh-CN" w:bidi="zh-CN"/>
                    </w:rPr>
                    <w:t>；</w:t>
                  </w:r>
                </w:p>
              </w:tc>
            </w:tr>
            <w:tr w14:paraId="518E71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45" w:hRule="atLeast"/>
                <w:jc w:val="center"/>
              </w:trPr>
              <w:tc>
                <w:tcPr>
                  <w:tcW w:w="467" w:type="pct"/>
                  <w:tcBorders>
                    <w:tl2br w:val="nil"/>
                    <w:tr2bl w:val="nil"/>
                  </w:tcBorders>
                  <w:vAlign w:val="center"/>
                </w:tcPr>
                <w:p w14:paraId="256B3DFC">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hint="eastAsia" w:eastAsia="宋体" w:cs="宋体"/>
                      <w:color w:val="auto"/>
                      <w:kern w:val="0"/>
                      <w:sz w:val="21"/>
                      <w:szCs w:val="21"/>
                      <w:lang w:val="zh-CN" w:eastAsia="zh-CN" w:bidi="zh-CN"/>
                    </w:rPr>
                  </w:pPr>
                  <w:r>
                    <w:rPr>
                      <w:rFonts w:hint="eastAsia" w:cs="宋体"/>
                      <w:color w:val="auto"/>
                      <w:kern w:val="0"/>
                      <w:sz w:val="21"/>
                      <w:szCs w:val="21"/>
                      <w:lang w:val="en-US" w:eastAsia="zh-CN" w:bidi="zh-CN"/>
                    </w:rPr>
                    <w:t>6</w:t>
                  </w:r>
                </w:p>
              </w:tc>
              <w:tc>
                <w:tcPr>
                  <w:tcW w:w="871" w:type="pct"/>
                  <w:tcBorders>
                    <w:tl2br w:val="nil"/>
                    <w:tr2bl w:val="nil"/>
                  </w:tcBorders>
                  <w:vAlign w:val="center"/>
                </w:tcPr>
                <w:p w14:paraId="7719C9E2">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储药间</w:t>
                  </w:r>
                </w:p>
              </w:tc>
              <w:tc>
                <w:tcPr>
                  <w:tcW w:w="651" w:type="pct"/>
                  <w:tcBorders>
                    <w:tl2br w:val="nil"/>
                    <w:tr2bl w:val="nil"/>
                  </w:tcBorders>
                  <w:vAlign w:val="center"/>
                </w:tcPr>
                <w:p w14:paraId="71DBB532">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一般防渗区</w:t>
                  </w:r>
                </w:p>
              </w:tc>
              <w:tc>
                <w:tcPr>
                  <w:tcW w:w="3010" w:type="pct"/>
                  <w:tcBorders>
                    <w:tl2br w:val="nil"/>
                    <w:tr2bl w:val="nil"/>
                  </w:tcBorders>
                  <w:vAlign w:val="center"/>
                </w:tcPr>
                <w:p w14:paraId="7B2AEE73">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地面采取钢筋混凝土并涂覆防渗涂料，可使一般防渗区域的等效黏土防渗层</w:t>
                  </w:r>
                  <w:r>
                    <w:rPr>
                      <w:rFonts w:cs="宋体"/>
                      <w:color w:val="auto"/>
                      <w:kern w:val="0"/>
                      <w:sz w:val="21"/>
                      <w:szCs w:val="21"/>
                      <w:lang w:val="zh-CN" w:bidi="zh-CN"/>
                    </w:rPr>
                    <w:t xml:space="preserve"> Mb≥1.5m</w:t>
                  </w:r>
                  <w:r>
                    <w:rPr>
                      <w:rFonts w:hint="eastAsia" w:cs="宋体"/>
                      <w:color w:val="auto"/>
                      <w:kern w:val="0"/>
                      <w:sz w:val="21"/>
                      <w:szCs w:val="21"/>
                      <w:lang w:val="zh-CN" w:bidi="zh-CN"/>
                    </w:rPr>
                    <w:t>，</w:t>
                  </w:r>
                  <w:r>
                    <w:rPr>
                      <w:rFonts w:cs="宋体"/>
                      <w:color w:val="auto"/>
                      <w:kern w:val="0"/>
                      <w:sz w:val="21"/>
                      <w:szCs w:val="21"/>
                      <w:lang w:val="zh-CN" w:bidi="zh-CN"/>
                    </w:rPr>
                    <w:t>K≤1×10</w:t>
                  </w:r>
                  <w:r>
                    <w:rPr>
                      <w:rFonts w:cs="宋体"/>
                      <w:color w:val="auto"/>
                      <w:kern w:val="0"/>
                      <w:sz w:val="21"/>
                      <w:szCs w:val="21"/>
                      <w:vertAlign w:val="superscript"/>
                      <w:lang w:val="zh-CN" w:bidi="zh-CN"/>
                    </w:rPr>
                    <w:t>-7</w:t>
                  </w:r>
                  <w:r>
                    <w:rPr>
                      <w:rFonts w:cs="宋体"/>
                      <w:color w:val="auto"/>
                      <w:kern w:val="0"/>
                      <w:sz w:val="21"/>
                      <w:szCs w:val="21"/>
                      <w:lang w:val="zh-CN" w:bidi="zh-CN"/>
                    </w:rPr>
                    <w:t>cm/s</w:t>
                  </w:r>
                  <w:r>
                    <w:rPr>
                      <w:rFonts w:hint="eastAsia" w:cs="宋体"/>
                      <w:color w:val="auto"/>
                      <w:kern w:val="0"/>
                      <w:sz w:val="21"/>
                      <w:szCs w:val="21"/>
                      <w:lang w:val="zh-CN" w:bidi="zh-CN"/>
                    </w:rPr>
                    <w:t>。</w:t>
                  </w:r>
                </w:p>
              </w:tc>
            </w:tr>
            <w:tr w14:paraId="3079656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45" w:hRule="atLeast"/>
                <w:jc w:val="center"/>
              </w:trPr>
              <w:tc>
                <w:tcPr>
                  <w:tcW w:w="467" w:type="pct"/>
                  <w:tcBorders>
                    <w:tl2br w:val="nil"/>
                    <w:tr2bl w:val="nil"/>
                  </w:tcBorders>
                  <w:vAlign w:val="center"/>
                </w:tcPr>
                <w:p w14:paraId="6D8BC517">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en-US" w:bidi="zh-CN"/>
                    </w:rPr>
                    <w:t>7</w:t>
                  </w:r>
                </w:p>
              </w:tc>
              <w:tc>
                <w:tcPr>
                  <w:tcW w:w="871" w:type="pct"/>
                  <w:tcBorders>
                    <w:tl2br w:val="nil"/>
                    <w:tr2bl w:val="nil"/>
                  </w:tcBorders>
                  <w:vAlign w:val="center"/>
                </w:tcPr>
                <w:p w14:paraId="40177EB4">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厂区道路</w:t>
                  </w:r>
                </w:p>
              </w:tc>
              <w:tc>
                <w:tcPr>
                  <w:tcW w:w="651" w:type="pct"/>
                  <w:tcBorders>
                    <w:tl2br w:val="nil"/>
                    <w:tr2bl w:val="nil"/>
                  </w:tcBorders>
                  <w:vAlign w:val="center"/>
                </w:tcPr>
                <w:p w14:paraId="1E11F861">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简单防渗区</w:t>
                  </w:r>
                </w:p>
              </w:tc>
              <w:tc>
                <w:tcPr>
                  <w:tcW w:w="3010" w:type="pct"/>
                  <w:tcBorders>
                    <w:tl2br w:val="nil"/>
                    <w:tr2bl w:val="nil"/>
                  </w:tcBorders>
                  <w:vAlign w:val="center"/>
                </w:tcPr>
                <w:p w14:paraId="6951502D">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一般硬化</w:t>
                  </w:r>
                </w:p>
              </w:tc>
            </w:tr>
            <w:tr w14:paraId="45C70E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45" w:hRule="atLeast"/>
                <w:jc w:val="center"/>
              </w:trPr>
              <w:tc>
                <w:tcPr>
                  <w:tcW w:w="467" w:type="pct"/>
                  <w:tcBorders>
                    <w:tl2br w:val="nil"/>
                    <w:tr2bl w:val="nil"/>
                  </w:tcBorders>
                  <w:vAlign w:val="center"/>
                </w:tcPr>
                <w:p w14:paraId="487CFA66">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hint="eastAsia" w:eastAsia="宋体" w:cs="宋体"/>
                      <w:color w:val="auto"/>
                      <w:kern w:val="0"/>
                      <w:sz w:val="21"/>
                      <w:szCs w:val="21"/>
                      <w:lang w:val="zh-CN" w:eastAsia="zh-CN" w:bidi="zh-CN"/>
                    </w:rPr>
                  </w:pPr>
                  <w:r>
                    <w:rPr>
                      <w:rFonts w:hint="eastAsia" w:cs="宋体"/>
                      <w:color w:val="auto"/>
                      <w:kern w:val="0"/>
                      <w:sz w:val="21"/>
                      <w:szCs w:val="21"/>
                      <w:lang w:val="en-US" w:eastAsia="zh-CN" w:bidi="zh-CN"/>
                    </w:rPr>
                    <w:t>8</w:t>
                  </w:r>
                </w:p>
              </w:tc>
              <w:tc>
                <w:tcPr>
                  <w:tcW w:w="871" w:type="pct"/>
                  <w:tcBorders>
                    <w:tl2br w:val="nil"/>
                    <w:tr2bl w:val="nil"/>
                  </w:tcBorders>
                  <w:vAlign w:val="center"/>
                </w:tcPr>
                <w:p w14:paraId="4E2D7FCB">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其他区域</w:t>
                  </w:r>
                </w:p>
              </w:tc>
              <w:tc>
                <w:tcPr>
                  <w:tcW w:w="651" w:type="pct"/>
                  <w:tcBorders>
                    <w:tl2br w:val="nil"/>
                    <w:tr2bl w:val="nil"/>
                  </w:tcBorders>
                  <w:vAlign w:val="center"/>
                </w:tcPr>
                <w:p w14:paraId="4F5F4FC9">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简单防渗区</w:t>
                  </w:r>
                </w:p>
              </w:tc>
              <w:tc>
                <w:tcPr>
                  <w:tcW w:w="3010" w:type="pct"/>
                  <w:tcBorders>
                    <w:tl2br w:val="nil"/>
                    <w:tr2bl w:val="nil"/>
                  </w:tcBorders>
                  <w:vAlign w:val="center"/>
                </w:tcPr>
                <w:p w14:paraId="24977654">
                  <w:pPr>
                    <w:keepNext w:val="0"/>
                    <w:keepLines w:val="0"/>
                    <w:pageBreakBefore w:val="0"/>
                    <w:widowControl w:val="0"/>
                    <w:suppressAutoHyphens/>
                    <w:kinsoku/>
                    <w:wordWrap/>
                    <w:overflowPunct w:val="0"/>
                    <w:topLinePunct w:val="0"/>
                    <w:autoSpaceDE w:val="0"/>
                    <w:autoSpaceDN w:val="0"/>
                    <w:bidi w:val="0"/>
                    <w:snapToGrid w:val="0"/>
                    <w:spacing w:before="0" w:after="0" w:line="240" w:lineRule="auto"/>
                    <w:ind w:left="0" w:right="0" w:firstLine="0" w:firstLineChars="0"/>
                    <w:jc w:val="center"/>
                    <w:rPr>
                      <w:rFonts w:cs="宋体"/>
                      <w:color w:val="auto"/>
                      <w:kern w:val="0"/>
                      <w:sz w:val="21"/>
                      <w:szCs w:val="21"/>
                      <w:lang w:val="zh-CN" w:bidi="zh-CN"/>
                    </w:rPr>
                  </w:pPr>
                  <w:r>
                    <w:rPr>
                      <w:rFonts w:hint="eastAsia" w:cs="宋体"/>
                      <w:color w:val="auto"/>
                      <w:kern w:val="0"/>
                      <w:sz w:val="21"/>
                      <w:szCs w:val="21"/>
                      <w:lang w:val="zh-CN" w:bidi="zh-CN"/>
                    </w:rPr>
                    <w:t>一般硬化</w:t>
                  </w:r>
                </w:p>
              </w:tc>
            </w:tr>
          </w:tbl>
          <w:p w14:paraId="05734ED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3、地下水环境跟踪监测要求</w:t>
            </w:r>
          </w:p>
          <w:p w14:paraId="78D89F2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1）监测点布设</w:t>
            </w:r>
          </w:p>
          <w:p w14:paraId="3E36003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参考《环境影响评价技术导则-地下水环境》（HJ610-2016）相关要求，本项目设置1个地下水监控点，位于</w:t>
            </w:r>
            <w:r>
              <w:rPr>
                <w:rFonts w:hint="eastAsia" w:cs="Times New Roman"/>
                <w:color w:val="auto"/>
                <w:sz w:val="24"/>
                <w:highlight w:val="none"/>
                <w:u w:val="none"/>
                <w:lang w:val="en-US" w:eastAsia="zh-CN"/>
              </w:rPr>
              <w:t>项目场地下游</w:t>
            </w:r>
            <w:r>
              <w:rPr>
                <w:rFonts w:hint="eastAsia" w:ascii="Times New Roman" w:hAnsi="Times New Roman" w:eastAsia="宋体" w:cs="Times New Roman"/>
                <w:color w:val="auto"/>
                <w:sz w:val="24"/>
                <w:highlight w:val="none"/>
                <w:u w:val="none"/>
                <w:lang w:val="en-US" w:eastAsia="zh-CN"/>
              </w:rPr>
              <w:t>处。</w:t>
            </w:r>
          </w:p>
          <w:p w14:paraId="434DC76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3）监测频率</w:t>
            </w:r>
          </w:p>
          <w:p w14:paraId="3550930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正常工况下每年枯水期监测一次，事故状态下连续监测。</w:t>
            </w:r>
          </w:p>
          <w:p w14:paraId="7FAC569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4）监测因子</w:t>
            </w:r>
          </w:p>
          <w:p w14:paraId="5BDE128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地下水水质监测项目包括：pH、溶解性总固体、耗氧量、氨氮。</w:t>
            </w:r>
          </w:p>
          <w:p w14:paraId="3604DA20">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eastAsia" w:ascii="Times New Roman" w:hAnsi="Times New Roman" w:eastAsia="宋体" w:cs="Times New Roman"/>
                <w:b/>
                <w:bCs/>
                <w:color w:val="auto"/>
                <w:lang w:val="en-US" w:eastAsia="zh-CN"/>
              </w:rPr>
            </w:pPr>
            <w:r>
              <w:rPr>
                <w:rFonts w:hint="eastAsia" w:cs="Times New Roman"/>
                <w:b/>
                <w:bCs/>
                <w:color w:val="auto"/>
                <w:lang w:val="en-US" w:eastAsia="zh-CN"/>
              </w:rPr>
              <w:t>七</w:t>
            </w:r>
            <w:r>
              <w:rPr>
                <w:rFonts w:hint="eastAsia" w:ascii="Times New Roman" w:hAnsi="Times New Roman" w:eastAsia="宋体" w:cs="Times New Roman"/>
                <w:b/>
                <w:bCs/>
                <w:color w:val="auto"/>
                <w:lang w:val="en-US" w:eastAsia="zh-CN"/>
              </w:rPr>
              <w:t>、土壤环境影响分析</w:t>
            </w:r>
          </w:p>
          <w:p w14:paraId="08ABEE5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正常情况下，本项目运营期废水收集和废水处理时的构筑物地面均作了硬化、防渗处理；产生的固废均得到妥善回收利用、处理处置，且各类固废暂存设施亦采取防渗措施，防止污水或固废产生的淋溶水渗漏，项目运营期废水对土壤基本不造成污染。事故情况下，主要考虑构筑物底部防渗层破裂，导致废水污染地下水及厂区周边土壤环境，由于地下水及土壤污染难以发现，也难以采取措施治理。因此要求建设单位做好厂区地面防渗工作，避免污染土壤环境。运营期加强管道及设备 的日常检查和维护管理，确保管道及设备不出现跑、冒、滴、漏的现象出现，减少事故情况下对土壤环境的影响。</w:t>
            </w:r>
          </w:p>
          <w:p w14:paraId="6FE4A80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综上，项目在运营期对土壤环境的影响小。</w:t>
            </w:r>
          </w:p>
          <w:p w14:paraId="053E6039">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eastAsia" w:ascii="Times New Roman" w:hAnsi="Times New Roman" w:eastAsia="宋体" w:cs="Times New Roman"/>
                <w:b/>
                <w:bCs/>
                <w:color w:val="auto"/>
                <w:lang w:val="en-US" w:eastAsia="zh-CN"/>
              </w:rPr>
            </w:pPr>
            <w:r>
              <w:rPr>
                <w:rFonts w:hint="eastAsia" w:cs="Times New Roman"/>
                <w:b/>
                <w:bCs/>
                <w:color w:val="auto"/>
                <w:lang w:val="en-US" w:eastAsia="zh-CN"/>
              </w:rPr>
              <w:t>八</w:t>
            </w:r>
            <w:r>
              <w:rPr>
                <w:rFonts w:hint="eastAsia" w:ascii="Times New Roman" w:hAnsi="Times New Roman" w:eastAsia="宋体" w:cs="Times New Roman"/>
                <w:b/>
                <w:bCs/>
                <w:color w:val="auto"/>
                <w:lang w:val="en-US" w:eastAsia="zh-CN"/>
              </w:rPr>
              <w:t>、生态环境影响分析</w:t>
            </w:r>
          </w:p>
          <w:p w14:paraId="39B3E577">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1、对陆生生态系统的影响</w:t>
            </w:r>
          </w:p>
          <w:p w14:paraId="24C9902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项目所在地周边区域无珍稀濒危及保护动植物，项目用地不占用基本农田。项目建设后原有的自然植被将被清除，而以各类建筑、道路用地、绿化用地等取代，土地利用功能发生了变化，所在地块由自然生态系统逐步转化为受人类影响紧密的城市生态系统，项目占地面积不大，所在区块土地功能的改变对区域生态环境的影响不明显。受影响的生物种类在周边地区是极为常见的，且分布也较为散落，这些繁殖和散布力很强的生物种类的损失不会造成很大的生态影响，同时，随着工程建设完成投入运行后，厂区绿化工程也将同时开工建设，在污水处理厂区周围合理培植乔木、灌木、草坪相结合的绿化带，并形成较密的树林，重新建立起有序的陆地生态系统，有利于改善建设区域的生态环境。</w:t>
            </w:r>
          </w:p>
          <w:p w14:paraId="287D292C">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2、对水生生态的影响</w:t>
            </w:r>
          </w:p>
          <w:p w14:paraId="10670A5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olor w:val="auto"/>
                <w:sz w:val="24"/>
                <w:highlight w:val="none"/>
                <w:lang w:val="en-US" w:eastAsia="zh-CN"/>
              </w:rPr>
            </w:pPr>
            <w:r>
              <w:rPr>
                <w:rFonts w:hint="eastAsia"/>
                <w:color w:val="auto"/>
                <w:sz w:val="24"/>
                <w:highlight w:val="none"/>
                <w:lang w:val="en-US" w:eastAsia="zh-CN"/>
              </w:rPr>
              <w:t>项目实施后，服务范围内生活污水将由溢流或散排到有序的治理，并达标排放，在纳污水体排口污染带以外的区域，水体中受纳的污染物总量大大降低，水的浑浊度降低，溶解氧增加，水质会有所改善，有利于水生生物的生长和维持生态平衡，水体中浮游生物种群将发生相应的变化，生物多样性和数量将会在一定 程度上有所丰富。总体来看，本项目建成后纳污水体的水生态会向良性循环发展。</w:t>
            </w:r>
          </w:p>
          <w:p w14:paraId="334E4B85">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eastAsia" w:ascii="Times New Roman" w:hAnsi="Times New Roman" w:eastAsia="宋体" w:cs="Times New Roman"/>
                <w:b/>
                <w:bCs/>
                <w:color w:val="auto"/>
                <w:u w:val="none"/>
                <w:lang w:val="en-US" w:eastAsia="zh-CN"/>
              </w:rPr>
            </w:pPr>
            <w:r>
              <w:rPr>
                <w:rFonts w:hint="eastAsia" w:cs="Times New Roman"/>
                <w:b/>
                <w:bCs/>
                <w:color w:val="auto"/>
                <w:u w:val="none"/>
                <w:lang w:val="en-US" w:eastAsia="zh-CN"/>
              </w:rPr>
              <w:t>九</w:t>
            </w:r>
            <w:r>
              <w:rPr>
                <w:rFonts w:hint="eastAsia" w:ascii="Times New Roman" w:hAnsi="Times New Roman" w:eastAsia="宋体" w:cs="Times New Roman"/>
                <w:b/>
                <w:bCs/>
                <w:color w:val="auto"/>
                <w:u w:val="none"/>
                <w:lang w:val="en-US" w:eastAsia="zh-CN"/>
              </w:rPr>
              <w:t>、环境风险分析</w:t>
            </w:r>
          </w:p>
          <w:p w14:paraId="45A25F40">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eastAsia" w:ascii="Times New Roman" w:hAnsi="Times New Roman" w:eastAsia="宋体" w:cs="Times New Roman"/>
                <w:b/>
                <w:bCs/>
                <w:color w:val="auto"/>
                <w:u w:val="none"/>
                <w:lang w:val="en-US" w:eastAsia="zh-CN"/>
              </w:rPr>
            </w:pPr>
            <w:bookmarkStart w:id="20" w:name="_Toc203812025"/>
            <w:bookmarkStart w:id="21" w:name="_Toc192229812"/>
            <w:r>
              <w:rPr>
                <w:rFonts w:hint="eastAsia" w:ascii="Times New Roman" w:hAnsi="Times New Roman" w:eastAsia="宋体" w:cs="Times New Roman"/>
                <w:b/>
                <w:bCs/>
                <w:color w:val="auto"/>
                <w:u w:val="none"/>
                <w:lang w:val="en-US" w:eastAsia="zh-CN"/>
              </w:rPr>
              <w:t>1、物质风险识别</w:t>
            </w:r>
          </w:p>
          <w:p w14:paraId="62295F28">
            <w:pPr>
              <w:spacing w:line="360" w:lineRule="auto"/>
              <w:ind w:firstLine="480"/>
              <w:rPr>
                <w:rFonts w:hint="eastAsia" w:ascii="Times New Roman" w:hAnsi="Times New Roman" w:eastAsia="宋体"/>
                <w:color w:val="auto"/>
                <w:sz w:val="24"/>
                <w:szCs w:val="21"/>
                <w:lang w:eastAsia="zh-CN"/>
              </w:rPr>
            </w:pPr>
            <w:r>
              <w:rPr>
                <w:rFonts w:hint="eastAsia" w:ascii="Times New Roman" w:hAnsi="Times New Roman"/>
                <w:color w:val="auto"/>
                <w:sz w:val="24"/>
                <w:szCs w:val="21"/>
              </w:rPr>
              <w:t>查阅《建设项目环境风险评价技术导则》（</w:t>
            </w:r>
            <w:r>
              <w:rPr>
                <w:rFonts w:ascii="Times New Roman" w:hAnsi="Times New Roman"/>
                <w:color w:val="auto"/>
                <w:sz w:val="24"/>
                <w:szCs w:val="21"/>
              </w:rPr>
              <w:t>HJ169</w:t>
            </w:r>
            <w:r>
              <w:rPr>
                <w:rFonts w:hint="eastAsia" w:ascii="Times New Roman" w:hAnsi="Times New Roman"/>
                <w:color w:val="auto"/>
                <w:sz w:val="24"/>
                <w:szCs w:val="21"/>
              </w:rPr>
              <w:t>－</w:t>
            </w:r>
            <w:r>
              <w:rPr>
                <w:rFonts w:ascii="Times New Roman" w:hAnsi="Times New Roman"/>
                <w:color w:val="auto"/>
                <w:sz w:val="24"/>
                <w:szCs w:val="21"/>
              </w:rPr>
              <w:t>2018</w:t>
            </w:r>
            <w:r>
              <w:rPr>
                <w:rFonts w:hint="eastAsia" w:ascii="Times New Roman" w:hAnsi="Times New Roman"/>
                <w:color w:val="auto"/>
                <w:sz w:val="24"/>
                <w:szCs w:val="21"/>
              </w:rPr>
              <w:t>）附录</w:t>
            </w:r>
            <w:r>
              <w:rPr>
                <w:rFonts w:ascii="Times New Roman" w:hAnsi="Times New Roman"/>
                <w:color w:val="auto"/>
                <w:sz w:val="24"/>
                <w:szCs w:val="21"/>
              </w:rPr>
              <w:t>B</w:t>
            </w:r>
            <w:r>
              <w:rPr>
                <w:rFonts w:hint="eastAsia" w:ascii="Times New Roman" w:hAnsi="Times New Roman"/>
                <w:color w:val="auto"/>
                <w:sz w:val="24"/>
                <w:szCs w:val="21"/>
              </w:rPr>
              <w:t>中重点关注的危险物质及临界量表</w:t>
            </w:r>
            <w:r>
              <w:rPr>
                <w:rFonts w:ascii="Times New Roman" w:hAnsi="Times New Roman"/>
                <w:color w:val="auto"/>
                <w:sz w:val="24"/>
                <w:szCs w:val="21"/>
              </w:rPr>
              <w:t>B.1</w:t>
            </w:r>
            <w:r>
              <w:rPr>
                <w:rFonts w:hint="eastAsia" w:ascii="Times New Roman" w:hAnsi="Times New Roman"/>
                <w:color w:val="auto"/>
                <w:sz w:val="24"/>
                <w:szCs w:val="21"/>
              </w:rPr>
              <w:t>突发环境事件风险物质及临界量，危险物质数量与临界量的比值（</w:t>
            </w:r>
            <w:r>
              <w:rPr>
                <w:rFonts w:ascii="Times New Roman" w:hAnsi="Times New Roman"/>
                <w:color w:val="auto"/>
                <w:sz w:val="24"/>
                <w:szCs w:val="21"/>
              </w:rPr>
              <w:t>Q</w:t>
            </w:r>
            <w:r>
              <w:rPr>
                <w:rFonts w:hint="eastAsia" w:ascii="Times New Roman" w:hAnsi="Times New Roman"/>
                <w:color w:val="auto"/>
                <w:sz w:val="24"/>
                <w:szCs w:val="21"/>
              </w:rPr>
              <w:t>）的计算公式如下</w:t>
            </w:r>
          </w:p>
          <w:p w14:paraId="21DFA54B">
            <w:pPr>
              <w:adjustRightInd w:val="0"/>
              <w:snapToGrid w:val="0"/>
              <w:spacing w:line="360" w:lineRule="auto"/>
              <w:ind w:firstLine="480"/>
              <w:jc w:val="center"/>
              <w:rPr>
                <w:rFonts w:ascii="Times New Roman" w:hAnsi="Times New Roman"/>
                <w:color w:val="auto"/>
                <w:sz w:val="24"/>
                <w:szCs w:val="21"/>
              </w:rPr>
            </w:pPr>
            <w:r>
              <w:rPr>
                <w:rFonts w:ascii="Times New Roman" w:hAnsi="Times New Roman"/>
                <w:color w:val="auto"/>
                <w:sz w:val="24"/>
                <w:szCs w:val="21"/>
              </w:rPr>
              <w:drawing>
                <wp:inline distT="0" distB="0" distL="114300" distR="114300">
                  <wp:extent cx="1676400" cy="504825"/>
                  <wp:effectExtent l="0" t="0" r="0" b="9525"/>
                  <wp:docPr id="3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5"/>
                          <pic:cNvPicPr>
                            <a:picLocks noChangeAspect="1"/>
                          </pic:cNvPicPr>
                        </pic:nvPicPr>
                        <pic:blipFill>
                          <a:blip r:embed="rId29"/>
                          <a:stretch>
                            <a:fillRect/>
                          </a:stretch>
                        </pic:blipFill>
                        <pic:spPr>
                          <a:xfrm>
                            <a:off x="0" y="0"/>
                            <a:ext cx="1676400" cy="504825"/>
                          </a:xfrm>
                          <a:prstGeom prst="rect">
                            <a:avLst/>
                          </a:prstGeom>
                          <a:noFill/>
                          <a:ln>
                            <a:noFill/>
                          </a:ln>
                        </pic:spPr>
                      </pic:pic>
                    </a:graphicData>
                  </a:graphic>
                </wp:inline>
              </w:drawing>
            </w:r>
          </w:p>
          <w:p w14:paraId="48F3DBD2">
            <w:pPr>
              <w:adjustRightInd w:val="0"/>
              <w:snapToGrid w:val="0"/>
              <w:spacing w:line="360" w:lineRule="auto"/>
              <w:ind w:firstLine="480"/>
              <w:rPr>
                <w:rFonts w:hint="eastAsia" w:ascii="Times New Roman" w:hAnsi="Times New Roman" w:eastAsia="宋体"/>
                <w:color w:val="auto"/>
                <w:sz w:val="24"/>
                <w:szCs w:val="21"/>
                <w:lang w:eastAsia="zh-CN"/>
              </w:rPr>
            </w:pPr>
            <w:r>
              <w:rPr>
                <w:rFonts w:hint="eastAsia" w:ascii="Times New Roman" w:hAnsi="Times New Roman"/>
                <w:color w:val="auto"/>
                <w:sz w:val="24"/>
                <w:szCs w:val="21"/>
              </w:rPr>
              <w:t>式中</w:t>
            </w:r>
          </w:p>
          <w:p w14:paraId="4DDB39FB">
            <w:pPr>
              <w:adjustRightInd w:val="0"/>
              <w:snapToGrid w:val="0"/>
              <w:spacing w:line="360" w:lineRule="auto"/>
              <w:ind w:firstLine="480"/>
              <w:rPr>
                <w:rFonts w:ascii="Times New Roman" w:hAnsi="Times New Roman"/>
                <w:color w:val="auto"/>
                <w:sz w:val="24"/>
                <w:szCs w:val="21"/>
              </w:rPr>
            </w:pPr>
            <w:r>
              <w:rPr>
                <w:rFonts w:ascii="Times New Roman" w:hAnsi="Times New Roman"/>
                <w:color w:val="auto"/>
                <w:sz w:val="24"/>
                <w:szCs w:val="21"/>
              </w:rPr>
              <w:t>q</w:t>
            </w:r>
            <w:r>
              <w:rPr>
                <w:rFonts w:ascii="Times New Roman" w:hAnsi="Times New Roman"/>
                <w:color w:val="auto"/>
                <w:sz w:val="24"/>
                <w:szCs w:val="21"/>
                <w:vertAlign w:val="subscript"/>
              </w:rPr>
              <w:t>1</w:t>
            </w:r>
            <w:r>
              <w:rPr>
                <w:rFonts w:hint="eastAsia" w:ascii="Times New Roman" w:hAnsi="Times New Roman"/>
                <w:color w:val="auto"/>
                <w:sz w:val="24"/>
                <w:szCs w:val="21"/>
              </w:rPr>
              <w:t>，</w:t>
            </w:r>
            <w:r>
              <w:rPr>
                <w:rFonts w:ascii="Times New Roman" w:hAnsi="Times New Roman"/>
                <w:color w:val="auto"/>
                <w:sz w:val="24"/>
                <w:szCs w:val="21"/>
              </w:rPr>
              <w:t>q</w:t>
            </w:r>
            <w:r>
              <w:rPr>
                <w:rFonts w:ascii="Times New Roman" w:hAnsi="Times New Roman"/>
                <w:color w:val="auto"/>
                <w:sz w:val="24"/>
                <w:szCs w:val="21"/>
                <w:vertAlign w:val="subscript"/>
              </w:rPr>
              <w:t>2</w:t>
            </w:r>
            <w:r>
              <w:rPr>
                <w:rFonts w:ascii="Times New Roman" w:hAnsi="Times New Roman"/>
                <w:color w:val="auto"/>
                <w:sz w:val="24"/>
                <w:szCs w:val="21"/>
              </w:rPr>
              <w:t>……q</w:t>
            </w:r>
            <w:r>
              <w:rPr>
                <w:rFonts w:ascii="Times New Roman" w:hAnsi="Times New Roman"/>
                <w:color w:val="auto"/>
                <w:sz w:val="24"/>
                <w:szCs w:val="21"/>
                <w:vertAlign w:val="subscript"/>
              </w:rPr>
              <w:t>n</w:t>
            </w:r>
            <w:r>
              <w:rPr>
                <w:rFonts w:ascii="Times New Roman" w:hAnsi="Times New Roman"/>
                <w:color w:val="auto"/>
                <w:sz w:val="24"/>
                <w:szCs w:val="21"/>
              </w:rPr>
              <w:t>——</w:t>
            </w:r>
            <w:r>
              <w:rPr>
                <w:rFonts w:hint="eastAsia" w:ascii="Times New Roman" w:hAnsi="Times New Roman"/>
                <w:color w:val="auto"/>
                <w:sz w:val="24"/>
                <w:szCs w:val="21"/>
              </w:rPr>
              <w:t>每种危险物质的最大存在量，</w:t>
            </w:r>
            <w:r>
              <w:rPr>
                <w:rFonts w:ascii="Times New Roman" w:hAnsi="Times New Roman"/>
                <w:color w:val="auto"/>
                <w:sz w:val="24"/>
                <w:szCs w:val="21"/>
              </w:rPr>
              <w:t>t</w:t>
            </w:r>
            <w:r>
              <w:rPr>
                <w:rFonts w:hint="eastAsia" w:ascii="Times New Roman" w:hAnsi="Times New Roman"/>
                <w:color w:val="auto"/>
                <w:sz w:val="24"/>
                <w:szCs w:val="21"/>
              </w:rPr>
              <w:t>；</w:t>
            </w:r>
          </w:p>
          <w:p w14:paraId="31EF38A6">
            <w:pPr>
              <w:adjustRightInd w:val="0"/>
              <w:snapToGrid w:val="0"/>
              <w:spacing w:line="360" w:lineRule="auto"/>
              <w:ind w:firstLine="480"/>
              <w:rPr>
                <w:rFonts w:ascii="Times New Roman" w:hAnsi="Times New Roman"/>
                <w:color w:val="auto"/>
                <w:sz w:val="24"/>
                <w:szCs w:val="21"/>
              </w:rPr>
            </w:pPr>
            <w:r>
              <w:rPr>
                <w:rFonts w:ascii="Times New Roman" w:hAnsi="Times New Roman"/>
                <w:color w:val="auto"/>
                <w:sz w:val="24"/>
                <w:szCs w:val="21"/>
              </w:rPr>
              <w:t>Q</w:t>
            </w:r>
            <w:r>
              <w:rPr>
                <w:rFonts w:ascii="Times New Roman" w:hAnsi="Times New Roman"/>
                <w:color w:val="auto"/>
                <w:sz w:val="24"/>
                <w:szCs w:val="21"/>
                <w:vertAlign w:val="subscript"/>
              </w:rPr>
              <w:t>1</w:t>
            </w:r>
            <w:r>
              <w:rPr>
                <w:rFonts w:hint="eastAsia" w:ascii="Times New Roman" w:hAnsi="Times New Roman"/>
                <w:color w:val="auto"/>
                <w:sz w:val="24"/>
                <w:szCs w:val="21"/>
              </w:rPr>
              <w:t>，</w:t>
            </w:r>
            <w:r>
              <w:rPr>
                <w:rFonts w:ascii="Times New Roman" w:hAnsi="Times New Roman"/>
                <w:color w:val="auto"/>
                <w:sz w:val="24"/>
                <w:szCs w:val="21"/>
              </w:rPr>
              <w:t>Q</w:t>
            </w:r>
            <w:r>
              <w:rPr>
                <w:rFonts w:ascii="Times New Roman" w:hAnsi="Times New Roman"/>
                <w:color w:val="auto"/>
                <w:sz w:val="24"/>
                <w:szCs w:val="21"/>
                <w:vertAlign w:val="subscript"/>
              </w:rPr>
              <w:t>2</w:t>
            </w:r>
            <w:r>
              <w:rPr>
                <w:rFonts w:ascii="Times New Roman" w:hAnsi="Times New Roman"/>
                <w:color w:val="auto"/>
                <w:sz w:val="24"/>
                <w:szCs w:val="21"/>
              </w:rPr>
              <w:t>…Q</w:t>
            </w:r>
            <w:r>
              <w:rPr>
                <w:rFonts w:ascii="Times New Roman" w:hAnsi="Times New Roman"/>
                <w:color w:val="auto"/>
                <w:sz w:val="24"/>
                <w:szCs w:val="21"/>
                <w:vertAlign w:val="subscript"/>
              </w:rPr>
              <w:t>n</w:t>
            </w:r>
            <w:r>
              <w:rPr>
                <w:rFonts w:ascii="Times New Roman" w:hAnsi="Times New Roman"/>
                <w:color w:val="auto"/>
                <w:sz w:val="24"/>
                <w:szCs w:val="21"/>
              </w:rPr>
              <w:t>——</w:t>
            </w:r>
            <w:r>
              <w:rPr>
                <w:rFonts w:hint="eastAsia" w:ascii="Times New Roman" w:hAnsi="Times New Roman"/>
                <w:color w:val="auto"/>
                <w:sz w:val="24"/>
                <w:szCs w:val="21"/>
              </w:rPr>
              <w:t>每种危险物质的临界量，</w:t>
            </w:r>
            <w:r>
              <w:rPr>
                <w:rFonts w:ascii="Times New Roman" w:hAnsi="Times New Roman"/>
                <w:color w:val="auto"/>
                <w:sz w:val="24"/>
                <w:szCs w:val="21"/>
              </w:rPr>
              <w:t>t</w:t>
            </w:r>
            <w:r>
              <w:rPr>
                <w:rFonts w:hint="eastAsia" w:ascii="Times New Roman" w:hAnsi="Times New Roman"/>
                <w:color w:val="auto"/>
                <w:sz w:val="24"/>
                <w:szCs w:val="21"/>
              </w:rPr>
              <w:t>。</w:t>
            </w:r>
          </w:p>
          <w:p w14:paraId="00A8D908">
            <w:pPr>
              <w:adjustRightInd w:val="0"/>
              <w:snapToGrid w:val="0"/>
              <w:spacing w:line="360" w:lineRule="auto"/>
              <w:ind w:firstLine="480"/>
              <w:rPr>
                <w:rFonts w:ascii="Times New Roman" w:hAnsi="Times New Roman"/>
                <w:color w:val="auto"/>
                <w:sz w:val="24"/>
                <w:szCs w:val="21"/>
              </w:rPr>
            </w:pPr>
            <w:r>
              <w:rPr>
                <w:rFonts w:hint="eastAsia" w:ascii="Times New Roman" w:hAnsi="Times New Roman"/>
                <w:color w:val="auto"/>
                <w:sz w:val="24"/>
                <w:szCs w:val="21"/>
              </w:rPr>
              <w:t>当</w:t>
            </w:r>
            <w:r>
              <w:rPr>
                <w:rFonts w:ascii="Times New Roman" w:hAnsi="Times New Roman"/>
                <w:color w:val="auto"/>
                <w:sz w:val="24"/>
                <w:szCs w:val="21"/>
              </w:rPr>
              <w:t>Q</w:t>
            </w:r>
            <w:r>
              <w:rPr>
                <w:rFonts w:hint="eastAsia" w:ascii="Times New Roman" w:hAnsi="Times New Roman"/>
                <w:color w:val="auto"/>
                <w:sz w:val="24"/>
                <w:szCs w:val="21"/>
              </w:rPr>
              <w:t>＜</w:t>
            </w:r>
            <w:r>
              <w:rPr>
                <w:rFonts w:ascii="Times New Roman" w:hAnsi="Times New Roman"/>
                <w:color w:val="auto"/>
                <w:sz w:val="24"/>
                <w:szCs w:val="21"/>
              </w:rPr>
              <w:t>1</w:t>
            </w:r>
            <w:r>
              <w:rPr>
                <w:rFonts w:hint="eastAsia" w:ascii="Times New Roman" w:hAnsi="Times New Roman"/>
                <w:color w:val="auto"/>
                <w:sz w:val="24"/>
                <w:szCs w:val="21"/>
              </w:rPr>
              <w:t>时，该项目环境风险潜势为</w:t>
            </w:r>
            <w:r>
              <w:rPr>
                <w:rFonts w:ascii="Times New Roman" w:hAnsi="Times New Roman"/>
                <w:color w:val="auto"/>
                <w:sz w:val="24"/>
                <w:szCs w:val="21"/>
              </w:rPr>
              <w:t>I</w:t>
            </w:r>
            <w:r>
              <w:rPr>
                <w:rFonts w:hint="eastAsia" w:ascii="Times New Roman" w:hAnsi="Times New Roman"/>
                <w:color w:val="auto"/>
                <w:sz w:val="24"/>
                <w:szCs w:val="21"/>
              </w:rPr>
              <w:t>。</w:t>
            </w:r>
          </w:p>
          <w:p w14:paraId="230E9157">
            <w:pPr>
              <w:adjustRightInd w:val="0"/>
              <w:snapToGrid w:val="0"/>
              <w:spacing w:line="360" w:lineRule="auto"/>
              <w:ind w:firstLine="480"/>
              <w:rPr>
                <w:rFonts w:ascii="Times New Roman" w:hAnsi="Times New Roman"/>
                <w:color w:val="auto"/>
                <w:sz w:val="24"/>
                <w:szCs w:val="21"/>
              </w:rPr>
            </w:pPr>
            <w:r>
              <w:rPr>
                <w:rFonts w:hint="eastAsia" w:ascii="Times New Roman" w:hAnsi="Times New Roman"/>
                <w:color w:val="auto"/>
                <w:sz w:val="24"/>
                <w:szCs w:val="21"/>
              </w:rPr>
              <w:t>当</w:t>
            </w:r>
            <w:r>
              <w:rPr>
                <w:rFonts w:ascii="Times New Roman" w:hAnsi="Times New Roman"/>
                <w:color w:val="auto"/>
                <w:sz w:val="24"/>
                <w:szCs w:val="21"/>
              </w:rPr>
              <w:t>Q≥1</w:t>
            </w:r>
            <w:r>
              <w:rPr>
                <w:rFonts w:hint="eastAsia" w:ascii="Times New Roman" w:hAnsi="Times New Roman"/>
                <w:color w:val="auto"/>
                <w:sz w:val="24"/>
                <w:szCs w:val="21"/>
              </w:rPr>
              <w:t>时，将</w:t>
            </w:r>
            <w:r>
              <w:rPr>
                <w:rFonts w:ascii="Times New Roman" w:hAnsi="Times New Roman"/>
                <w:color w:val="auto"/>
                <w:sz w:val="24"/>
                <w:szCs w:val="21"/>
              </w:rPr>
              <w:t>Q</w:t>
            </w:r>
            <w:r>
              <w:rPr>
                <w:rFonts w:hint="eastAsia" w:ascii="Times New Roman" w:hAnsi="Times New Roman"/>
                <w:color w:val="auto"/>
                <w:sz w:val="24"/>
                <w:szCs w:val="21"/>
              </w:rPr>
              <w:t>值划分为（</w:t>
            </w:r>
            <w:r>
              <w:rPr>
                <w:rFonts w:ascii="Times New Roman" w:hAnsi="Times New Roman"/>
                <w:color w:val="auto"/>
                <w:sz w:val="24"/>
                <w:szCs w:val="21"/>
              </w:rPr>
              <w:t>1</w:t>
            </w:r>
            <w:r>
              <w:rPr>
                <w:rFonts w:hint="eastAsia" w:ascii="Times New Roman" w:hAnsi="Times New Roman"/>
                <w:color w:val="auto"/>
                <w:sz w:val="24"/>
                <w:szCs w:val="21"/>
              </w:rPr>
              <w:t>）</w:t>
            </w:r>
            <w:r>
              <w:rPr>
                <w:rFonts w:ascii="Times New Roman" w:hAnsi="Times New Roman"/>
                <w:color w:val="auto"/>
                <w:sz w:val="24"/>
                <w:szCs w:val="21"/>
              </w:rPr>
              <w:t>1≤Q</w:t>
            </w:r>
            <w:r>
              <w:rPr>
                <w:rFonts w:hint="eastAsia" w:ascii="Times New Roman" w:hAnsi="Times New Roman"/>
                <w:color w:val="auto"/>
                <w:sz w:val="24"/>
                <w:szCs w:val="21"/>
              </w:rPr>
              <w:t>＜</w:t>
            </w:r>
            <w:r>
              <w:rPr>
                <w:rFonts w:ascii="Times New Roman" w:hAnsi="Times New Roman"/>
                <w:color w:val="auto"/>
                <w:sz w:val="24"/>
                <w:szCs w:val="21"/>
              </w:rPr>
              <w:t>10</w:t>
            </w:r>
            <w:r>
              <w:rPr>
                <w:rFonts w:hint="eastAsia" w:ascii="Times New Roman" w:hAnsi="Times New Roman"/>
                <w:color w:val="auto"/>
                <w:sz w:val="24"/>
                <w:szCs w:val="21"/>
              </w:rPr>
              <w:t>；（</w:t>
            </w:r>
            <w:r>
              <w:rPr>
                <w:rFonts w:ascii="Times New Roman" w:hAnsi="Times New Roman"/>
                <w:color w:val="auto"/>
                <w:sz w:val="24"/>
                <w:szCs w:val="21"/>
              </w:rPr>
              <w:t>2</w:t>
            </w:r>
            <w:r>
              <w:rPr>
                <w:rFonts w:hint="eastAsia" w:ascii="Times New Roman" w:hAnsi="Times New Roman"/>
                <w:color w:val="auto"/>
                <w:sz w:val="24"/>
                <w:szCs w:val="21"/>
              </w:rPr>
              <w:t>）</w:t>
            </w:r>
            <w:r>
              <w:rPr>
                <w:rFonts w:ascii="Times New Roman" w:hAnsi="Times New Roman"/>
                <w:color w:val="auto"/>
                <w:sz w:val="24"/>
                <w:szCs w:val="21"/>
              </w:rPr>
              <w:t>10≤Q</w:t>
            </w:r>
            <w:r>
              <w:rPr>
                <w:rFonts w:hint="eastAsia" w:ascii="Times New Roman" w:hAnsi="Times New Roman"/>
                <w:color w:val="auto"/>
                <w:sz w:val="24"/>
                <w:szCs w:val="21"/>
              </w:rPr>
              <w:t>＜</w:t>
            </w:r>
            <w:r>
              <w:rPr>
                <w:rFonts w:ascii="Times New Roman" w:hAnsi="Times New Roman"/>
                <w:color w:val="auto"/>
                <w:sz w:val="24"/>
                <w:szCs w:val="21"/>
              </w:rPr>
              <w:t>100</w:t>
            </w:r>
            <w:r>
              <w:rPr>
                <w:rFonts w:hint="eastAsia" w:ascii="Times New Roman" w:hAnsi="Times New Roman"/>
                <w:color w:val="auto"/>
                <w:sz w:val="24"/>
                <w:szCs w:val="21"/>
              </w:rPr>
              <w:t>；（</w:t>
            </w:r>
            <w:r>
              <w:rPr>
                <w:rFonts w:ascii="Times New Roman" w:hAnsi="Times New Roman"/>
                <w:color w:val="auto"/>
                <w:sz w:val="24"/>
                <w:szCs w:val="21"/>
              </w:rPr>
              <w:t>3</w:t>
            </w:r>
            <w:r>
              <w:rPr>
                <w:rFonts w:hint="eastAsia" w:ascii="Times New Roman" w:hAnsi="Times New Roman"/>
                <w:color w:val="auto"/>
                <w:sz w:val="24"/>
                <w:szCs w:val="21"/>
              </w:rPr>
              <w:t>）</w:t>
            </w:r>
            <w:r>
              <w:rPr>
                <w:rFonts w:ascii="Times New Roman" w:hAnsi="Times New Roman"/>
                <w:color w:val="auto"/>
                <w:sz w:val="24"/>
                <w:szCs w:val="21"/>
              </w:rPr>
              <w:t>Q≥100</w:t>
            </w:r>
            <w:r>
              <w:rPr>
                <w:rFonts w:hint="eastAsia" w:ascii="Times New Roman" w:hAnsi="Times New Roman"/>
                <w:color w:val="auto"/>
                <w:sz w:val="24"/>
                <w:szCs w:val="21"/>
              </w:rPr>
              <w:t>。</w:t>
            </w:r>
          </w:p>
          <w:p w14:paraId="04505673">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eastAsia" w:cs="Times New Roman"/>
                <w:i w:val="0"/>
                <w:iCs w:val="0"/>
                <w:color w:val="auto"/>
                <w:sz w:val="24"/>
                <w:highlight w:val="none"/>
                <w:u w:val="single"/>
                <w:lang w:val="en-US" w:eastAsia="zh-CN"/>
              </w:rPr>
            </w:pPr>
            <w:r>
              <w:rPr>
                <w:rFonts w:ascii="Times New Roman" w:hAnsi="Times New Roman"/>
                <w:color w:val="auto"/>
                <w:kern w:val="0"/>
                <w:sz w:val="24"/>
                <w:szCs w:val="22"/>
                <w:lang w:val="zh-CN" w:bidi="zh-CN"/>
              </w:rPr>
              <w:t>项目运营期涉及的危险化学品主要</w:t>
            </w:r>
            <w:r>
              <w:rPr>
                <w:rFonts w:hint="eastAsia" w:ascii="Times New Roman" w:hAnsi="Times New Roman"/>
                <w:color w:val="auto"/>
                <w:kern w:val="0"/>
                <w:sz w:val="24"/>
                <w:szCs w:val="22"/>
                <w:lang w:val="en-US" w:bidi="zh-CN"/>
              </w:rPr>
              <w:t>为</w:t>
            </w:r>
            <w:r>
              <w:rPr>
                <w:rFonts w:hint="eastAsia" w:ascii="Times New Roman" w:hAnsi="Times New Roman" w:eastAsia="宋体" w:cs="Times New Roman"/>
                <w:i w:val="0"/>
                <w:iCs w:val="0"/>
                <w:color w:val="auto"/>
                <w:sz w:val="24"/>
                <w:highlight w:val="none"/>
                <w:u w:val="none"/>
                <w:lang w:val="en-US" w:eastAsia="zh-CN"/>
              </w:rPr>
              <w:t>PAC、PAM等化学药品</w:t>
            </w:r>
            <w:r>
              <w:rPr>
                <w:rFonts w:hint="eastAsia" w:cs="Times New Roman"/>
                <w:i w:val="0"/>
                <w:iCs w:val="0"/>
                <w:color w:val="auto"/>
                <w:sz w:val="24"/>
                <w:highlight w:val="none"/>
                <w:u w:val="none"/>
                <w:lang w:val="en-US" w:eastAsia="zh-CN"/>
              </w:rPr>
              <w:t>、燃料柴油、危险废物</w:t>
            </w:r>
            <w:r>
              <w:rPr>
                <w:rFonts w:hint="eastAsia" w:ascii="Times New Roman" w:hAnsi="Times New Roman" w:eastAsia="宋体" w:cs="Times New Roman"/>
                <w:i w:val="0"/>
                <w:iCs w:val="0"/>
                <w:color w:val="auto"/>
                <w:sz w:val="24"/>
                <w:highlight w:val="none"/>
                <w:u w:val="none"/>
                <w:lang w:val="en-US" w:eastAsia="zh-CN"/>
              </w:rPr>
              <w:t>，结合《建设项目环境风险评价技术导则》（HJ169-2018）分析可知，项目所使用的PAM、PAC等均不属于附录B中的风险物质。</w:t>
            </w:r>
            <w:r>
              <w:rPr>
                <w:rFonts w:hint="eastAsia" w:cs="Times New Roman"/>
                <w:i w:val="0"/>
                <w:iCs w:val="0"/>
                <w:color w:val="auto"/>
                <w:sz w:val="24"/>
                <w:highlight w:val="none"/>
                <w:u w:val="single"/>
                <w:lang w:val="en-US" w:eastAsia="zh-CN"/>
              </w:rPr>
              <w:t>项目在废水处理过程总会产生危险废物，属于本项目的风险物质，根据核算可知，废灯管产生量为0.0024t/a，废检测液产生量为0.08t/a，废试剂瓶0.04t/a，废化学品包装袋0.03t/a，项目总的危险废物产生量为0.1524，废机油产生量为0.01t/a，本项目设置有柴油发电机，日常暂存柴油约0.16吨，</w:t>
            </w:r>
            <w:r>
              <w:rPr>
                <w:rFonts w:hint="eastAsia" w:cs="Times New Roman"/>
                <w:i w:val="0"/>
                <w:iCs w:val="0"/>
                <w:color w:val="auto"/>
                <w:sz w:val="24"/>
                <w:highlight w:val="none"/>
                <w:u w:val="none"/>
                <w:lang w:val="en-US" w:eastAsia="zh-CN"/>
              </w:rPr>
              <w:t>根据《建设项目环境风险评价技术导则》（HJ169-2018）附录B，</w:t>
            </w:r>
            <w:r>
              <w:rPr>
                <w:rFonts w:hint="eastAsia" w:cs="Times New Roman"/>
                <w:i w:val="0"/>
                <w:iCs w:val="0"/>
                <w:color w:val="auto"/>
                <w:sz w:val="24"/>
                <w:highlight w:val="none"/>
                <w:u w:val="single"/>
                <w:lang w:val="en-US" w:eastAsia="zh-CN"/>
              </w:rPr>
              <w:t>本项目产生的危废临界量可参考附录B表B.2中危害水环境物质推荐的临界量100t进行核算，柴油临界量为2500t，</w:t>
            </w:r>
          </w:p>
          <w:p w14:paraId="22D3125F">
            <w:pPr>
              <w:pStyle w:val="40"/>
              <w:jc w:val="center"/>
              <w:rPr>
                <w:rFonts w:hint="eastAsia" w:ascii="Times New Roman" w:hAnsi="Times New Roman" w:eastAsia="宋体"/>
                <w:b/>
                <w:bCs/>
                <w:color w:val="auto"/>
                <w:sz w:val="21"/>
                <w:szCs w:val="21"/>
                <w:lang w:val="en-US" w:eastAsia="zh-CN"/>
              </w:rPr>
            </w:pPr>
            <w:r>
              <w:rPr>
                <w:rFonts w:ascii="Times New Roman" w:hAnsi="Times New Roman" w:cs="宋体"/>
                <w:b/>
                <w:bCs/>
                <w:color w:val="auto"/>
                <w:kern w:val="0"/>
                <w:sz w:val="21"/>
                <w:szCs w:val="18"/>
                <w:lang w:val="zh-CN" w:bidi="zh-CN"/>
              </w:rPr>
              <w:t>表</w:t>
            </w:r>
            <w:r>
              <w:rPr>
                <w:rFonts w:ascii="Times New Roman" w:hAnsi="Times New Roman" w:cs="宋体"/>
                <w:b/>
                <w:bCs/>
                <w:color w:val="auto"/>
                <w:kern w:val="0"/>
                <w:sz w:val="21"/>
                <w:szCs w:val="18"/>
                <w:lang w:bidi="zh-CN"/>
              </w:rPr>
              <w:t>4-</w:t>
            </w:r>
            <w:r>
              <w:rPr>
                <w:rFonts w:hint="eastAsia" w:ascii="Times New Roman" w:hAnsi="Times New Roman" w:cs="宋体"/>
                <w:b/>
                <w:bCs/>
                <w:color w:val="auto"/>
                <w:kern w:val="0"/>
                <w:sz w:val="21"/>
                <w:szCs w:val="18"/>
                <w:lang w:val="en-US" w:bidi="zh-CN"/>
              </w:rPr>
              <w:t xml:space="preserve">15 </w:t>
            </w:r>
            <w:r>
              <w:rPr>
                <w:rFonts w:hint="eastAsia" w:ascii="Times New Roman" w:hAnsi="Times New Roman"/>
                <w:b/>
                <w:bCs/>
                <w:color w:val="auto"/>
                <w:sz w:val="21"/>
                <w:szCs w:val="21"/>
              </w:rPr>
              <w:t>环境风险物质数量与临界量比值</w:t>
            </w:r>
            <w:r>
              <w:rPr>
                <w:rFonts w:hint="eastAsia" w:ascii="Times New Roman" w:hAnsi="Times New Roman"/>
                <w:b/>
                <w:bCs/>
                <w:color w:val="auto"/>
                <w:sz w:val="21"/>
                <w:szCs w:val="21"/>
                <w:lang w:val="en-US" w:eastAsia="zh-CN"/>
              </w:rPr>
              <w:t>情况</w:t>
            </w:r>
          </w:p>
          <w:tbl>
            <w:tblPr>
              <w:tblStyle w:val="3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28"/>
              <w:gridCol w:w="2057"/>
              <w:gridCol w:w="2097"/>
              <w:gridCol w:w="2050"/>
            </w:tblGrid>
            <w:tr w14:paraId="18A67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1406" w:type="pct"/>
                  <w:tcBorders>
                    <w:tl2br w:val="nil"/>
                    <w:tr2bl w:val="nil"/>
                  </w:tcBorders>
                  <w:vAlign w:val="center"/>
                </w:tcPr>
                <w:p w14:paraId="706649B1">
                  <w:pPr>
                    <w:keepNext w:val="0"/>
                    <w:keepLines w:val="0"/>
                    <w:pageBreakBefore w:val="0"/>
                    <w:widowControl w:val="0"/>
                    <w:kinsoku/>
                    <w:wordWrap/>
                    <w:overflowPunct w:val="0"/>
                    <w:topLinePunct w:val="0"/>
                    <w:autoSpaceDE w:val="0"/>
                    <w:autoSpaceDN w:val="0"/>
                    <w:bidi w:val="0"/>
                    <w:snapToGrid w:val="0"/>
                    <w:spacing w:before="0" w:after="0" w:line="240" w:lineRule="auto"/>
                    <w:ind w:left="0" w:leftChars="0" w:right="0" w:rightChars="0" w:firstLine="0" w:firstLineChars="0"/>
                    <w:jc w:val="center"/>
                    <w:rPr>
                      <w:rFonts w:hint="default" w:ascii="Times New Roman" w:hAnsi="Times New Roman" w:eastAsia="宋体" w:cs="Times New Roman"/>
                      <w:b/>
                      <w:bCs/>
                      <w:color w:val="auto"/>
                      <w:sz w:val="21"/>
                      <w:szCs w:val="21"/>
                      <w:lang w:val="en-US" w:eastAsia="zh-CN" w:bidi="zh-CN"/>
                    </w:rPr>
                  </w:pPr>
                  <w:r>
                    <w:rPr>
                      <w:rFonts w:hint="eastAsia" w:ascii="Times New Roman" w:hAnsi="Times New Roman" w:cs="Times New Roman"/>
                      <w:b/>
                      <w:bCs/>
                      <w:color w:val="auto"/>
                      <w:sz w:val="21"/>
                      <w:szCs w:val="21"/>
                      <w:lang w:val="en-US" w:eastAsia="zh-CN" w:bidi="zh-CN"/>
                    </w:rPr>
                    <w:t>风险物质名称</w:t>
                  </w:r>
                </w:p>
              </w:tc>
              <w:tc>
                <w:tcPr>
                  <w:tcW w:w="1191" w:type="pct"/>
                  <w:tcBorders>
                    <w:tl2br w:val="nil"/>
                    <w:tr2bl w:val="nil"/>
                  </w:tcBorders>
                  <w:vAlign w:val="center"/>
                </w:tcPr>
                <w:p w14:paraId="328A4E72">
                  <w:pPr>
                    <w:keepNext w:val="0"/>
                    <w:keepLines w:val="0"/>
                    <w:pageBreakBefore w:val="0"/>
                    <w:widowControl w:val="0"/>
                    <w:kinsoku/>
                    <w:wordWrap/>
                    <w:overflowPunct w:val="0"/>
                    <w:topLinePunct w:val="0"/>
                    <w:autoSpaceDE w:val="0"/>
                    <w:autoSpaceDN w:val="0"/>
                    <w:bidi w:val="0"/>
                    <w:snapToGrid w:val="0"/>
                    <w:spacing w:before="0" w:after="0" w:line="240" w:lineRule="auto"/>
                    <w:ind w:left="0" w:leftChars="0" w:right="0" w:rightChars="0" w:firstLine="0" w:firstLineChars="0"/>
                    <w:jc w:val="center"/>
                    <w:rPr>
                      <w:rFonts w:hint="default" w:ascii="Times New Roman" w:hAnsi="Times New Roman" w:eastAsia="宋体" w:cs="Times New Roman"/>
                      <w:b/>
                      <w:bCs/>
                      <w:color w:val="auto"/>
                      <w:sz w:val="21"/>
                      <w:szCs w:val="21"/>
                      <w:lang w:val="en-US" w:eastAsia="zh-CN" w:bidi="zh-CN"/>
                    </w:rPr>
                  </w:pPr>
                  <w:r>
                    <w:rPr>
                      <w:rFonts w:hint="eastAsia" w:ascii="Times New Roman" w:hAnsi="Times New Roman" w:cs="Times New Roman"/>
                      <w:b/>
                      <w:bCs/>
                      <w:color w:val="auto"/>
                      <w:sz w:val="21"/>
                      <w:szCs w:val="21"/>
                      <w:lang w:val="en-US" w:eastAsia="zh-CN" w:bidi="zh-CN"/>
                    </w:rPr>
                    <w:t>最大存储量</w:t>
                  </w:r>
                </w:p>
              </w:tc>
              <w:tc>
                <w:tcPr>
                  <w:tcW w:w="1214" w:type="pct"/>
                  <w:tcBorders>
                    <w:tl2br w:val="nil"/>
                    <w:tr2bl w:val="nil"/>
                  </w:tcBorders>
                  <w:vAlign w:val="center"/>
                </w:tcPr>
                <w:p w14:paraId="3D89FECB">
                  <w:pPr>
                    <w:keepNext w:val="0"/>
                    <w:keepLines w:val="0"/>
                    <w:pageBreakBefore w:val="0"/>
                    <w:widowControl w:val="0"/>
                    <w:kinsoku/>
                    <w:wordWrap/>
                    <w:overflowPunct w:val="0"/>
                    <w:topLinePunct w:val="0"/>
                    <w:autoSpaceDE w:val="0"/>
                    <w:autoSpaceDN w:val="0"/>
                    <w:bidi w:val="0"/>
                    <w:snapToGrid w:val="0"/>
                    <w:spacing w:before="0" w:after="0" w:line="240" w:lineRule="auto"/>
                    <w:ind w:left="0" w:leftChars="0" w:right="0" w:rightChars="0" w:firstLine="0" w:firstLineChars="0"/>
                    <w:jc w:val="center"/>
                    <w:rPr>
                      <w:rFonts w:hint="default" w:ascii="Times New Roman" w:hAnsi="Times New Roman" w:eastAsia="宋体" w:cs="Times New Roman"/>
                      <w:b/>
                      <w:bCs/>
                      <w:color w:val="auto"/>
                      <w:sz w:val="21"/>
                      <w:szCs w:val="21"/>
                      <w:lang w:val="zh-CN" w:eastAsia="zh-CN" w:bidi="zh-CN"/>
                    </w:rPr>
                  </w:pPr>
                  <w:r>
                    <w:rPr>
                      <w:rFonts w:hint="eastAsia" w:ascii="Times New Roman" w:hAnsi="Times New Roman"/>
                      <w:b/>
                      <w:bCs/>
                      <w:color w:val="auto"/>
                      <w:lang w:val="en-US" w:eastAsia="zh-CN"/>
                    </w:rPr>
                    <w:t>临界量</w:t>
                  </w:r>
                </w:p>
              </w:tc>
              <w:tc>
                <w:tcPr>
                  <w:tcW w:w="1187" w:type="pct"/>
                  <w:tcBorders>
                    <w:tl2br w:val="nil"/>
                    <w:tr2bl w:val="nil"/>
                  </w:tcBorders>
                  <w:vAlign w:val="center"/>
                </w:tcPr>
                <w:p w14:paraId="10F92E22">
                  <w:pPr>
                    <w:keepNext w:val="0"/>
                    <w:keepLines w:val="0"/>
                    <w:pageBreakBefore w:val="0"/>
                    <w:widowControl w:val="0"/>
                    <w:kinsoku/>
                    <w:wordWrap/>
                    <w:overflowPunct w:val="0"/>
                    <w:topLinePunct w:val="0"/>
                    <w:autoSpaceDE w:val="0"/>
                    <w:autoSpaceDN w:val="0"/>
                    <w:bidi w:val="0"/>
                    <w:snapToGrid w:val="0"/>
                    <w:spacing w:before="0" w:after="0" w:line="240" w:lineRule="auto"/>
                    <w:ind w:left="0" w:leftChars="0" w:right="0" w:rightChars="0" w:firstLine="0" w:firstLineChars="0"/>
                    <w:jc w:val="center"/>
                    <w:rPr>
                      <w:rFonts w:hint="default" w:ascii="Times New Roman" w:hAnsi="Times New Roman" w:eastAsia="宋体" w:cs="Times New Roman"/>
                      <w:b/>
                      <w:bCs/>
                      <w:color w:val="auto"/>
                      <w:sz w:val="21"/>
                      <w:szCs w:val="21"/>
                      <w:lang w:val="zh-CN" w:eastAsia="zh-CN" w:bidi="zh-CN"/>
                    </w:rPr>
                  </w:pPr>
                  <w:r>
                    <w:rPr>
                      <w:rFonts w:hint="eastAsia" w:ascii="Times New Roman" w:hAnsi="Times New Roman" w:cs="Times New Roman"/>
                      <w:b/>
                      <w:bCs/>
                      <w:color w:val="auto"/>
                      <w:sz w:val="21"/>
                      <w:szCs w:val="21"/>
                      <w:lang w:val="en-US" w:eastAsia="zh-CN" w:bidi="zh-CN"/>
                    </w:rPr>
                    <w:t>Q</w:t>
                  </w:r>
                </w:p>
              </w:tc>
            </w:tr>
            <w:tr w14:paraId="62044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6" w:type="pct"/>
                  <w:tcBorders>
                    <w:tl2br w:val="nil"/>
                    <w:tr2bl w:val="nil"/>
                  </w:tcBorders>
                  <w:vAlign w:val="center"/>
                </w:tcPr>
                <w:p w14:paraId="4AD1BF3A">
                  <w:pPr>
                    <w:keepNext w:val="0"/>
                    <w:keepLines w:val="0"/>
                    <w:pageBreakBefore w:val="0"/>
                    <w:widowControl w:val="0"/>
                    <w:kinsoku/>
                    <w:wordWrap/>
                    <w:overflowPunct w:val="0"/>
                    <w:topLinePunct w:val="0"/>
                    <w:autoSpaceDE w:val="0"/>
                    <w:autoSpaceDN w:val="0"/>
                    <w:bidi w:val="0"/>
                    <w:snapToGrid w:val="0"/>
                    <w:spacing w:before="0" w:after="0" w:line="240" w:lineRule="auto"/>
                    <w:ind w:left="0" w:leftChars="0" w:right="0" w:rightChars="0" w:firstLine="0" w:firstLineChars="0"/>
                    <w:jc w:val="center"/>
                    <w:rPr>
                      <w:rFonts w:hint="default" w:ascii="Times New Roman" w:hAnsi="Times New Roman" w:eastAsia="宋体" w:cs="Times New Roman"/>
                      <w:color w:val="auto"/>
                      <w:sz w:val="21"/>
                      <w:szCs w:val="21"/>
                      <w:lang w:val="zh-CN" w:eastAsia="zh-CN" w:bidi="zh-CN"/>
                    </w:rPr>
                  </w:pPr>
                  <w:r>
                    <w:rPr>
                      <w:rFonts w:hint="eastAsia" w:ascii="Times New Roman" w:hAnsi="Times New Roman" w:cs="Times New Roman"/>
                      <w:color w:val="auto"/>
                      <w:sz w:val="21"/>
                      <w:szCs w:val="21"/>
                      <w:lang w:val="zh-CN" w:eastAsia="zh-CN" w:bidi="zh-CN"/>
                    </w:rPr>
                    <w:t>危险废物</w:t>
                  </w:r>
                </w:p>
              </w:tc>
              <w:tc>
                <w:tcPr>
                  <w:tcW w:w="1191" w:type="pct"/>
                  <w:tcBorders>
                    <w:tl2br w:val="nil"/>
                    <w:tr2bl w:val="nil"/>
                  </w:tcBorders>
                  <w:vAlign w:val="center"/>
                </w:tcPr>
                <w:p w14:paraId="19F94556">
                  <w:pPr>
                    <w:keepNext w:val="0"/>
                    <w:keepLines w:val="0"/>
                    <w:pageBreakBefore w:val="0"/>
                    <w:widowControl w:val="0"/>
                    <w:kinsoku/>
                    <w:wordWrap/>
                    <w:overflowPunct w:val="0"/>
                    <w:topLinePunct w:val="0"/>
                    <w:autoSpaceDE w:val="0"/>
                    <w:autoSpaceDN w:val="0"/>
                    <w:bidi w:val="0"/>
                    <w:snapToGrid w:val="0"/>
                    <w:spacing w:before="0" w:after="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zh-CN"/>
                    </w:rPr>
                  </w:pPr>
                  <w:r>
                    <w:rPr>
                      <w:rFonts w:hint="eastAsia" w:cs="Times New Roman"/>
                      <w:color w:val="auto"/>
                      <w:sz w:val="21"/>
                      <w:szCs w:val="21"/>
                      <w:highlight w:val="none"/>
                      <w:lang w:val="en-US" w:eastAsia="zh-CN" w:bidi="zh-CN"/>
                    </w:rPr>
                    <w:t>0.1524</w:t>
                  </w:r>
                </w:p>
              </w:tc>
              <w:tc>
                <w:tcPr>
                  <w:tcW w:w="1214" w:type="pct"/>
                  <w:tcBorders>
                    <w:tl2br w:val="nil"/>
                    <w:tr2bl w:val="nil"/>
                  </w:tcBorders>
                  <w:vAlign w:val="center"/>
                </w:tcPr>
                <w:p w14:paraId="6DDE7F68">
                  <w:pPr>
                    <w:keepNext w:val="0"/>
                    <w:keepLines w:val="0"/>
                    <w:pageBreakBefore w:val="0"/>
                    <w:widowControl w:val="0"/>
                    <w:kinsoku/>
                    <w:wordWrap/>
                    <w:overflowPunct w:val="0"/>
                    <w:topLinePunct w:val="0"/>
                    <w:autoSpaceDE w:val="0"/>
                    <w:autoSpaceDN w:val="0"/>
                    <w:bidi w:val="0"/>
                    <w:snapToGrid w:val="0"/>
                    <w:spacing w:before="0" w:after="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zh-CN"/>
                    </w:rPr>
                  </w:pPr>
                  <w:r>
                    <w:rPr>
                      <w:rFonts w:hint="eastAsia" w:ascii="Times New Roman" w:hAnsi="Times New Roman" w:cs="Times New Roman"/>
                      <w:color w:val="auto"/>
                      <w:sz w:val="21"/>
                      <w:szCs w:val="21"/>
                      <w:lang w:val="en-US" w:eastAsia="zh-CN" w:bidi="zh-CN"/>
                    </w:rPr>
                    <w:t>100t</w:t>
                  </w:r>
                </w:p>
              </w:tc>
              <w:tc>
                <w:tcPr>
                  <w:tcW w:w="1187" w:type="pct"/>
                  <w:tcBorders>
                    <w:tl2br w:val="nil"/>
                    <w:tr2bl w:val="nil"/>
                  </w:tcBorders>
                  <w:vAlign w:val="center"/>
                </w:tcPr>
                <w:p w14:paraId="696F501B">
                  <w:pPr>
                    <w:keepNext w:val="0"/>
                    <w:keepLines w:val="0"/>
                    <w:pageBreakBefore w:val="0"/>
                    <w:widowControl w:val="0"/>
                    <w:kinsoku/>
                    <w:wordWrap/>
                    <w:overflowPunct w:val="0"/>
                    <w:topLinePunct w:val="0"/>
                    <w:autoSpaceDE w:val="0"/>
                    <w:autoSpaceDN w:val="0"/>
                    <w:bidi w:val="0"/>
                    <w:snapToGrid w:val="0"/>
                    <w:spacing w:before="0" w:after="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zh-CN"/>
                    </w:rPr>
                  </w:pPr>
                  <w:r>
                    <w:rPr>
                      <w:rFonts w:hint="eastAsia" w:ascii="Times New Roman" w:hAnsi="Times New Roman" w:cs="Times New Roman"/>
                      <w:color w:val="auto"/>
                      <w:sz w:val="21"/>
                      <w:szCs w:val="21"/>
                      <w:lang w:val="en-US" w:eastAsia="zh-CN" w:bidi="zh-CN"/>
                    </w:rPr>
                    <w:t>0.0</w:t>
                  </w:r>
                  <w:r>
                    <w:rPr>
                      <w:rFonts w:hint="eastAsia" w:cs="Times New Roman"/>
                      <w:color w:val="auto"/>
                      <w:sz w:val="21"/>
                      <w:szCs w:val="21"/>
                      <w:lang w:val="en-US" w:eastAsia="zh-CN" w:bidi="zh-CN"/>
                    </w:rPr>
                    <w:t>0</w:t>
                  </w:r>
                  <w:r>
                    <w:rPr>
                      <w:rFonts w:hint="eastAsia" w:ascii="Times New Roman" w:hAnsi="Times New Roman" w:cs="Times New Roman"/>
                      <w:color w:val="auto"/>
                      <w:sz w:val="21"/>
                      <w:szCs w:val="21"/>
                      <w:lang w:val="en-US" w:eastAsia="zh-CN" w:bidi="zh-CN"/>
                    </w:rPr>
                    <w:t>1</w:t>
                  </w:r>
                </w:p>
              </w:tc>
            </w:tr>
            <w:tr w14:paraId="341AB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6" w:type="pct"/>
                  <w:tcBorders>
                    <w:tl2br w:val="nil"/>
                    <w:tr2bl w:val="nil"/>
                  </w:tcBorders>
                  <w:vAlign w:val="center"/>
                </w:tcPr>
                <w:p w14:paraId="65707908">
                  <w:pPr>
                    <w:keepNext w:val="0"/>
                    <w:keepLines w:val="0"/>
                    <w:pageBreakBefore w:val="0"/>
                    <w:widowControl w:val="0"/>
                    <w:kinsoku/>
                    <w:wordWrap/>
                    <w:overflowPunct w:val="0"/>
                    <w:topLinePunct w:val="0"/>
                    <w:autoSpaceDE w:val="0"/>
                    <w:autoSpaceDN w:val="0"/>
                    <w:bidi w:val="0"/>
                    <w:snapToGrid w:val="0"/>
                    <w:spacing w:before="0" w:after="0" w:line="240" w:lineRule="auto"/>
                    <w:ind w:left="0" w:leftChars="0" w:right="0" w:rightChars="0" w:firstLine="0" w:firstLineChars="0"/>
                    <w:jc w:val="center"/>
                    <w:rPr>
                      <w:rFonts w:hint="default" w:ascii="Times New Roman" w:hAnsi="Times New Roman" w:eastAsia="宋体" w:cs="Times New Roman"/>
                      <w:color w:val="auto"/>
                      <w:sz w:val="21"/>
                      <w:szCs w:val="21"/>
                      <w:lang w:val="zh-CN" w:eastAsia="zh-CN" w:bidi="zh-CN"/>
                    </w:rPr>
                  </w:pPr>
                  <w:r>
                    <w:rPr>
                      <w:rFonts w:hint="default" w:ascii="Times New Roman" w:hAnsi="Times New Roman" w:eastAsia="宋体" w:cs="Times New Roman"/>
                      <w:color w:val="auto"/>
                      <w:sz w:val="21"/>
                      <w:szCs w:val="21"/>
                      <w:lang w:val="zh-CN" w:eastAsia="zh-CN" w:bidi="zh-CN"/>
                    </w:rPr>
                    <w:t>废机油</w:t>
                  </w:r>
                </w:p>
              </w:tc>
              <w:tc>
                <w:tcPr>
                  <w:tcW w:w="1191" w:type="pct"/>
                  <w:tcBorders>
                    <w:tl2br w:val="nil"/>
                    <w:tr2bl w:val="nil"/>
                  </w:tcBorders>
                  <w:vAlign w:val="center"/>
                </w:tcPr>
                <w:p w14:paraId="7DBB96B8">
                  <w:pPr>
                    <w:keepNext w:val="0"/>
                    <w:keepLines w:val="0"/>
                    <w:pageBreakBefore w:val="0"/>
                    <w:widowControl w:val="0"/>
                    <w:kinsoku/>
                    <w:wordWrap/>
                    <w:overflowPunct w:val="0"/>
                    <w:topLinePunct w:val="0"/>
                    <w:autoSpaceDE w:val="0"/>
                    <w:autoSpaceDN w:val="0"/>
                    <w:bidi w:val="0"/>
                    <w:snapToGrid w:val="0"/>
                    <w:spacing w:before="0" w:after="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zh-CN"/>
                    </w:rPr>
                  </w:pPr>
                  <w:r>
                    <w:rPr>
                      <w:rFonts w:hint="eastAsia" w:ascii="Times New Roman" w:hAnsi="Times New Roman" w:cs="Times New Roman"/>
                      <w:color w:val="auto"/>
                      <w:sz w:val="21"/>
                      <w:szCs w:val="21"/>
                      <w:lang w:val="en-US" w:eastAsia="zh-CN" w:bidi="zh-CN"/>
                    </w:rPr>
                    <w:t>0.01t</w:t>
                  </w:r>
                </w:p>
              </w:tc>
              <w:tc>
                <w:tcPr>
                  <w:tcW w:w="1214" w:type="pct"/>
                  <w:tcBorders>
                    <w:tl2br w:val="nil"/>
                    <w:tr2bl w:val="nil"/>
                  </w:tcBorders>
                  <w:vAlign w:val="center"/>
                </w:tcPr>
                <w:p w14:paraId="29A9E687">
                  <w:pPr>
                    <w:keepNext w:val="0"/>
                    <w:keepLines w:val="0"/>
                    <w:pageBreakBefore w:val="0"/>
                    <w:widowControl w:val="0"/>
                    <w:kinsoku/>
                    <w:wordWrap/>
                    <w:overflowPunct w:val="0"/>
                    <w:topLinePunct w:val="0"/>
                    <w:autoSpaceDE w:val="0"/>
                    <w:autoSpaceDN w:val="0"/>
                    <w:bidi w:val="0"/>
                    <w:snapToGrid w:val="0"/>
                    <w:spacing w:before="0" w:after="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zh-CN"/>
                    </w:rPr>
                  </w:pPr>
                  <w:r>
                    <w:rPr>
                      <w:rFonts w:hint="eastAsia" w:ascii="Times New Roman" w:hAnsi="Times New Roman" w:cs="Times New Roman"/>
                      <w:color w:val="auto"/>
                      <w:sz w:val="21"/>
                      <w:szCs w:val="21"/>
                      <w:lang w:val="en-US" w:eastAsia="zh-CN" w:bidi="zh-CN"/>
                    </w:rPr>
                    <w:t>2500t</w:t>
                  </w:r>
                </w:p>
              </w:tc>
              <w:tc>
                <w:tcPr>
                  <w:tcW w:w="1187" w:type="pct"/>
                  <w:tcBorders>
                    <w:tl2br w:val="nil"/>
                    <w:tr2bl w:val="nil"/>
                  </w:tcBorders>
                  <w:vAlign w:val="center"/>
                </w:tcPr>
                <w:p w14:paraId="2DEC1D3B">
                  <w:pPr>
                    <w:keepNext w:val="0"/>
                    <w:keepLines w:val="0"/>
                    <w:pageBreakBefore w:val="0"/>
                    <w:widowControl w:val="0"/>
                    <w:kinsoku/>
                    <w:wordWrap/>
                    <w:overflowPunct w:val="0"/>
                    <w:topLinePunct w:val="0"/>
                    <w:autoSpaceDE w:val="0"/>
                    <w:autoSpaceDN w:val="0"/>
                    <w:bidi w:val="0"/>
                    <w:snapToGrid w:val="0"/>
                    <w:spacing w:before="0" w:after="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zh-CN"/>
                    </w:rPr>
                  </w:pPr>
                  <w:r>
                    <w:rPr>
                      <w:rFonts w:hint="eastAsia" w:ascii="Times New Roman" w:hAnsi="Times New Roman" w:cs="Times New Roman"/>
                      <w:color w:val="auto"/>
                      <w:sz w:val="21"/>
                      <w:szCs w:val="21"/>
                      <w:lang w:val="en-US" w:eastAsia="zh-CN" w:bidi="zh-CN"/>
                    </w:rPr>
                    <w:t>0.000004</w:t>
                  </w:r>
                </w:p>
              </w:tc>
            </w:tr>
            <w:tr w14:paraId="06B29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6" w:type="pct"/>
                  <w:tcBorders>
                    <w:tl2br w:val="nil"/>
                    <w:tr2bl w:val="nil"/>
                  </w:tcBorders>
                  <w:vAlign w:val="center"/>
                </w:tcPr>
                <w:p w14:paraId="26D8B555">
                  <w:pPr>
                    <w:keepNext w:val="0"/>
                    <w:keepLines w:val="0"/>
                    <w:pageBreakBefore w:val="0"/>
                    <w:widowControl w:val="0"/>
                    <w:kinsoku/>
                    <w:wordWrap/>
                    <w:overflowPunct w:val="0"/>
                    <w:topLinePunct w:val="0"/>
                    <w:autoSpaceDE w:val="0"/>
                    <w:autoSpaceDN w:val="0"/>
                    <w:bidi w:val="0"/>
                    <w:snapToGrid w:val="0"/>
                    <w:spacing w:before="0" w:after="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zh-CN"/>
                    </w:rPr>
                  </w:pPr>
                  <w:r>
                    <w:rPr>
                      <w:rFonts w:hint="eastAsia" w:cs="Times New Roman"/>
                      <w:color w:val="auto"/>
                      <w:sz w:val="21"/>
                      <w:szCs w:val="21"/>
                      <w:lang w:val="en-US" w:eastAsia="zh-CN" w:bidi="zh-CN"/>
                    </w:rPr>
                    <w:t>柴油</w:t>
                  </w:r>
                </w:p>
              </w:tc>
              <w:tc>
                <w:tcPr>
                  <w:tcW w:w="1191" w:type="pct"/>
                  <w:tcBorders>
                    <w:tl2br w:val="nil"/>
                    <w:tr2bl w:val="nil"/>
                  </w:tcBorders>
                  <w:vAlign w:val="center"/>
                </w:tcPr>
                <w:p w14:paraId="376A1D95">
                  <w:pPr>
                    <w:keepNext w:val="0"/>
                    <w:keepLines w:val="0"/>
                    <w:pageBreakBefore w:val="0"/>
                    <w:widowControl w:val="0"/>
                    <w:kinsoku/>
                    <w:wordWrap/>
                    <w:overflowPunct w:val="0"/>
                    <w:topLinePunct w:val="0"/>
                    <w:autoSpaceDE w:val="0"/>
                    <w:autoSpaceDN w:val="0"/>
                    <w:bidi w:val="0"/>
                    <w:snapToGrid w:val="0"/>
                    <w:spacing w:before="0" w:after="0" w:line="240" w:lineRule="auto"/>
                    <w:ind w:left="0" w:leftChars="0" w:right="0" w:rightChars="0" w:firstLine="0" w:firstLineChars="0"/>
                    <w:jc w:val="center"/>
                    <w:rPr>
                      <w:rFonts w:hint="default" w:ascii="Times New Roman" w:hAnsi="Times New Roman" w:cs="Times New Roman"/>
                      <w:color w:val="auto"/>
                      <w:sz w:val="21"/>
                      <w:szCs w:val="21"/>
                      <w:lang w:val="en-US" w:eastAsia="zh-CN" w:bidi="zh-CN"/>
                    </w:rPr>
                  </w:pPr>
                  <w:r>
                    <w:rPr>
                      <w:rFonts w:hint="eastAsia" w:cs="Times New Roman"/>
                      <w:color w:val="auto"/>
                      <w:sz w:val="21"/>
                      <w:szCs w:val="21"/>
                      <w:lang w:val="en-US" w:eastAsia="zh-CN" w:bidi="zh-CN"/>
                    </w:rPr>
                    <w:t>0.16</w:t>
                  </w:r>
                  <w:r>
                    <w:rPr>
                      <w:rFonts w:hint="eastAsia" w:ascii="Times New Roman" w:hAnsi="Times New Roman" w:cs="Times New Roman"/>
                      <w:color w:val="auto"/>
                      <w:sz w:val="21"/>
                      <w:szCs w:val="21"/>
                      <w:lang w:val="en-US" w:eastAsia="zh-CN" w:bidi="zh-CN"/>
                    </w:rPr>
                    <w:t>t</w:t>
                  </w:r>
                </w:p>
              </w:tc>
              <w:tc>
                <w:tcPr>
                  <w:tcW w:w="1214" w:type="pct"/>
                  <w:tcBorders>
                    <w:tl2br w:val="nil"/>
                    <w:tr2bl w:val="nil"/>
                  </w:tcBorders>
                  <w:vAlign w:val="center"/>
                </w:tcPr>
                <w:p w14:paraId="325D9542">
                  <w:pPr>
                    <w:keepNext w:val="0"/>
                    <w:keepLines w:val="0"/>
                    <w:pageBreakBefore w:val="0"/>
                    <w:widowControl w:val="0"/>
                    <w:kinsoku/>
                    <w:wordWrap/>
                    <w:overflowPunct w:val="0"/>
                    <w:topLinePunct w:val="0"/>
                    <w:autoSpaceDE w:val="0"/>
                    <w:autoSpaceDN w:val="0"/>
                    <w:bidi w:val="0"/>
                    <w:snapToGrid w:val="0"/>
                    <w:spacing w:before="0" w:after="0" w:line="240" w:lineRule="auto"/>
                    <w:ind w:left="0" w:leftChars="0" w:right="0" w:rightChars="0" w:firstLine="0" w:firstLineChars="0"/>
                    <w:jc w:val="center"/>
                    <w:rPr>
                      <w:rFonts w:hint="default" w:ascii="Times New Roman" w:hAnsi="Times New Roman" w:cs="Times New Roman"/>
                      <w:color w:val="auto"/>
                      <w:sz w:val="21"/>
                      <w:szCs w:val="21"/>
                      <w:lang w:val="en-US" w:eastAsia="zh-CN" w:bidi="zh-CN"/>
                    </w:rPr>
                  </w:pPr>
                  <w:r>
                    <w:rPr>
                      <w:rFonts w:hint="eastAsia" w:cs="Times New Roman"/>
                      <w:color w:val="auto"/>
                      <w:sz w:val="21"/>
                      <w:szCs w:val="21"/>
                      <w:lang w:val="en-US" w:eastAsia="zh-CN" w:bidi="zh-CN"/>
                    </w:rPr>
                    <w:t>2500</w:t>
                  </w:r>
                  <w:r>
                    <w:rPr>
                      <w:rFonts w:hint="eastAsia" w:ascii="Times New Roman" w:hAnsi="Times New Roman" w:cs="Times New Roman"/>
                      <w:color w:val="auto"/>
                      <w:sz w:val="21"/>
                      <w:szCs w:val="21"/>
                      <w:lang w:val="en-US" w:eastAsia="zh-CN" w:bidi="zh-CN"/>
                    </w:rPr>
                    <w:t>t</w:t>
                  </w:r>
                </w:p>
              </w:tc>
              <w:tc>
                <w:tcPr>
                  <w:tcW w:w="1187" w:type="pct"/>
                  <w:tcBorders>
                    <w:tl2br w:val="nil"/>
                    <w:tr2bl w:val="nil"/>
                  </w:tcBorders>
                  <w:vAlign w:val="center"/>
                </w:tcPr>
                <w:p w14:paraId="312C45C0">
                  <w:pPr>
                    <w:keepNext w:val="0"/>
                    <w:keepLines w:val="0"/>
                    <w:pageBreakBefore w:val="0"/>
                    <w:widowControl w:val="0"/>
                    <w:kinsoku/>
                    <w:wordWrap/>
                    <w:overflowPunct w:val="0"/>
                    <w:topLinePunct w:val="0"/>
                    <w:autoSpaceDE w:val="0"/>
                    <w:autoSpaceDN w:val="0"/>
                    <w:bidi w:val="0"/>
                    <w:snapToGrid w:val="0"/>
                    <w:spacing w:before="0" w:after="0" w:line="240" w:lineRule="auto"/>
                    <w:ind w:left="0" w:leftChars="0" w:right="0" w:rightChars="0" w:firstLine="0" w:firstLineChars="0"/>
                    <w:jc w:val="center"/>
                    <w:rPr>
                      <w:rFonts w:hint="default" w:ascii="Times New Roman" w:hAnsi="Times New Roman" w:cs="Times New Roman"/>
                      <w:color w:val="auto"/>
                      <w:sz w:val="21"/>
                      <w:szCs w:val="21"/>
                      <w:lang w:val="en-US" w:eastAsia="zh-CN" w:bidi="zh-CN"/>
                    </w:rPr>
                  </w:pPr>
                  <w:r>
                    <w:rPr>
                      <w:rFonts w:hint="eastAsia" w:cs="Times New Roman"/>
                      <w:color w:val="auto"/>
                      <w:sz w:val="21"/>
                      <w:szCs w:val="21"/>
                      <w:lang w:val="en-US" w:eastAsia="zh-CN" w:bidi="zh-CN"/>
                    </w:rPr>
                    <w:t>0.000064</w:t>
                  </w:r>
                </w:p>
              </w:tc>
            </w:tr>
            <w:tr w14:paraId="7EC2B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06" w:type="pct"/>
                  <w:tcBorders>
                    <w:tl2br w:val="nil"/>
                    <w:tr2bl w:val="nil"/>
                  </w:tcBorders>
                  <w:vAlign w:val="center"/>
                </w:tcPr>
                <w:p w14:paraId="32F183E9">
                  <w:pPr>
                    <w:keepNext w:val="0"/>
                    <w:keepLines w:val="0"/>
                    <w:pageBreakBefore w:val="0"/>
                    <w:widowControl w:val="0"/>
                    <w:kinsoku/>
                    <w:wordWrap/>
                    <w:overflowPunct w:val="0"/>
                    <w:topLinePunct w:val="0"/>
                    <w:autoSpaceDE w:val="0"/>
                    <w:autoSpaceDN w:val="0"/>
                    <w:bidi w:val="0"/>
                    <w:snapToGrid w:val="0"/>
                    <w:spacing w:before="0" w:after="0" w:line="240" w:lineRule="auto"/>
                    <w:ind w:left="0" w:leftChars="0" w:right="0" w:rightChars="0" w:firstLine="0" w:firstLineChars="0"/>
                    <w:jc w:val="center"/>
                    <w:rPr>
                      <w:rFonts w:hint="default" w:ascii="Times New Roman" w:hAnsi="Times New Roman" w:eastAsia="宋体" w:cs="Times New Roman"/>
                      <w:color w:val="auto"/>
                      <w:sz w:val="21"/>
                      <w:szCs w:val="21"/>
                      <w:lang w:val="en-US" w:eastAsia="zh-CN" w:bidi="zh-CN"/>
                    </w:rPr>
                  </w:pPr>
                  <w:r>
                    <w:rPr>
                      <w:rFonts w:hint="eastAsia" w:ascii="Times New Roman" w:hAnsi="Times New Roman" w:cs="Times New Roman"/>
                      <w:color w:val="auto"/>
                      <w:sz w:val="21"/>
                      <w:szCs w:val="21"/>
                      <w:lang w:val="en-US" w:eastAsia="zh-CN" w:bidi="zh-CN"/>
                    </w:rPr>
                    <w:t>总计</w:t>
                  </w:r>
                </w:p>
              </w:tc>
              <w:tc>
                <w:tcPr>
                  <w:tcW w:w="1191" w:type="pct"/>
                  <w:tcBorders>
                    <w:tl2br w:val="nil"/>
                    <w:tr2bl w:val="nil"/>
                  </w:tcBorders>
                  <w:vAlign w:val="center"/>
                </w:tcPr>
                <w:p w14:paraId="734EFD92">
                  <w:pPr>
                    <w:keepNext w:val="0"/>
                    <w:keepLines w:val="0"/>
                    <w:pageBreakBefore w:val="0"/>
                    <w:widowControl w:val="0"/>
                    <w:kinsoku/>
                    <w:wordWrap/>
                    <w:overflowPunct w:val="0"/>
                    <w:topLinePunct w:val="0"/>
                    <w:autoSpaceDE w:val="0"/>
                    <w:autoSpaceDN w:val="0"/>
                    <w:bidi w:val="0"/>
                    <w:snapToGrid w:val="0"/>
                    <w:spacing w:before="0" w:after="0" w:line="240" w:lineRule="auto"/>
                    <w:ind w:left="0" w:leftChars="0" w:right="0" w:rightChars="0" w:firstLine="0" w:firstLineChars="0"/>
                    <w:jc w:val="center"/>
                    <w:rPr>
                      <w:rFonts w:hint="default" w:ascii="Times New Roman" w:hAnsi="Times New Roman" w:cs="Times New Roman"/>
                      <w:color w:val="auto"/>
                      <w:sz w:val="21"/>
                      <w:szCs w:val="21"/>
                      <w:lang w:val="en-US" w:eastAsia="zh-CN" w:bidi="zh-CN"/>
                    </w:rPr>
                  </w:pPr>
                  <w:r>
                    <w:rPr>
                      <w:rFonts w:hint="eastAsia" w:ascii="Times New Roman" w:hAnsi="Times New Roman" w:cs="Times New Roman"/>
                      <w:color w:val="auto"/>
                      <w:sz w:val="21"/>
                      <w:szCs w:val="21"/>
                      <w:lang w:val="en-US" w:eastAsia="zh-CN" w:bidi="zh-CN"/>
                    </w:rPr>
                    <w:t>/</w:t>
                  </w:r>
                </w:p>
              </w:tc>
              <w:tc>
                <w:tcPr>
                  <w:tcW w:w="1214" w:type="pct"/>
                  <w:tcBorders>
                    <w:tl2br w:val="nil"/>
                    <w:tr2bl w:val="nil"/>
                  </w:tcBorders>
                  <w:vAlign w:val="center"/>
                </w:tcPr>
                <w:p w14:paraId="45E98E9A">
                  <w:pPr>
                    <w:keepNext w:val="0"/>
                    <w:keepLines w:val="0"/>
                    <w:pageBreakBefore w:val="0"/>
                    <w:widowControl w:val="0"/>
                    <w:kinsoku/>
                    <w:wordWrap/>
                    <w:overflowPunct w:val="0"/>
                    <w:topLinePunct w:val="0"/>
                    <w:autoSpaceDE w:val="0"/>
                    <w:autoSpaceDN w:val="0"/>
                    <w:bidi w:val="0"/>
                    <w:snapToGrid w:val="0"/>
                    <w:spacing w:before="0" w:after="0" w:line="240" w:lineRule="auto"/>
                    <w:ind w:left="0" w:leftChars="0" w:right="0" w:rightChars="0" w:firstLine="0" w:firstLineChars="0"/>
                    <w:jc w:val="center"/>
                    <w:rPr>
                      <w:rFonts w:hint="eastAsia" w:ascii="Times New Roman" w:hAnsi="Times New Roman" w:cs="Times New Roman"/>
                      <w:color w:val="auto"/>
                      <w:sz w:val="21"/>
                      <w:szCs w:val="21"/>
                      <w:lang w:val="en-US" w:eastAsia="zh-CN" w:bidi="zh-CN"/>
                    </w:rPr>
                  </w:pPr>
                  <w:r>
                    <w:rPr>
                      <w:rFonts w:hint="eastAsia" w:ascii="Times New Roman" w:hAnsi="Times New Roman" w:cs="Times New Roman"/>
                      <w:color w:val="auto"/>
                      <w:sz w:val="21"/>
                      <w:szCs w:val="21"/>
                      <w:lang w:val="en-US" w:eastAsia="zh-CN" w:bidi="zh-CN"/>
                    </w:rPr>
                    <w:t>/</w:t>
                  </w:r>
                </w:p>
              </w:tc>
              <w:tc>
                <w:tcPr>
                  <w:tcW w:w="1187" w:type="pct"/>
                  <w:tcBorders>
                    <w:tl2br w:val="nil"/>
                    <w:tr2bl w:val="nil"/>
                  </w:tcBorders>
                  <w:shd w:val="clear" w:color="auto" w:fill="auto"/>
                  <w:vAlign w:val="center"/>
                </w:tcPr>
                <w:p w14:paraId="7276C166">
                  <w:pPr>
                    <w:keepNext w:val="0"/>
                    <w:keepLines w:val="0"/>
                    <w:pageBreakBefore w:val="0"/>
                    <w:widowControl w:val="0"/>
                    <w:kinsoku/>
                    <w:wordWrap/>
                    <w:overflowPunct w:val="0"/>
                    <w:topLinePunct w:val="0"/>
                    <w:autoSpaceDE w:val="0"/>
                    <w:autoSpaceDN w:val="0"/>
                    <w:bidi w:val="0"/>
                    <w:snapToGrid w:val="0"/>
                    <w:spacing w:before="0" w:after="0" w:line="240" w:lineRule="auto"/>
                    <w:ind w:left="0" w:leftChars="0" w:right="0" w:rightChars="0" w:firstLine="0" w:firstLineChars="0"/>
                    <w:jc w:val="center"/>
                    <w:rPr>
                      <w:rFonts w:hint="default" w:ascii="Times New Roman" w:hAnsi="Times New Roman" w:cs="Times New Roman"/>
                      <w:color w:val="auto"/>
                      <w:sz w:val="21"/>
                      <w:szCs w:val="21"/>
                      <w:lang w:val="en-US" w:eastAsia="zh-CN" w:bidi="zh-CN"/>
                    </w:rPr>
                  </w:pPr>
                  <w:r>
                    <w:rPr>
                      <w:rFonts w:hint="eastAsia" w:ascii="Times New Roman" w:hAnsi="Times New Roman" w:cs="Times New Roman"/>
                      <w:color w:val="auto"/>
                      <w:sz w:val="21"/>
                      <w:szCs w:val="21"/>
                      <w:lang w:val="en-US" w:eastAsia="zh-CN" w:bidi="zh-CN"/>
                    </w:rPr>
                    <w:t>0.001068</w:t>
                  </w:r>
                </w:p>
              </w:tc>
            </w:tr>
          </w:tbl>
          <w:p w14:paraId="17EFD949">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0" w:firstLineChars="200"/>
              <w:textAlignment w:val="auto"/>
              <w:rPr>
                <w:rFonts w:hint="default" w:ascii="Times New Roman" w:hAnsi="Times New Roman" w:eastAsia="宋体" w:cs="Times New Roman"/>
                <w:b w:val="0"/>
                <w:bCs w:val="0"/>
                <w:i w:val="0"/>
                <w:iCs w:val="0"/>
                <w:color w:val="auto"/>
                <w:highlight w:val="none"/>
                <w:u w:val="none"/>
                <w:lang w:val="en-US" w:eastAsia="zh-CN"/>
              </w:rPr>
            </w:pPr>
            <w:r>
              <w:rPr>
                <w:rFonts w:hint="eastAsia" w:cs="Times New Roman"/>
                <w:i w:val="0"/>
                <w:iCs w:val="0"/>
                <w:color w:val="auto"/>
                <w:sz w:val="24"/>
                <w:highlight w:val="none"/>
                <w:u w:val="single"/>
                <w:lang w:val="en-US" w:eastAsia="zh-CN"/>
              </w:rPr>
              <w:t>核算得出本项目</w:t>
            </w:r>
            <w:r>
              <w:rPr>
                <w:rFonts w:hint="eastAsia" w:cs="Times New Roman"/>
                <w:b w:val="0"/>
                <w:bCs w:val="0"/>
                <w:i w:val="0"/>
                <w:iCs w:val="0"/>
                <w:color w:val="auto"/>
                <w:highlight w:val="none"/>
                <w:u w:val="single"/>
                <w:lang w:val="en-US" w:eastAsia="zh-CN"/>
              </w:rPr>
              <w:t>的q/Q=0.001068＜1，</w:t>
            </w:r>
            <w:r>
              <w:rPr>
                <w:rFonts w:hint="eastAsia" w:cs="Times New Roman"/>
                <w:b w:val="0"/>
                <w:bCs w:val="0"/>
                <w:i w:val="0"/>
                <w:iCs w:val="0"/>
                <w:color w:val="auto"/>
                <w:highlight w:val="none"/>
                <w:u w:val="none"/>
                <w:lang w:val="en-US" w:eastAsia="zh-CN"/>
              </w:rPr>
              <w:t>风险潜势为I，根据《建设项目环境风险评价技术导则》可知，Q值小于1环境风险评价等级为简单分析即可。</w:t>
            </w:r>
          </w:p>
          <w:p w14:paraId="08D07BC1">
            <w:pPr>
              <w:pStyle w:val="127"/>
              <w:keepNext w:val="0"/>
              <w:keepLines w:val="0"/>
              <w:pageBreakBefore w:val="0"/>
              <w:widowControl w:val="0"/>
              <w:kinsoku/>
              <w:wordWrap/>
              <w:overflowPunct/>
              <w:topLinePunct w:val="0"/>
              <w:autoSpaceDE/>
              <w:autoSpaceDN/>
              <w:bidi w:val="0"/>
              <w:adjustRightInd/>
              <w:snapToGrid/>
              <w:spacing w:before="0" w:beforeLines="0" w:line="360" w:lineRule="auto"/>
              <w:ind w:firstLine="482" w:firstLineChars="200"/>
              <w:textAlignment w:val="auto"/>
              <w:rPr>
                <w:rFonts w:hint="eastAsia" w:ascii="Times New Roman" w:hAnsi="Times New Roman" w:eastAsia="宋体" w:cs="Times New Roman"/>
                <w:b/>
                <w:bCs/>
                <w:color w:val="auto"/>
                <w:lang w:val="en-US" w:eastAsia="zh-CN"/>
              </w:rPr>
            </w:pPr>
            <w:r>
              <w:rPr>
                <w:rFonts w:hint="eastAsia" w:ascii="Times New Roman" w:hAnsi="Times New Roman" w:eastAsia="宋体" w:cs="Times New Roman"/>
                <w:b/>
                <w:bCs/>
                <w:color w:val="auto"/>
                <w:lang w:val="en-US" w:eastAsia="zh-CN"/>
              </w:rPr>
              <w:t>2、环境风险识别</w:t>
            </w:r>
          </w:p>
          <w:p w14:paraId="7AB30F8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通过对污水处理厂所选用的处理工艺及所建设施的分析，风险污染事故的类型主要反映在场站非正常运行状况时，可能发生的由于污水排放而引发的环境问题。风险污染事故发生的主要环节有以下几个方面：</w:t>
            </w:r>
          </w:p>
          <w:p w14:paraId="40A5D81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（1）设备故障事故及检修</w:t>
            </w:r>
          </w:p>
          <w:p w14:paraId="5B0F7FD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污水处理工程因设备故障或检修导致部分或全部污水未经处理直接排放</w:t>
            </w:r>
            <w:r>
              <w:rPr>
                <w:rFonts w:hint="eastAsia" w:cs="Times New Roman"/>
                <w:color w:val="auto"/>
                <w:sz w:val="24"/>
                <w:highlight w:val="none"/>
                <w:lang w:val="en-US" w:eastAsia="zh-CN"/>
              </w:rPr>
              <w:t>。</w:t>
            </w:r>
          </w:p>
          <w:p w14:paraId="1D54B15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（2）水质、水量超过处理能力</w:t>
            </w:r>
          </w:p>
          <w:p w14:paraId="4F01E06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本项目为污水处理工程，</w:t>
            </w:r>
            <w:r>
              <w:rPr>
                <w:rFonts w:hint="eastAsia" w:cs="Times New Roman"/>
                <w:color w:val="auto"/>
                <w:sz w:val="24"/>
                <w:highlight w:val="none"/>
                <w:u w:val="none"/>
                <w:lang w:val="en-US" w:eastAsia="zh-CN"/>
              </w:rPr>
              <w:t>项目设计处理能力为1.5万m</w:t>
            </w:r>
            <w:r>
              <w:rPr>
                <w:rFonts w:hint="eastAsia" w:cs="Times New Roman"/>
                <w:color w:val="auto"/>
                <w:sz w:val="24"/>
                <w:highlight w:val="none"/>
                <w:u w:val="none"/>
                <w:vertAlign w:val="superscript"/>
                <w:lang w:val="en-US" w:eastAsia="zh-CN"/>
              </w:rPr>
              <w:t>3</w:t>
            </w:r>
            <w:r>
              <w:rPr>
                <w:rFonts w:hint="eastAsia" w:cs="Times New Roman"/>
                <w:color w:val="auto"/>
                <w:sz w:val="24"/>
                <w:highlight w:val="none"/>
                <w:u w:val="none"/>
                <w:lang w:val="en-US" w:eastAsia="zh-CN"/>
              </w:rPr>
              <w:t>/d，废水量超过处理能力会对污水处理设施有较大的冲击力，破坏污水处理设施，降低处理效率，超标排放，对受纳水体水环境质量的影响</w:t>
            </w:r>
            <w:r>
              <w:rPr>
                <w:rFonts w:hint="eastAsia" w:ascii="Times New Roman" w:hAnsi="Times New Roman" w:eastAsia="宋体" w:cs="Times New Roman"/>
                <w:color w:val="auto"/>
                <w:sz w:val="24"/>
                <w:highlight w:val="none"/>
                <w:u w:val="none"/>
                <w:lang w:val="en-US" w:eastAsia="zh-CN"/>
              </w:rPr>
              <w:t>。</w:t>
            </w:r>
          </w:p>
          <w:p w14:paraId="783A4CD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w:t>
            </w:r>
            <w:r>
              <w:rPr>
                <w:rFonts w:hint="eastAsia" w:cs="Times New Roman"/>
                <w:color w:val="auto"/>
                <w:sz w:val="24"/>
                <w:highlight w:val="none"/>
                <w:u w:val="none"/>
                <w:lang w:val="en-US" w:eastAsia="zh-CN"/>
              </w:rPr>
              <w:t>3</w:t>
            </w:r>
            <w:r>
              <w:rPr>
                <w:rFonts w:hint="eastAsia" w:ascii="Times New Roman" w:hAnsi="Times New Roman" w:eastAsia="宋体" w:cs="Times New Roman"/>
                <w:color w:val="auto"/>
                <w:sz w:val="24"/>
                <w:highlight w:val="none"/>
                <w:u w:val="none"/>
                <w:lang w:val="en-US" w:eastAsia="zh-CN"/>
              </w:rPr>
              <w:t>）</w:t>
            </w:r>
            <w:r>
              <w:rPr>
                <w:rFonts w:hint="eastAsia" w:cs="Times New Roman"/>
                <w:color w:val="auto"/>
                <w:sz w:val="24"/>
                <w:highlight w:val="none"/>
                <w:u w:val="none"/>
                <w:lang w:val="en-US" w:eastAsia="zh-CN"/>
              </w:rPr>
              <w:t>出</w:t>
            </w:r>
            <w:r>
              <w:rPr>
                <w:rFonts w:hint="eastAsia" w:ascii="Times New Roman" w:hAnsi="Times New Roman" w:eastAsia="宋体" w:cs="Times New Roman"/>
                <w:color w:val="auto"/>
                <w:sz w:val="24"/>
                <w:highlight w:val="none"/>
                <w:u w:val="none"/>
                <w:lang w:val="en-US" w:eastAsia="zh-CN"/>
              </w:rPr>
              <w:t>水水质超标</w:t>
            </w:r>
          </w:p>
          <w:p w14:paraId="50ABE53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项目设计进水为生活污水，若往管网排入其他高浓度废水，超过本项目设计处理能力，会对污水处理工艺造成冲击，难以实现废水的稳定达标排放，造成超标废水外排，对受纳水体造成影响</w:t>
            </w:r>
            <w:r>
              <w:rPr>
                <w:rFonts w:hint="eastAsia" w:ascii="Times New Roman" w:hAnsi="Times New Roman" w:eastAsia="宋体" w:cs="Times New Roman"/>
                <w:color w:val="auto"/>
                <w:sz w:val="24"/>
                <w:highlight w:val="none"/>
                <w:u w:val="none"/>
                <w:lang w:val="en-US" w:eastAsia="zh-CN"/>
              </w:rPr>
              <w:t>。</w:t>
            </w:r>
            <w:bookmarkEnd w:id="20"/>
            <w:bookmarkEnd w:id="21"/>
          </w:p>
          <w:p w14:paraId="5E64E94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s="Times New Roman"/>
                <w:color w:val="auto"/>
                <w:sz w:val="24"/>
                <w:highlight w:val="none"/>
                <w:u w:val="none"/>
                <w:lang w:val="en-US" w:eastAsia="zh-CN"/>
              </w:rPr>
            </w:pPr>
            <w:r>
              <w:rPr>
                <w:rFonts w:hint="eastAsia" w:cs="Times New Roman"/>
                <w:color w:val="auto"/>
                <w:sz w:val="24"/>
                <w:highlight w:val="none"/>
                <w:u w:val="none"/>
                <w:lang w:val="en-US" w:eastAsia="zh-CN"/>
              </w:rPr>
              <w:t>（4）污水处理厂停电，导致污水处理设施无法正常运行，将导致事故性排放。</w:t>
            </w:r>
          </w:p>
          <w:p w14:paraId="5F9253E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w:t>
            </w:r>
            <w:r>
              <w:rPr>
                <w:rFonts w:hint="eastAsia" w:cs="Times New Roman"/>
                <w:color w:val="auto"/>
                <w:sz w:val="24"/>
                <w:highlight w:val="none"/>
                <w:u w:val="none"/>
                <w:lang w:val="en-US" w:eastAsia="zh-CN"/>
              </w:rPr>
              <w:t>5</w:t>
            </w:r>
            <w:r>
              <w:rPr>
                <w:rFonts w:hint="eastAsia" w:ascii="Times New Roman" w:hAnsi="Times New Roman" w:eastAsia="宋体" w:cs="Times New Roman"/>
                <w:color w:val="auto"/>
                <w:sz w:val="24"/>
                <w:highlight w:val="none"/>
                <w:u w:val="none"/>
                <w:lang w:val="en-US" w:eastAsia="zh-CN"/>
              </w:rPr>
              <w:t>）</w:t>
            </w:r>
            <w:r>
              <w:rPr>
                <w:rFonts w:hint="eastAsia" w:cs="Times New Roman"/>
                <w:color w:val="auto"/>
                <w:sz w:val="24"/>
                <w:highlight w:val="none"/>
                <w:u w:val="none"/>
                <w:lang w:val="en-US" w:eastAsia="zh-CN"/>
              </w:rPr>
              <w:t>废水处理设施、排污管网破损造成废水泄漏</w:t>
            </w:r>
          </w:p>
          <w:p w14:paraId="12D2FE1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本工程在正常运行的情况下，不会对环境造成不良影响，非正常运行状态主要是指可能发生的</w:t>
            </w:r>
            <w:r>
              <w:rPr>
                <w:rFonts w:hint="eastAsia" w:cs="Times New Roman"/>
                <w:color w:val="auto"/>
                <w:sz w:val="24"/>
                <w:highlight w:val="none"/>
                <w:u w:val="none"/>
                <w:lang w:val="en-US" w:eastAsia="zh-CN"/>
              </w:rPr>
              <w:t>废水处理池</w:t>
            </w:r>
            <w:r>
              <w:rPr>
                <w:rFonts w:hint="eastAsia" w:ascii="Times New Roman" w:hAnsi="Times New Roman" w:eastAsia="宋体" w:cs="Times New Roman"/>
                <w:color w:val="auto"/>
                <w:sz w:val="24"/>
                <w:highlight w:val="none"/>
                <w:u w:val="none"/>
                <w:lang w:val="en-US" w:eastAsia="zh-CN"/>
              </w:rPr>
              <w:t>破裂、断裂等。原因主要有两个方面，一是自然因素，即地震、气候变化等；二是人为因素，即选材、施工、防腐、检修、操作</w:t>
            </w:r>
            <w:r>
              <w:rPr>
                <w:rFonts w:hint="eastAsia" w:cs="Times New Roman"/>
                <w:color w:val="auto"/>
                <w:sz w:val="24"/>
                <w:highlight w:val="none"/>
                <w:u w:val="none"/>
                <w:lang w:val="en-US" w:eastAsia="zh-CN"/>
              </w:rPr>
              <w:t>，池体破裂导致未完全处理的废水泄露到土壤、地表，超标废水泄露对环境会造成污染</w:t>
            </w:r>
            <w:r>
              <w:rPr>
                <w:rFonts w:hint="eastAsia" w:ascii="Times New Roman" w:hAnsi="Times New Roman" w:eastAsia="宋体" w:cs="Times New Roman"/>
                <w:color w:val="auto"/>
                <w:sz w:val="24"/>
                <w:highlight w:val="none"/>
                <w:u w:val="none"/>
                <w:lang w:val="en-US" w:eastAsia="zh-CN"/>
              </w:rPr>
              <w:t>。</w:t>
            </w:r>
          </w:p>
          <w:p w14:paraId="1C8A65E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eastAsia" w:cs="Times New Roman"/>
                <w:b w:val="0"/>
                <w:bCs w:val="0"/>
                <w:color w:val="auto"/>
                <w:sz w:val="24"/>
                <w:highlight w:val="none"/>
                <w:lang w:val="en-US" w:eastAsia="zh-CN"/>
              </w:rPr>
              <w:t>（6）废气处理设施故障导致恶臭气体非正常排放对周边大气环境造成污染；</w:t>
            </w:r>
          </w:p>
          <w:p w14:paraId="148ECA1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highlight w:val="none"/>
                <w:lang w:val="en-US" w:eastAsia="zh-CN"/>
              </w:rPr>
            </w:pPr>
            <w:r>
              <w:rPr>
                <w:rFonts w:hint="eastAsia" w:cs="Times New Roman"/>
                <w:b w:val="0"/>
                <w:bCs w:val="0"/>
                <w:color w:val="auto"/>
                <w:sz w:val="24"/>
                <w:highlight w:val="none"/>
                <w:lang w:val="en-US" w:eastAsia="zh-CN"/>
              </w:rPr>
              <w:t>（7）柴油、危险物质泄漏造成地下水污染。</w:t>
            </w:r>
          </w:p>
          <w:p w14:paraId="7674429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3、风险防范措施</w:t>
            </w:r>
          </w:p>
          <w:p w14:paraId="3CE9E7F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w:t>
            </w:r>
            <w:r>
              <w:rPr>
                <w:rFonts w:hint="eastAsia" w:cs="Times New Roman"/>
                <w:color w:val="auto"/>
                <w:sz w:val="24"/>
                <w:highlight w:val="none"/>
                <w:u w:val="none"/>
                <w:lang w:val="en-US" w:eastAsia="zh-CN"/>
              </w:rPr>
              <w:t>1</w:t>
            </w: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设备出现故障的应急措施</w:t>
            </w:r>
          </w:p>
          <w:p w14:paraId="543FFC4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①</w:t>
            </w:r>
            <w:r>
              <w:rPr>
                <w:rFonts w:hint="eastAsia" w:ascii="Times New Roman" w:hAnsi="Times New Roman" w:eastAsia="宋体" w:cs="Times New Roman"/>
                <w:color w:val="auto"/>
                <w:sz w:val="24"/>
                <w:highlight w:val="none"/>
                <w:u w:val="none"/>
                <w:lang w:val="en-US" w:eastAsia="zh-CN"/>
              </w:rPr>
              <w:t>立即将废水导入事故池</w:t>
            </w:r>
            <w:r>
              <w:rPr>
                <w:rFonts w:hint="eastAsia" w:cs="Times New Roman"/>
                <w:color w:val="auto"/>
                <w:sz w:val="24"/>
                <w:highlight w:val="none"/>
                <w:u w:val="none"/>
                <w:lang w:val="en-US" w:eastAsia="zh-CN"/>
              </w:rPr>
              <w:t>，根据建设单位提供，项目设备故障维修约在8小时范围内可进行维修好，环评建议建设单位设置废水事故池一座（5000m</w:t>
            </w:r>
            <w:r>
              <w:rPr>
                <w:rFonts w:hint="eastAsia" w:cs="Times New Roman"/>
                <w:color w:val="auto"/>
                <w:sz w:val="24"/>
                <w:highlight w:val="none"/>
                <w:u w:val="none"/>
                <w:vertAlign w:val="superscript"/>
                <w:lang w:val="en-US" w:eastAsia="zh-CN"/>
              </w:rPr>
              <w:t>3</w:t>
            </w:r>
            <w:r>
              <w:rPr>
                <w:rFonts w:hint="eastAsia" w:cs="Times New Roman"/>
                <w:color w:val="auto"/>
                <w:sz w:val="24"/>
                <w:highlight w:val="none"/>
                <w:u w:val="none"/>
                <w:lang w:val="en-US" w:eastAsia="zh-CN"/>
              </w:rPr>
              <w:t>），</w:t>
            </w:r>
            <w:r>
              <w:rPr>
                <w:rFonts w:hint="eastAsia"/>
                <w:color w:val="auto"/>
                <w:sz w:val="24"/>
                <w:u w:val="none"/>
                <w:lang w:eastAsia="zh-CN"/>
              </w:rPr>
              <w:t>在事故状态下，事故废水先暂存</w:t>
            </w:r>
            <w:r>
              <w:rPr>
                <w:rFonts w:hint="eastAsia"/>
                <w:color w:val="auto"/>
                <w:sz w:val="24"/>
                <w:u w:val="none"/>
                <w:lang w:val="en-US" w:eastAsia="zh-CN"/>
              </w:rPr>
              <w:t>8小时废水于</w:t>
            </w:r>
            <w:r>
              <w:rPr>
                <w:rFonts w:hint="eastAsia"/>
                <w:color w:val="auto"/>
                <w:sz w:val="24"/>
                <w:u w:val="none"/>
                <w:lang w:eastAsia="zh-CN"/>
              </w:rPr>
              <w:t>事故</w:t>
            </w:r>
            <w:r>
              <w:rPr>
                <w:rFonts w:hint="eastAsia"/>
                <w:color w:val="auto"/>
                <w:sz w:val="24"/>
                <w:highlight w:val="none"/>
                <w:u w:val="none"/>
                <w:lang w:eastAsia="zh-CN"/>
              </w:rPr>
              <w:t>池内</w:t>
            </w:r>
            <w:r>
              <w:rPr>
                <w:rFonts w:hint="default" w:ascii="Times New Roman" w:hAnsi="Times New Roman" w:eastAsia="宋体" w:cs="Times New Roman"/>
                <w:color w:val="auto"/>
                <w:sz w:val="24"/>
                <w:highlight w:val="none"/>
                <w:u w:val="none"/>
                <w:lang w:val="en-US" w:eastAsia="zh-CN"/>
              </w:rPr>
              <w:t>；</w:t>
            </w:r>
          </w:p>
          <w:p w14:paraId="0698629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②及时通知维修人员对故障进行排除，保障正常生产。</w:t>
            </w:r>
          </w:p>
          <w:p w14:paraId="776F4B2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（2）</w:t>
            </w:r>
            <w:r>
              <w:rPr>
                <w:rFonts w:hint="default" w:ascii="Times New Roman" w:hAnsi="Times New Roman" w:eastAsia="宋体" w:cs="Times New Roman"/>
                <w:color w:val="auto"/>
                <w:sz w:val="24"/>
                <w:highlight w:val="none"/>
                <w:u w:val="none"/>
                <w:lang w:val="en-US" w:eastAsia="zh-CN"/>
              </w:rPr>
              <w:t>水质、水量超过处理能力</w:t>
            </w:r>
          </w:p>
          <w:p w14:paraId="4904442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①</w:t>
            </w:r>
            <w:r>
              <w:rPr>
                <w:rFonts w:hint="eastAsia" w:ascii="Times New Roman" w:hAnsi="Times New Roman" w:eastAsia="宋体" w:cs="Times New Roman"/>
                <w:color w:val="auto"/>
                <w:sz w:val="24"/>
                <w:highlight w:val="none"/>
                <w:u w:val="none"/>
                <w:lang w:val="en-US" w:eastAsia="zh-CN"/>
              </w:rPr>
              <w:t>超过设计的水量导入事故池；</w:t>
            </w:r>
          </w:p>
          <w:p w14:paraId="4CAD771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②技术人员及时调整工艺运行参数，恢复出水指标正常；</w:t>
            </w:r>
          </w:p>
          <w:p w14:paraId="25FF911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w:t>
            </w:r>
            <w:r>
              <w:rPr>
                <w:rFonts w:hint="eastAsia" w:cs="Times New Roman"/>
                <w:color w:val="auto"/>
                <w:sz w:val="24"/>
                <w:highlight w:val="none"/>
                <w:u w:val="none"/>
                <w:lang w:val="en-US" w:eastAsia="zh-CN"/>
              </w:rPr>
              <w:t>3</w:t>
            </w: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出水水质超标</w:t>
            </w:r>
          </w:p>
          <w:p w14:paraId="0BD3260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发现出水水质超标后当班人员立即向厂长汇报，厂长应第一时间向公司领导汇报，并在事故处理过程中随时保持与领导小组的联系。</w:t>
            </w:r>
          </w:p>
          <w:p w14:paraId="7793D56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①立即组织化验室相关人员对进水水质、出水水质数据进行分析；</w:t>
            </w:r>
          </w:p>
          <w:p w14:paraId="74022B3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②技术人员根据化验数据对相关工艺参数进行调整，直至出水达标排放。</w:t>
            </w:r>
          </w:p>
          <w:p w14:paraId="05B5689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（4）</w:t>
            </w:r>
            <w:r>
              <w:rPr>
                <w:rFonts w:hint="eastAsia" w:cs="Times New Roman"/>
                <w:color w:val="auto"/>
                <w:sz w:val="24"/>
                <w:highlight w:val="none"/>
                <w:u w:val="none"/>
                <w:lang w:val="en-US" w:eastAsia="zh-CN"/>
              </w:rPr>
              <w:t>停电事故导致污水处理设施不能正常运行</w:t>
            </w:r>
          </w:p>
          <w:p w14:paraId="34D9E99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①</w:t>
            </w:r>
            <w:r>
              <w:rPr>
                <w:rFonts w:hint="eastAsia" w:ascii="Times New Roman" w:hAnsi="Times New Roman" w:eastAsia="宋体" w:cs="Times New Roman"/>
                <w:color w:val="auto"/>
                <w:sz w:val="24"/>
                <w:highlight w:val="none"/>
                <w:u w:val="none"/>
                <w:lang w:val="en-US" w:eastAsia="zh-CN"/>
              </w:rPr>
              <w:t>立即将废水导入事故池（5000m</w:t>
            </w:r>
            <w:r>
              <w:rPr>
                <w:rFonts w:hint="eastAsia" w:ascii="Times New Roman" w:hAnsi="Times New Roman" w:eastAsia="宋体" w:cs="Times New Roman"/>
                <w:color w:val="auto"/>
                <w:sz w:val="24"/>
                <w:highlight w:val="none"/>
                <w:u w:val="none"/>
                <w:vertAlign w:val="superscript"/>
                <w:lang w:val="en-US" w:eastAsia="zh-CN"/>
              </w:rPr>
              <w:t>3</w:t>
            </w:r>
            <w:r>
              <w:rPr>
                <w:rFonts w:hint="eastAsia" w:ascii="Times New Roman" w:hAnsi="Times New Roman" w:eastAsia="宋体" w:cs="Times New Roman"/>
                <w:color w:val="auto"/>
                <w:sz w:val="24"/>
                <w:highlight w:val="none"/>
                <w:u w:val="none"/>
                <w:lang w:val="en-US" w:eastAsia="zh-CN"/>
              </w:rPr>
              <w:t>）</w:t>
            </w:r>
            <w:r>
              <w:rPr>
                <w:rFonts w:hint="default" w:ascii="Times New Roman" w:hAnsi="Times New Roman" w:eastAsia="宋体" w:cs="Times New Roman"/>
                <w:color w:val="auto"/>
                <w:sz w:val="24"/>
                <w:highlight w:val="none"/>
                <w:u w:val="none"/>
                <w:lang w:val="en-US" w:eastAsia="zh-CN"/>
              </w:rPr>
              <w:t>；</w:t>
            </w:r>
          </w:p>
          <w:p w14:paraId="6012A67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highlight w:val="none"/>
                <w:u w:val="none"/>
                <w:lang w:val="en-US" w:eastAsia="zh-CN"/>
              </w:rPr>
            </w:pPr>
            <w:r>
              <w:rPr>
                <w:rFonts w:hint="default" w:ascii="Times New Roman" w:hAnsi="Times New Roman" w:eastAsia="宋体" w:cs="Times New Roman"/>
                <w:color w:val="auto"/>
                <w:sz w:val="24"/>
                <w:highlight w:val="none"/>
                <w:u w:val="none"/>
                <w:lang w:val="en-US" w:eastAsia="zh-CN"/>
              </w:rPr>
              <w:t>②</w:t>
            </w:r>
            <w:r>
              <w:rPr>
                <w:rFonts w:hint="eastAsia" w:ascii="Times New Roman" w:hAnsi="Times New Roman" w:eastAsia="宋体" w:cs="Times New Roman"/>
                <w:color w:val="auto"/>
                <w:sz w:val="24"/>
                <w:highlight w:val="none"/>
                <w:u w:val="none"/>
                <w:lang w:val="en-US" w:eastAsia="zh-CN"/>
              </w:rPr>
              <w:t>立即启动应急备用柴油发电机电源</w:t>
            </w:r>
            <w:r>
              <w:rPr>
                <w:rFonts w:hint="default" w:ascii="Times New Roman" w:hAnsi="Times New Roman" w:eastAsia="宋体" w:cs="Times New Roman"/>
                <w:color w:val="auto"/>
                <w:sz w:val="24"/>
                <w:highlight w:val="none"/>
                <w:u w:val="none"/>
                <w:lang w:val="en-US" w:eastAsia="zh-CN"/>
              </w:rPr>
              <w:t>；</w:t>
            </w:r>
          </w:p>
          <w:p w14:paraId="2E17536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w:t>
            </w:r>
            <w:r>
              <w:rPr>
                <w:rFonts w:hint="eastAsia" w:cs="Times New Roman"/>
                <w:color w:val="auto"/>
                <w:sz w:val="24"/>
                <w:highlight w:val="none"/>
                <w:u w:val="none"/>
                <w:lang w:val="en-US" w:eastAsia="zh-CN"/>
              </w:rPr>
              <w:t>5</w:t>
            </w:r>
            <w:r>
              <w:rPr>
                <w:rFonts w:hint="eastAsia" w:ascii="Times New Roman" w:hAnsi="Times New Roman" w:eastAsia="宋体" w:cs="Times New Roman"/>
                <w:color w:val="auto"/>
                <w:sz w:val="24"/>
                <w:highlight w:val="none"/>
                <w:u w:val="none"/>
                <w:lang w:val="en-US" w:eastAsia="zh-CN"/>
              </w:rPr>
              <w:t>）</w:t>
            </w:r>
            <w:r>
              <w:rPr>
                <w:rFonts w:hint="eastAsia" w:cs="Times New Roman"/>
                <w:color w:val="auto"/>
                <w:sz w:val="24"/>
                <w:highlight w:val="none"/>
                <w:u w:val="none"/>
                <w:lang w:val="en-US" w:eastAsia="zh-CN"/>
              </w:rPr>
              <w:t>废水处理设施、排污管网破损造成废水泄漏</w:t>
            </w:r>
          </w:p>
          <w:p w14:paraId="394D776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cs="Times New Roman"/>
                <w:color w:val="auto"/>
                <w:sz w:val="24"/>
                <w:highlight w:val="none"/>
                <w:u w:val="none"/>
                <w:lang w:val="en-US" w:eastAsia="zh-CN"/>
              </w:rPr>
            </w:pPr>
            <w:r>
              <w:rPr>
                <w:rFonts w:hint="eastAsia" w:ascii="Times New Roman" w:hAnsi="Times New Roman" w:eastAsia="宋体" w:cs="Times New Roman"/>
                <w:color w:val="auto"/>
                <w:sz w:val="24"/>
                <w:highlight w:val="none"/>
                <w:u w:val="none"/>
                <w:lang w:val="en-US" w:eastAsia="zh-CN"/>
              </w:rPr>
              <w:t>项目在实施过程中对污水处理各池体、配套设施等地面均采取防渗、防水处理等措施，同时对污水管道及尾水排放管道定期巡检，杜绝地下水污染防患</w:t>
            </w:r>
            <w:r>
              <w:rPr>
                <w:rFonts w:hint="eastAsia" w:cs="Times New Roman"/>
                <w:color w:val="auto"/>
                <w:sz w:val="24"/>
                <w:highlight w:val="none"/>
                <w:u w:val="none"/>
                <w:lang w:val="en-US" w:eastAsia="zh-CN"/>
              </w:rPr>
              <w:t>。</w:t>
            </w:r>
          </w:p>
          <w:p w14:paraId="21C4B04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highlight w:val="none"/>
                <w:u w:val="none"/>
                <w:lang w:val="en-US" w:eastAsia="zh-CN"/>
              </w:rPr>
            </w:pPr>
            <w:r>
              <w:rPr>
                <w:rFonts w:hint="eastAsia" w:cs="Times New Roman"/>
                <w:color w:val="auto"/>
                <w:sz w:val="24"/>
                <w:highlight w:val="none"/>
                <w:u w:val="none"/>
                <w:lang w:val="en-US" w:eastAsia="zh-CN"/>
              </w:rPr>
              <w:t>（6）</w:t>
            </w:r>
            <w:r>
              <w:rPr>
                <w:rFonts w:hint="eastAsia" w:ascii="Times New Roman" w:hAnsi="Times New Roman" w:eastAsia="宋体" w:cs="Times New Roman"/>
                <w:color w:val="auto"/>
                <w:sz w:val="24"/>
                <w:highlight w:val="none"/>
                <w:u w:val="none"/>
                <w:lang w:val="en-US" w:eastAsia="zh-CN"/>
              </w:rPr>
              <w:t>在出水口安装在线监测装置，设置进站、出站污水截断装置，当事故发生后，立即截断污水来源和杜绝事故排放，及时发现不良水质进入污水处理厂。</w:t>
            </w:r>
          </w:p>
          <w:p w14:paraId="681691BA">
            <w:pPr>
              <w:spacing w:line="360" w:lineRule="auto"/>
              <w:ind w:firstLine="480" w:firstLineChars="200"/>
              <w:rPr>
                <w:rFonts w:hint="default" w:ascii="Times New Roman" w:hAnsi="Times New Roman" w:eastAsia="宋" w:cs="宋体"/>
                <w:color w:val="auto"/>
                <w:sz w:val="24"/>
                <w:lang w:val="en-US" w:eastAsia="zh-CN"/>
              </w:rPr>
            </w:pPr>
            <w:r>
              <w:rPr>
                <w:rFonts w:hint="eastAsia" w:eastAsia="宋" w:cs="宋体"/>
                <w:color w:val="auto"/>
                <w:sz w:val="24"/>
                <w:lang w:eastAsia="zh-CN"/>
              </w:rPr>
              <w:t>（</w:t>
            </w:r>
            <w:r>
              <w:rPr>
                <w:rFonts w:hint="eastAsia" w:eastAsia="宋" w:cs="宋体"/>
                <w:color w:val="auto"/>
                <w:sz w:val="24"/>
                <w:lang w:val="en-US" w:eastAsia="zh-CN"/>
              </w:rPr>
              <w:t>7</w:t>
            </w:r>
            <w:r>
              <w:rPr>
                <w:rFonts w:hint="eastAsia" w:eastAsia="宋" w:cs="宋体"/>
                <w:color w:val="auto"/>
                <w:sz w:val="24"/>
                <w:lang w:eastAsia="zh-CN"/>
              </w:rPr>
              <w:t>）</w:t>
            </w:r>
            <w:r>
              <w:rPr>
                <w:rFonts w:hint="eastAsia" w:eastAsia="宋" w:cs="宋体"/>
                <w:color w:val="auto"/>
                <w:sz w:val="24"/>
                <w:lang w:val="en-US" w:eastAsia="zh-CN"/>
              </w:rPr>
              <w:t>废气事故排放</w:t>
            </w:r>
          </w:p>
          <w:p w14:paraId="0067A86C">
            <w:pPr>
              <w:spacing w:line="360" w:lineRule="auto"/>
              <w:ind w:firstLine="480" w:firstLineChars="200"/>
              <w:rPr>
                <w:rFonts w:hint="default" w:ascii="Times New Roman" w:hAnsi="Times New Roman" w:eastAsia="宋" w:cs="宋体"/>
                <w:color w:val="auto"/>
                <w:sz w:val="24"/>
                <w:lang w:val="en-US" w:eastAsia="zh-CN"/>
              </w:rPr>
            </w:pPr>
            <w:r>
              <w:rPr>
                <w:rFonts w:hint="eastAsia" w:eastAsia="宋" w:cs="宋体"/>
                <w:color w:val="auto"/>
                <w:sz w:val="24"/>
                <w:lang w:val="en-US" w:eastAsia="zh-CN"/>
              </w:rPr>
              <w:t>加强设备日常维护和管理，建立可靠的运行监控体系，保证一旦事故发生能及时处理。</w:t>
            </w:r>
          </w:p>
          <w:p w14:paraId="72A3836B">
            <w:pPr>
              <w:spacing w:line="360" w:lineRule="auto"/>
              <w:ind w:firstLine="480" w:firstLineChars="200"/>
              <w:rPr>
                <w:rFonts w:hint="eastAsia" w:ascii="Times New Roman" w:hAnsi="Times New Roman" w:eastAsia="宋" w:cs="宋体"/>
                <w:color w:val="auto"/>
                <w:sz w:val="24"/>
                <w:lang w:eastAsia="zh-CN"/>
              </w:rPr>
            </w:pPr>
            <w:r>
              <w:rPr>
                <w:rFonts w:hint="eastAsia" w:eastAsia="宋" w:cs="宋体"/>
                <w:color w:val="auto"/>
                <w:sz w:val="24"/>
                <w:lang w:eastAsia="zh-CN"/>
              </w:rPr>
              <w:t>（</w:t>
            </w:r>
            <w:r>
              <w:rPr>
                <w:rFonts w:hint="eastAsia" w:eastAsia="宋" w:cs="宋体"/>
                <w:color w:val="auto"/>
                <w:sz w:val="24"/>
                <w:lang w:val="en-US" w:eastAsia="zh-CN"/>
              </w:rPr>
              <w:t>8</w:t>
            </w:r>
            <w:r>
              <w:rPr>
                <w:rFonts w:hint="eastAsia" w:eastAsia="宋" w:cs="宋体"/>
                <w:color w:val="auto"/>
                <w:sz w:val="24"/>
                <w:lang w:eastAsia="zh-CN"/>
              </w:rPr>
              <w:t>）柴油、危险物质泄漏</w:t>
            </w:r>
          </w:p>
          <w:p w14:paraId="5E6EED3E">
            <w:pPr>
              <w:spacing w:line="360" w:lineRule="auto"/>
              <w:ind w:firstLine="480" w:firstLineChars="200"/>
              <w:rPr>
                <w:rFonts w:hint="eastAsia" w:ascii="Times New Roman" w:hAnsi="Times New Roman" w:eastAsia="宋" w:cs="宋体"/>
                <w:color w:val="auto"/>
                <w:sz w:val="24"/>
                <w:lang w:eastAsia="zh-CN"/>
              </w:rPr>
            </w:pPr>
            <w:r>
              <w:rPr>
                <w:rFonts w:hint="eastAsia" w:ascii="Times New Roman" w:hAnsi="Times New Roman" w:eastAsia="宋" w:cs="宋体"/>
                <w:color w:val="auto"/>
                <w:sz w:val="24"/>
                <w:lang w:eastAsia="zh-CN"/>
              </w:rPr>
              <w:t>危险废物按照《危险废物贮存污染控制标准》（GB18597-2023）的要求进行临时储存，送有资质单位进行安全处置。柴油罐、危险废物暂存间设置围堰，确保柴油、危险废物等泄漏不溢流、蔓延</w:t>
            </w:r>
            <w:r>
              <w:rPr>
                <w:rFonts w:hint="eastAsia" w:eastAsia="宋" w:cs="宋体"/>
                <w:color w:val="auto"/>
                <w:sz w:val="24"/>
                <w:lang w:eastAsia="zh-CN"/>
              </w:rPr>
              <w:t>。</w:t>
            </w:r>
          </w:p>
          <w:p w14:paraId="66417809">
            <w:pPr>
              <w:spacing w:line="360" w:lineRule="auto"/>
              <w:ind w:firstLine="480" w:firstLineChars="200"/>
              <w:rPr>
                <w:rFonts w:hint="eastAsia" w:ascii="Times New Roman" w:hAnsi="Times New Roman" w:eastAsia="宋" w:cs="宋体"/>
                <w:color w:val="auto"/>
                <w:sz w:val="24"/>
                <w:lang w:eastAsia="zh-CN"/>
              </w:rPr>
            </w:pPr>
            <w:r>
              <w:rPr>
                <w:rFonts w:hint="eastAsia" w:ascii="Times New Roman" w:hAnsi="Times New Roman" w:eastAsia="宋" w:cs="宋体"/>
                <w:color w:val="auto"/>
                <w:sz w:val="24"/>
                <w:lang w:eastAsia="zh-CN"/>
              </w:rPr>
              <w:t>（</w:t>
            </w:r>
            <w:r>
              <w:rPr>
                <w:rFonts w:hint="eastAsia" w:eastAsia="宋" w:cs="宋体"/>
                <w:color w:val="auto"/>
                <w:sz w:val="24"/>
                <w:lang w:val="en-US" w:eastAsia="zh-CN"/>
              </w:rPr>
              <w:t>9</w:t>
            </w:r>
            <w:r>
              <w:rPr>
                <w:rFonts w:hint="eastAsia" w:ascii="Times New Roman" w:hAnsi="Times New Roman" w:eastAsia="宋" w:cs="宋体"/>
                <w:color w:val="auto"/>
                <w:sz w:val="24"/>
                <w:lang w:eastAsia="zh-CN"/>
              </w:rPr>
              <w:t>）事故应急监测</w:t>
            </w:r>
          </w:p>
          <w:p w14:paraId="1B2ACCD2">
            <w:pPr>
              <w:spacing w:line="360" w:lineRule="auto"/>
              <w:ind w:firstLine="480" w:firstLineChars="200"/>
              <w:rPr>
                <w:rFonts w:hint="eastAsia" w:ascii="Times New Roman" w:hAnsi="Times New Roman" w:eastAsia="宋" w:cs="宋体"/>
                <w:color w:val="auto"/>
                <w:sz w:val="24"/>
                <w:lang w:eastAsia="zh-CN"/>
              </w:rPr>
            </w:pPr>
            <w:r>
              <w:rPr>
                <w:rFonts w:hint="eastAsia" w:ascii="Times New Roman" w:hAnsi="Times New Roman" w:eastAsia="宋" w:cs="宋体"/>
                <w:color w:val="auto"/>
                <w:sz w:val="24"/>
                <w:lang w:eastAsia="zh-CN"/>
              </w:rPr>
              <w:t>事故发生后应立即通知当地环保部门，并通知当地所在地的上一级环保部门，立即启动环境应急监测预案，及时掌握发生事故的危害程度、影响范围及影响程度。</w:t>
            </w:r>
          </w:p>
          <w:p w14:paraId="476235E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5、环境风险评价结论</w:t>
            </w:r>
          </w:p>
          <w:p w14:paraId="1FE585DD">
            <w:pPr>
              <w:spacing w:line="360" w:lineRule="auto"/>
              <w:ind w:firstLine="480" w:firstLineChars="200"/>
              <w:rPr>
                <w:rFonts w:hint="eastAsia" w:ascii="Times New Roman" w:hAnsi="Times New Roman" w:eastAsia="宋" w:cs="宋体"/>
                <w:color w:val="auto"/>
                <w:sz w:val="24"/>
                <w:lang w:eastAsia="zh-CN"/>
              </w:rPr>
            </w:pPr>
            <w:r>
              <w:rPr>
                <w:rFonts w:hint="eastAsia" w:ascii="Times New Roman" w:hAnsi="Times New Roman" w:eastAsia="宋" w:cs="宋体"/>
                <w:color w:val="auto"/>
                <w:sz w:val="24"/>
                <w:lang w:eastAsia="zh-CN"/>
              </w:rPr>
              <w:t>工程项目运营过程中要加强管理，遵守相应的规章制度。同时运营期严格制定并严格执行日常生产操作规程和相关的事故应急救援预案、制定突发环境事件应急预案。项目建成后，严格执行本环评中提出的风险防范措施，合理建设，风险事故将降至到最低，也保证了厂区和周围人们的生命财产安全。</w:t>
            </w:r>
          </w:p>
          <w:p w14:paraId="3B369A22">
            <w:pPr>
              <w:spacing w:line="360" w:lineRule="auto"/>
              <w:ind w:firstLine="480" w:firstLineChars="200"/>
              <w:rPr>
                <w:rFonts w:hint="eastAsia" w:ascii="Times New Roman" w:hAnsi="Times New Roman" w:eastAsia="宋" w:cs="宋体"/>
                <w:color w:val="auto"/>
                <w:sz w:val="24"/>
                <w:lang w:eastAsia="zh-CN"/>
              </w:rPr>
            </w:pPr>
            <w:r>
              <w:rPr>
                <w:rFonts w:hint="eastAsia" w:ascii="Times New Roman" w:hAnsi="Times New Roman" w:eastAsia="宋" w:cs="宋体"/>
                <w:color w:val="auto"/>
                <w:sz w:val="24"/>
                <w:lang w:eastAsia="zh-CN"/>
              </w:rPr>
              <w:t>环评要求建设单位按照安评提出的相关要求安全运营，加强安全教育培训，杜绝事故的发生，并做好安全设施的维护。项目按照环评要求实施，项目环境风险是可控的。</w:t>
            </w:r>
          </w:p>
          <w:p w14:paraId="178CEC06">
            <w:pPr>
              <w:jc w:val="center"/>
              <w:rPr>
                <w:color w:val="auto"/>
                <w:sz w:val="24"/>
                <w:szCs w:val="24"/>
                <w:u w:val="none"/>
              </w:rPr>
            </w:pPr>
            <w:r>
              <w:rPr>
                <w:rFonts w:hint="eastAsia" w:eastAsia="新宋体" w:cs="宋体"/>
                <w:b/>
                <w:color w:val="auto"/>
                <w:szCs w:val="21"/>
                <w:u w:val="none"/>
              </w:rPr>
              <w:t>表</w:t>
            </w:r>
            <w:r>
              <w:rPr>
                <w:rFonts w:hint="eastAsia" w:eastAsia="新宋体" w:cs="宋体"/>
                <w:b/>
                <w:color w:val="auto"/>
                <w:szCs w:val="21"/>
                <w:u w:val="none"/>
                <w:lang w:val="en-US" w:eastAsia="zh-CN"/>
              </w:rPr>
              <w:t>4</w:t>
            </w:r>
            <w:r>
              <w:rPr>
                <w:rFonts w:eastAsia="新宋体" w:cs="宋体"/>
                <w:b/>
                <w:color w:val="auto"/>
                <w:szCs w:val="21"/>
                <w:u w:val="none"/>
              </w:rPr>
              <w:t>-</w:t>
            </w:r>
            <w:r>
              <w:rPr>
                <w:rFonts w:hint="eastAsia" w:eastAsia="新宋体" w:cs="宋体"/>
                <w:b/>
                <w:color w:val="auto"/>
                <w:szCs w:val="21"/>
                <w:u w:val="none"/>
              </w:rPr>
              <w:t>1</w:t>
            </w:r>
            <w:r>
              <w:rPr>
                <w:rFonts w:hint="eastAsia" w:eastAsia="新宋体" w:cs="宋体"/>
                <w:b/>
                <w:color w:val="auto"/>
                <w:szCs w:val="21"/>
                <w:u w:val="none"/>
                <w:lang w:val="en-US" w:eastAsia="zh-CN"/>
              </w:rPr>
              <w:t>6</w:t>
            </w:r>
            <w:r>
              <w:rPr>
                <w:rFonts w:hint="eastAsia" w:eastAsia="新宋体" w:cs="宋体"/>
                <w:b/>
                <w:color w:val="auto"/>
                <w:szCs w:val="21"/>
                <w:u w:val="none"/>
              </w:rPr>
              <w:t xml:space="preserve"> </w:t>
            </w:r>
            <w:r>
              <w:rPr>
                <w:rFonts w:eastAsia="新宋体" w:cs="宋体"/>
                <w:b/>
                <w:color w:val="auto"/>
                <w:szCs w:val="21"/>
                <w:u w:val="none"/>
              </w:rPr>
              <w:t xml:space="preserve">  </w:t>
            </w:r>
            <w:r>
              <w:rPr>
                <w:rFonts w:hint="eastAsia" w:eastAsia="新宋体" w:cs="宋体"/>
                <w:b/>
                <w:color w:val="auto"/>
                <w:szCs w:val="21"/>
                <w:u w:val="none"/>
              </w:rPr>
              <w:t>建设项目环境风险简单分析内容表</w:t>
            </w:r>
          </w:p>
          <w:tbl>
            <w:tblPr>
              <w:tblStyle w:val="32"/>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50"/>
              <w:gridCol w:w="1159"/>
              <w:gridCol w:w="1372"/>
              <w:gridCol w:w="915"/>
              <w:gridCol w:w="1279"/>
              <w:gridCol w:w="2368"/>
            </w:tblGrid>
            <w:tr w14:paraId="7B72D9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5" w:type="pct"/>
                  <w:tcBorders>
                    <w:tl2br w:val="nil"/>
                    <w:tr2bl w:val="nil"/>
                  </w:tcBorders>
                  <w:noWrap w:val="0"/>
                  <w:vAlign w:val="center"/>
                </w:tcPr>
                <w:p w14:paraId="74493DD6">
                  <w:pPr>
                    <w:jc w:val="center"/>
                    <w:rPr>
                      <w:color w:val="auto"/>
                      <w:szCs w:val="21"/>
                      <w:u w:val="none"/>
                    </w:rPr>
                  </w:pPr>
                  <w:r>
                    <w:rPr>
                      <w:rFonts w:hint="eastAsia"/>
                      <w:color w:val="auto"/>
                      <w:szCs w:val="21"/>
                      <w:u w:val="none"/>
                    </w:rPr>
                    <w:t>建设项目名称</w:t>
                  </w:r>
                </w:p>
              </w:tc>
              <w:tc>
                <w:tcPr>
                  <w:tcW w:w="4074" w:type="pct"/>
                  <w:gridSpan w:val="5"/>
                  <w:tcBorders>
                    <w:tl2br w:val="nil"/>
                    <w:tr2bl w:val="nil"/>
                  </w:tcBorders>
                  <w:noWrap w:val="0"/>
                  <w:vAlign w:val="center"/>
                </w:tcPr>
                <w:p w14:paraId="7BC29F49">
                  <w:pPr>
                    <w:jc w:val="center"/>
                    <w:rPr>
                      <w:color w:val="auto"/>
                      <w:szCs w:val="21"/>
                      <w:u w:val="none"/>
                    </w:rPr>
                  </w:pPr>
                  <w:r>
                    <w:rPr>
                      <w:rFonts w:hint="eastAsia" w:ascii="宋体" w:hAnsi="宋体"/>
                      <w:color w:val="auto"/>
                      <w:szCs w:val="21"/>
                      <w:u w:val="none"/>
                      <w:lang w:eastAsia="zh-CN"/>
                    </w:rPr>
                    <w:t>龙山县城区污水处理设施提质增效工程-高铁新区污水处理设施建设项目</w:t>
                  </w:r>
                </w:p>
              </w:tc>
            </w:tr>
            <w:tr w14:paraId="02B28E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trPr>
              <w:tc>
                <w:tcPr>
                  <w:tcW w:w="925" w:type="pct"/>
                  <w:tcBorders>
                    <w:tl2br w:val="nil"/>
                    <w:tr2bl w:val="nil"/>
                  </w:tcBorders>
                  <w:noWrap w:val="0"/>
                  <w:vAlign w:val="center"/>
                </w:tcPr>
                <w:p w14:paraId="7581BD15">
                  <w:pPr>
                    <w:jc w:val="center"/>
                    <w:rPr>
                      <w:color w:val="auto"/>
                      <w:szCs w:val="21"/>
                      <w:u w:val="none"/>
                    </w:rPr>
                  </w:pPr>
                  <w:r>
                    <w:rPr>
                      <w:rFonts w:hint="eastAsia"/>
                      <w:color w:val="auto"/>
                      <w:szCs w:val="21"/>
                      <w:u w:val="none"/>
                    </w:rPr>
                    <w:t>建设地点</w:t>
                  </w:r>
                </w:p>
              </w:tc>
              <w:tc>
                <w:tcPr>
                  <w:tcW w:w="699" w:type="pct"/>
                  <w:tcBorders>
                    <w:tl2br w:val="nil"/>
                    <w:tr2bl w:val="nil"/>
                  </w:tcBorders>
                  <w:noWrap w:val="0"/>
                  <w:vAlign w:val="center"/>
                </w:tcPr>
                <w:p w14:paraId="75435C68">
                  <w:pPr>
                    <w:jc w:val="center"/>
                    <w:rPr>
                      <w:color w:val="auto"/>
                      <w:szCs w:val="21"/>
                      <w:u w:val="none"/>
                    </w:rPr>
                  </w:pPr>
                  <w:r>
                    <w:rPr>
                      <w:rFonts w:hint="eastAsia"/>
                      <w:color w:val="auto"/>
                      <w:szCs w:val="21"/>
                      <w:u w:val="none"/>
                    </w:rPr>
                    <w:t>（湖南）省</w:t>
                  </w:r>
                </w:p>
              </w:tc>
              <w:tc>
                <w:tcPr>
                  <w:tcW w:w="726" w:type="pct"/>
                  <w:tcBorders>
                    <w:tl2br w:val="nil"/>
                    <w:tr2bl w:val="nil"/>
                  </w:tcBorders>
                  <w:noWrap w:val="0"/>
                  <w:vAlign w:val="center"/>
                </w:tcPr>
                <w:p w14:paraId="3A852ACF">
                  <w:pPr>
                    <w:jc w:val="center"/>
                    <w:rPr>
                      <w:color w:val="auto"/>
                      <w:szCs w:val="21"/>
                      <w:u w:val="none"/>
                    </w:rPr>
                  </w:pPr>
                  <w:r>
                    <w:rPr>
                      <w:rFonts w:hint="eastAsia"/>
                      <w:color w:val="auto"/>
                      <w:szCs w:val="21"/>
                      <w:u w:val="none"/>
                    </w:rPr>
                    <w:t>（</w:t>
                  </w:r>
                  <w:r>
                    <w:rPr>
                      <w:rFonts w:hint="eastAsia"/>
                      <w:color w:val="auto"/>
                      <w:szCs w:val="21"/>
                      <w:u w:val="none"/>
                      <w:lang w:eastAsia="zh-CN"/>
                    </w:rPr>
                    <w:t>湘西州</w:t>
                  </w:r>
                  <w:r>
                    <w:rPr>
                      <w:rFonts w:hint="eastAsia"/>
                      <w:color w:val="auto"/>
                      <w:szCs w:val="21"/>
                      <w:u w:val="none"/>
                    </w:rPr>
                    <w:t>）市</w:t>
                  </w:r>
                </w:p>
              </w:tc>
              <w:tc>
                <w:tcPr>
                  <w:tcW w:w="484" w:type="pct"/>
                  <w:tcBorders>
                    <w:tl2br w:val="nil"/>
                    <w:tr2bl w:val="nil"/>
                  </w:tcBorders>
                  <w:noWrap w:val="0"/>
                  <w:vAlign w:val="center"/>
                </w:tcPr>
                <w:p w14:paraId="2130EF12">
                  <w:pPr>
                    <w:jc w:val="center"/>
                    <w:rPr>
                      <w:rFonts w:hint="eastAsia"/>
                      <w:color w:val="auto"/>
                      <w:szCs w:val="21"/>
                      <w:highlight w:val="yellow"/>
                      <w:u w:val="none"/>
                    </w:rPr>
                  </w:pPr>
                  <w:r>
                    <w:rPr>
                      <w:rFonts w:hint="eastAsia"/>
                      <w:color w:val="auto"/>
                      <w:szCs w:val="21"/>
                      <w:u w:val="none"/>
                    </w:rPr>
                    <w:t>（）区</w:t>
                  </w:r>
                </w:p>
              </w:tc>
              <w:tc>
                <w:tcPr>
                  <w:tcW w:w="768" w:type="pct"/>
                  <w:tcBorders>
                    <w:tl2br w:val="nil"/>
                    <w:tr2bl w:val="nil"/>
                  </w:tcBorders>
                  <w:noWrap w:val="0"/>
                  <w:vAlign w:val="center"/>
                </w:tcPr>
                <w:p w14:paraId="3CAECBFD">
                  <w:pPr>
                    <w:jc w:val="center"/>
                    <w:rPr>
                      <w:color w:val="auto"/>
                      <w:szCs w:val="21"/>
                      <w:u w:val="none"/>
                    </w:rPr>
                  </w:pPr>
                  <w:r>
                    <w:rPr>
                      <w:rFonts w:hint="eastAsia"/>
                      <w:color w:val="auto"/>
                      <w:szCs w:val="21"/>
                      <w:u w:val="none"/>
                    </w:rPr>
                    <w:t>（</w:t>
                  </w:r>
                  <w:r>
                    <w:rPr>
                      <w:rFonts w:hint="eastAsia"/>
                      <w:color w:val="auto"/>
                      <w:szCs w:val="21"/>
                      <w:u w:val="none"/>
                      <w:lang w:eastAsia="zh-CN"/>
                    </w:rPr>
                    <w:t>龙山</w:t>
                  </w:r>
                  <w:r>
                    <w:rPr>
                      <w:rFonts w:hint="eastAsia"/>
                      <w:color w:val="auto"/>
                      <w:szCs w:val="21"/>
                      <w:u w:val="none"/>
                    </w:rPr>
                    <w:t>）县</w:t>
                  </w:r>
                </w:p>
              </w:tc>
              <w:tc>
                <w:tcPr>
                  <w:tcW w:w="1395" w:type="pct"/>
                  <w:tcBorders>
                    <w:tl2br w:val="nil"/>
                    <w:tr2bl w:val="nil"/>
                  </w:tcBorders>
                  <w:noWrap w:val="0"/>
                  <w:vAlign w:val="center"/>
                </w:tcPr>
                <w:p w14:paraId="13649172">
                  <w:pPr>
                    <w:jc w:val="center"/>
                    <w:rPr>
                      <w:color w:val="auto"/>
                      <w:szCs w:val="21"/>
                      <w:highlight w:val="yellow"/>
                      <w:u w:val="none"/>
                    </w:rPr>
                  </w:pPr>
                  <w:r>
                    <w:rPr>
                      <w:rFonts w:hint="eastAsia"/>
                      <w:color w:val="auto"/>
                      <w:szCs w:val="21"/>
                      <w:u w:val="none"/>
                      <w:lang w:eastAsia="zh-CN"/>
                    </w:rPr>
                    <w:t xml:space="preserve"> 高铁新区</w:t>
                  </w:r>
                </w:p>
              </w:tc>
            </w:tr>
            <w:tr w14:paraId="3E59C8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5" w:type="pct"/>
                  <w:tcBorders>
                    <w:tl2br w:val="nil"/>
                    <w:tr2bl w:val="nil"/>
                  </w:tcBorders>
                  <w:noWrap w:val="0"/>
                  <w:vAlign w:val="center"/>
                </w:tcPr>
                <w:p w14:paraId="418EFAE4">
                  <w:pPr>
                    <w:jc w:val="center"/>
                    <w:rPr>
                      <w:color w:val="auto"/>
                      <w:szCs w:val="21"/>
                      <w:u w:val="none"/>
                    </w:rPr>
                  </w:pPr>
                  <w:r>
                    <w:rPr>
                      <w:rFonts w:hint="eastAsia"/>
                      <w:color w:val="auto"/>
                      <w:szCs w:val="21"/>
                      <w:u w:val="none"/>
                    </w:rPr>
                    <w:t>地理坐标</w:t>
                  </w:r>
                </w:p>
              </w:tc>
              <w:tc>
                <w:tcPr>
                  <w:tcW w:w="699" w:type="pct"/>
                  <w:tcBorders>
                    <w:tl2br w:val="nil"/>
                    <w:tr2bl w:val="nil"/>
                  </w:tcBorders>
                  <w:noWrap w:val="0"/>
                  <w:vAlign w:val="center"/>
                </w:tcPr>
                <w:p w14:paraId="5DC84E58">
                  <w:pPr>
                    <w:jc w:val="center"/>
                    <w:rPr>
                      <w:color w:val="auto"/>
                      <w:sz w:val="21"/>
                      <w:szCs w:val="21"/>
                      <w:u w:val="none"/>
                    </w:rPr>
                  </w:pPr>
                  <w:r>
                    <w:rPr>
                      <w:rFonts w:hint="eastAsia"/>
                      <w:color w:val="auto"/>
                      <w:sz w:val="21"/>
                      <w:szCs w:val="21"/>
                      <w:u w:val="none"/>
                    </w:rPr>
                    <w:t>经度</w:t>
                  </w:r>
                </w:p>
              </w:tc>
              <w:tc>
                <w:tcPr>
                  <w:tcW w:w="1210" w:type="pct"/>
                  <w:gridSpan w:val="2"/>
                  <w:tcBorders>
                    <w:tl2br w:val="nil"/>
                    <w:tr2bl w:val="nil"/>
                  </w:tcBorders>
                  <w:noWrap w:val="0"/>
                  <w:vAlign w:val="center"/>
                </w:tcPr>
                <w:p w14:paraId="15814EC4">
                  <w:pPr>
                    <w:jc w:val="center"/>
                    <w:rPr>
                      <w:color w:val="auto"/>
                      <w:sz w:val="21"/>
                      <w:szCs w:val="21"/>
                      <w:u w:val="none"/>
                    </w:rPr>
                  </w:pPr>
                  <w:r>
                    <w:rPr>
                      <w:rFonts w:hint="eastAsia" w:cs="Times New Roman"/>
                      <w:color w:val="auto"/>
                      <w:sz w:val="21"/>
                      <w:szCs w:val="21"/>
                      <w:highlight w:val="none"/>
                      <w:u w:val="none"/>
                      <w:lang w:val="en-US" w:eastAsia="zh-CN"/>
                    </w:rPr>
                    <w:t>E109°27′32.205″，</w:t>
                  </w:r>
                </w:p>
              </w:tc>
              <w:tc>
                <w:tcPr>
                  <w:tcW w:w="768" w:type="pct"/>
                  <w:tcBorders>
                    <w:tl2br w:val="nil"/>
                    <w:tr2bl w:val="nil"/>
                  </w:tcBorders>
                  <w:noWrap w:val="0"/>
                  <w:vAlign w:val="center"/>
                </w:tcPr>
                <w:p w14:paraId="697FD5BD">
                  <w:pPr>
                    <w:jc w:val="center"/>
                    <w:rPr>
                      <w:rFonts w:hint="eastAsia" w:ascii="Times New Roman" w:hAnsi="Times New Roman" w:eastAsia="宋体" w:cs="Times New Roman"/>
                      <w:color w:val="auto"/>
                      <w:sz w:val="21"/>
                      <w:szCs w:val="21"/>
                      <w:u w:val="none"/>
                    </w:rPr>
                  </w:pPr>
                  <w:r>
                    <w:rPr>
                      <w:rFonts w:hint="eastAsia" w:ascii="Times New Roman" w:hAnsi="Times New Roman" w:eastAsia="宋体" w:cs="Times New Roman"/>
                      <w:color w:val="auto"/>
                      <w:sz w:val="21"/>
                      <w:szCs w:val="21"/>
                      <w:u w:val="none"/>
                    </w:rPr>
                    <w:t>纬度</w:t>
                  </w:r>
                </w:p>
              </w:tc>
              <w:tc>
                <w:tcPr>
                  <w:tcW w:w="1395" w:type="pct"/>
                  <w:tcBorders>
                    <w:tl2br w:val="nil"/>
                    <w:tr2bl w:val="nil"/>
                  </w:tcBorders>
                  <w:noWrap w:val="0"/>
                  <w:vAlign w:val="center"/>
                </w:tcPr>
                <w:p w14:paraId="51A3B5BB">
                  <w:pPr>
                    <w:jc w:val="center"/>
                    <w:rPr>
                      <w:rFonts w:hint="eastAsia" w:ascii="Times New Roman" w:hAnsi="Times New Roman" w:eastAsia="宋体" w:cs="Times New Roman"/>
                      <w:color w:val="auto"/>
                      <w:sz w:val="21"/>
                      <w:szCs w:val="21"/>
                      <w:u w:val="none"/>
                    </w:rPr>
                  </w:pPr>
                  <w:r>
                    <w:rPr>
                      <w:rFonts w:hint="eastAsia" w:cs="Times New Roman"/>
                      <w:color w:val="auto"/>
                      <w:sz w:val="21"/>
                      <w:szCs w:val="21"/>
                      <w:highlight w:val="none"/>
                      <w:u w:val="none"/>
                      <w:lang w:val="en-US" w:eastAsia="zh-CN"/>
                    </w:rPr>
                    <w:t>N29°28′47.010″</w:t>
                  </w:r>
                </w:p>
              </w:tc>
            </w:tr>
            <w:tr w14:paraId="547972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5" w:type="pct"/>
                  <w:tcBorders>
                    <w:tl2br w:val="nil"/>
                    <w:tr2bl w:val="nil"/>
                  </w:tcBorders>
                  <w:noWrap w:val="0"/>
                  <w:vAlign w:val="center"/>
                </w:tcPr>
                <w:p w14:paraId="7624DBE2">
                  <w:pPr>
                    <w:jc w:val="center"/>
                    <w:rPr>
                      <w:color w:val="auto"/>
                      <w:szCs w:val="21"/>
                      <w:u w:val="none"/>
                    </w:rPr>
                  </w:pPr>
                  <w:r>
                    <w:rPr>
                      <w:rFonts w:hint="eastAsia"/>
                      <w:color w:val="auto"/>
                      <w:szCs w:val="21"/>
                      <w:u w:val="none"/>
                    </w:rPr>
                    <w:t>主要危险物质及分布</w:t>
                  </w:r>
                </w:p>
              </w:tc>
              <w:tc>
                <w:tcPr>
                  <w:tcW w:w="4074" w:type="pct"/>
                  <w:gridSpan w:val="5"/>
                  <w:tcBorders>
                    <w:tl2br w:val="nil"/>
                    <w:tr2bl w:val="nil"/>
                  </w:tcBorders>
                  <w:noWrap w:val="0"/>
                  <w:vAlign w:val="center"/>
                </w:tcPr>
                <w:p w14:paraId="52323F67">
                  <w:pPr>
                    <w:rPr>
                      <w:rFonts w:hint="eastAsia" w:eastAsia="宋体"/>
                      <w:color w:val="auto"/>
                      <w:szCs w:val="21"/>
                      <w:u w:val="none"/>
                      <w:lang w:eastAsia="zh-CN"/>
                    </w:rPr>
                  </w:pPr>
                  <w:r>
                    <w:rPr>
                      <w:rFonts w:hint="eastAsia"/>
                      <w:color w:val="auto"/>
                      <w:szCs w:val="21"/>
                      <w:u w:val="none"/>
                      <w:lang w:eastAsia="zh-CN"/>
                    </w:rPr>
                    <w:t>废水</w:t>
                  </w:r>
                </w:p>
              </w:tc>
            </w:tr>
            <w:tr w14:paraId="656EDA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25" w:type="pct"/>
                  <w:tcBorders>
                    <w:tl2br w:val="nil"/>
                    <w:tr2bl w:val="nil"/>
                  </w:tcBorders>
                  <w:noWrap w:val="0"/>
                  <w:vAlign w:val="center"/>
                </w:tcPr>
                <w:p w14:paraId="77AF7DC9">
                  <w:pPr>
                    <w:jc w:val="center"/>
                    <w:rPr>
                      <w:color w:val="auto"/>
                      <w:szCs w:val="21"/>
                      <w:u w:val="none"/>
                    </w:rPr>
                  </w:pPr>
                  <w:r>
                    <w:rPr>
                      <w:rFonts w:hint="eastAsia"/>
                      <w:color w:val="auto"/>
                      <w:szCs w:val="21"/>
                      <w:u w:val="none"/>
                    </w:rPr>
                    <w:t>环境影响途经及危害后果（大气、地表水、地下水等）</w:t>
                  </w:r>
                </w:p>
              </w:tc>
              <w:tc>
                <w:tcPr>
                  <w:tcW w:w="4074" w:type="pct"/>
                  <w:gridSpan w:val="5"/>
                  <w:tcBorders>
                    <w:tl2br w:val="nil"/>
                    <w:tr2bl w:val="nil"/>
                  </w:tcBorders>
                  <w:noWrap w:val="0"/>
                  <w:vAlign w:val="center"/>
                </w:tcPr>
                <w:p w14:paraId="54CC55EF">
                  <w:pPr>
                    <w:numPr>
                      <w:ilvl w:val="0"/>
                      <w:numId w:val="4"/>
                    </w:numPr>
                    <w:rPr>
                      <w:rFonts w:hint="default"/>
                      <w:color w:val="auto"/>
                      <w:lang w:val="en-US" w:eastAsia="zh-CN"/>
                    </w:rPr>
                  </w:pPr>
                  <w:r>
                    <w:rPr>
                      <w:rFonts w:hint="eastAsia"/>
                      <w:color w:val="auto"/>
                      <w:lang w:val="en-US" w:eastAsia="zh-CN"/>
                    </w:rPr>
                    <w:t>大气环境：废气处理设施故障，废气事故排放对大气环境造成污染；（2）</w:t>
                  </w:r>
                  <w:r>
                    <w:rPr>
                      <w:rFonts w:hint="default"/>
                      <w:color w:val="auto"/>
                      <w:lang w:val="en-US" w:eastAsia="zh-CN"/>
                    </w:rPr>
                    <w:t>地表水环境：设备故障、操作失误、停电等引发废水污染物超标排放对</w:t>
                  </w:r>
                  <w:r>
                    <w:rPr>
                      <w:rFonts w:hint="eastAsia"/>
                      <w:color w:val="auto"/>
                      <w:lang w:val="en-US" w:eastAsia="zh-CN"/>
                    </w:rPr>
                    <w:t>地表水</w:t>
                  </w:r>
                  <w:r>
                    <w:rPr>
                      <w:rFonts w:hint="default"/>
                      <w:color w:val="auto"/>
                      <w:lang w:val="en-US" w:eastAsia="zh-CN"/>
                    </w:rPr>
                    <w:t>造成</w:t>
                  </w:r>
                  <w:r>
                    <w:rPr>
                      <w:rFonts w:hint="eastAsia"/>
                      <w:color w:val="auto"/>
                      <w:lang w:val="en-US" w:eastAsia="zh-CN"/>
                    </w:rPr>
                    <w:t>污染</w:t>
                  </w:r>
                  <w:r>
                    <w:rPr>
                      <w:rFonts w:hint="default"/>
                      <w:color w:val="auto"/>
                      <w:lang w:val="en-US" w:eastAsia="zh-CN"/>
                    </w:rPr>
                    <w:t>；</w:t>
                  </w:r>
                </w:p>
                <w:p w14:paraId="382C9140">
                  <w:pPr>
                    <w:numPr>
                      <w:ilvl w:val="0"/>
                      <w:numId w:val="0"/>
                    </w:numPr>
                    <w:rPr>
                      <w:rFonts w:hint="default"/>
                      <w:color w:val="auto"/>
                      <w:lang w:val="en-US" w:eastAsia="zh-CN"/>
                    </w:rPr>
                  </w:pPr>
                  <w:r>
                    <w:rPr>
                      <w:rFonts w:hint="eastAsia"/>
                      <w:color w:val="auto"/>
                      <w:lang w:val="en-US" w:eastAsia="zh-CN"/>
                    </w:rPr>
                    <w:t>（3）</w:t>
                  </w:r>
                  <w:r>
                    <w:rPr>
                      <w:rFonts w:hint="default"/>
                      <w:color w:val="auto"/>
                      <w:lang w:val="en-US" w:eastAsia="zh-CN"/>
                    </w:rPr>
                    <w:t>地下水：设备腐蚀、材质缺陷、操作失误、调节池等防渗层破裂等造成废水泄漏，进入地下水</w:t>
                  </w:r>
                  <w:r>
                    <w:rPr>
                      <w:rFonts w:hint="eastAsia"/>
                      <w:color w:val="auto"/>
                      <w:lang w:val="en-US" w:eastAsia="zh-CN"/>
                    </w:rPr>
                    <w:t>，对地下水造成污染</w:t>
                  </w:r>
                  <w:r>
                    <w:rPr>
                      <w:rFonts w:hint="default"/>
                      <w:color w:val="auto"/>
                      <w:lang w:val="en-US" w:eastAsia="zh-CN"/>
                    </w:rPr>
                    <w:t>。</w:t>
                  </w:r>
                </w:p>
              </w:tc>
            </w:tr>
            <w:tr w14:paraId="699DC7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5" w:hRule="atLeast"/>
              </w:trPr>
              <w:tc>
                <w:tcPr>
                  <w:tcW w:w="925" w:type="pct"/>
                  <w:tcBorders>
                    <w:tl2br w:val="nil"/>
                    <w:tr2bl w:val="nil"/>
                  </w:tcBorders>
                  <w:noWrap w:val="0"/>
                  <w:vAlign w:val="center"/>
                </w:tcPr>
                <w:p w14:paraId="2133489C">
                  <w:pPr>
                    <w:jc w:val="center"/>
                    <w:rPr>
                      <w:color w:val="auto"/>
                      <w:szCs w:val="21"/>
                      <w:u w:val="none"/>
                    </w:rPr>
                  </w:pPr>
                  <w:r>
                    <w:rPr>
                      <w:rFonts w:hint="eastAsia"/>
                      <w:color w:val="auto"/>
                      <w:szCs w:val="21"/>
                      <w:u w:val="none"/>
                    </w:rPr>
                    <w:t>风险防范措施要求</w:t>
                  </w:r>
                </w:p>
              </w:tc>
              <w:tc>
                <w:tcPr>
                  <w:tcW w:w="4074" w:type="pct"/>
                  <w:gridSpan w:val="5"/>
                  <w:tcBorders>
                    <w:tl2br w:val="nil"/>
                    <w:tr2bl w:val="nil"/>
                  </w:tcBorders>
                  <w:noWrap w:val="0"/>
                  <w:vAlign w:val="center"/>
                </w:tcPr>
                <w:p w14:paraId="6203CD2F">
                  <w:pPr>
                    <w:rPr>
                      <w:rFonts w:hint="eastAsia"/>
                      <w:color w:val="auto"/>
                      <w:szCs w:val="21"/>
                      <w:u w:val="none"/>
                    </w:rPr>
                  </w:pPr>
                  <w:r>
                    <w:rPr>
                      <w:rFonts w:hint="eastAsia"/>
                      <w:color w:val="auto"/>
                      <w:szCs w:val="21"/>
                      <w:u w:val="none"/>
                    </w:rPr>
                    <w:t>①加强管道和设备的维护和管理，提高设备的完好率，关键设备要备足维修器材和备用设备，保证一旦事故发生能及时处理；</w:t>
                  </w:r>
                  <w:r>
                    <w:rPr>
                      <w:rFonts w:hint="eastAsia"/>
                      <w:color w:val="auto"/>
                      <w:szCs w:val="21"/>
                      <w:u w:val="none"/>
                      <w:lang w:val="en-US" w:eastAsia="zh-CN"/>
                    </w:rPr>
                    <w:t>设置</w:t>
                  </w:r>
                  <w:r>
                    <w:rPr>
                      <w:rFonts w:hint="eastAsia"/>
                      <w:color w:val="auto"/>
                      <w:szCs w:val="21"/>
                      <w:u w:val="none"/>
                    </w:rPr>
                    <w:t>应急事故池，保证发生事故时能储存污水；</w:t>
                  </w:r>
                </w:p>
                <w:p w14:paraId="14DC31AF">
                  <w:pPr>
                    <w:rPr>
                      <w:rFonts w:hint="eastAsia"/>
                      <w:color w:val="auto"/>
                      <w:szCs w:val="21"/>
                      <w:u w:val="none"/>
                    </w:rPr>
                  </w:pPr>
                  <w:r>
                    <w:rPr>
                      <w:rFonts w:hint="eastAsia"/>
                      <w:color w:val="auto"/>
                      <w:szCs w:val="21"/>
                      <w:u w:val="none"/>
                    </w:rPr>
                    <w:t>②建立可靠的运行监测系统，包括计量、采样、监测、报警等设施，发现异常情况及时调整运行参数，以控制和避免事故的发生；要建立完善的档案制度，记录事故发生原因、工况以便不断总结经验，杜绝事故重复发生。</w:t>
                  </w:r>
                </w:p>
                <w:p w14:paraId="1242670E">
                  <w:pPr>
                    <w:rPr>
                      <w:rFonts w:hint="eastAsia"/>
                      <w:color w:val="auto"/>
                      <w:szCs w:val="21"/>
                      <w:u w:val="none"/>
                    </w:rPr>
                  </w:pPr>
                  <w:r>
                    <w:rPr>
                      <w:rFonts w:hint="eastAsia"/>
                      <w:color w:val="auto"/>
                      <w:szCs w:val="21"/>
                      <w:u w:val="none"/>
                    </w:rPr>
                    <w:t>③危险废物按照《危险废物贮存污染控制标准》（GB18597-2023）的要求进行临时储存，送有资质单位进行安全处置。</w:t>
                  </w:r>
                  <w:r>
                    <w:rPr>
                      <w:rFonts w:hint="eastAsia"/>
                      <w:color w:val="auto"/>
                      <w:szCs w:val="21"/>
                      <w:u w:val="none"/>
                      <w:lang w:val="en-US" w:eastAsia="zh-CN"/>
                    </w:rPr>
                    <w:t>柴油罐、危险</w:t>
                  </w:r>
                  <w:r>
                    <w:rPr>
                      <w:rFonts w:hint="eastAsia"/>
                      <w:color w:val="auto"/>
                      <w:szCs w:val="21"/>
                      <w:u w:val="none"/>
                    </w:rPr>
                    <w:t>废物暂存间设置围堰，确保</w:t>
                  </w:r>
                  <w:r>
                    <w:rPr>
                      <w:rFonts w:hint="eastAsia"/>
                      <w:color w:val="auto"/>
                      <w:szCs w:val="21"/>
                      <w:u w:val="none"/>
                      <w:lang w:val="en-US" w:eastAsia="zh-CN"/>
                    </w:rPr>
                    <w:t>柴油、危险废物</w:t>
                  </w:r>
                  <w:r>
                    <w:rPr>
                      <w:rFonts w:hint="eastAsia"/>
                      <w:color w:val="auto"/>
                      <w:szCs w:val="21"/>
                      <w:u w:val="none"/>
                    </w:rPr>
                    <w:t>等泄漏不溢流、蔓延。</w:t>
                  </w:r>
                </w:p>
                <w:p w14:paraId="21B7A53A">
                  <w:pPr>
                    <w:rPr>
                      <w:color w:val="auto"/>
                      <w:szCs w:val="21"/>
                      <w:u w:val="none"/>
                    </w:rPr>
                  </w:pPr>
                  <w:r>
                    <w:rPr>
                      <w:rFonts w:hint="eastAsia"/>
                      <w:color w:val="auto"/>
                      <w:szCs w:val="21"/>
                      <w:u w:val="none"/>
                    </w:rPr>
                    <w:t>④制定突发环境事件应急预案，在发生突发环境事故时，能以最快的速度发挥最大的效能，有序的实施救援，尽快控制事态的发展，降低事故造成的危害，减少事故造成的损失。</w:t>
                  </w:r>
                </w:p>
              </w:tc>
            </w:tr>
            <w:tr w14:paraId="7B9B71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6"/>
                  <w:tcBorders>
                    <w:tl2br w:val="nil"/>
                    <w:tr2bl w:val="nil"/>
                  </w:tcBorders>
                  <w:noWrap w:val="0"/>
                  <w:vAlign w:val="top"/>
                </w:tcPr>
                <w:p w14:paraId="7526AF91">
                  <w:pPr>
                    <w:rPr>
                      <w:color w:val="auto"/>
                      <w:szCs w:val="21"/>
                      <w:u w:val="none"/>
                    </w:rPr>
                  </w:pPr>
                  <w:r>
                    <w:rPr>
                      <w:rFonts w:hint="eastAsia"/>
                      <w:color w:val="auto"/>
                      <w:szCs w:val="21"/>
                      <w:u w:val="none"/>
                    </w:rPr>
                    <w:t>填表说明（列出项目相关信息及评价说明）：</w:t>
                  </w:r>
                </w:p>
                <w:p w14:paraId="62926B89">
                  <w:pPr>
                    <w:adjustRightInd w:val="0"/>
                    <w:snapToGrid w:val="0"/>
                    <w:ind w:firstLine="420" w:firstLineChars="200"/>
                    <w:rPr>
                      <w:color w:val="auto"/>
                      <w:szCs w:val="21"/>
                      <w:u w:val="none"/>
                    </w:rPr>
                  </w:pPr>
                  <w:r>
                    <w:rPr>
                      <w:rFonts w:hint="eastAsia"/>
                      <w:color w:val="auto"/>
                      <w:szCs w:val="21"/>
                      <w:u w:val="none"/>
                    </w:rPr>
                    <w:t>无</w:t>
                  </w:r>
                </w:p>
              </w:tc>
            </w:tr>
          </w:tbl>
          <w:p w14:paraId="0276767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highlight w:val="none"/>
                <w:u w:val="none"/>
                <w:lang w:val="en-US" w:eastAsia="zh-CN"/>
              </w:rPr>
            </w:pPr>
            <w:r>
              <w:rPr>
                <w:rFonts w:hint="eastAsia" w:ascii="Times New Roman" w:hAnsi="Times New Roman" w:eastAsia="宋体" w:cs="Times New Roman"/>
                <w:b/>
                <w:bCs/>
                <w:color w:val="auto"/>
                <w:sz w:val="24"/>
                <w:highlight w:val="none"/>
                <w:u w:val="none"/>
                <w:lang w:val="en-US" w:eastAsia="zh-CN"/>
              </w:rPr>
              <w:t>6、环保投资</w:t>
            </w:r>
          </w:p>
          <w:p w14:paraId="5A76F714">
            <w:pPr>
              <w:spacing w:line="360" w:lineRule="auto"/>
              <w:ind w:firstLine="480" w:firstLineChars="200"/>
              <w:rPr>
                <w:rFonts w:hint="eastAsia" w:ascii="Times New Roman" w:hAnsi="Times New Roman" w:eastAsia="宋体" w:cs="宋体"/>
                <w:color w:val="auto"/>
                <w:sz w:val="24"/>
                <w:highlight w:val="none"/>
                <w:u w:val="none"/>
                <w:lang w:eastAsia="zh-CN"/>
              </w:rPr>
            </w:pPr>
            <w:r>
              <w:rPr>
                <w:rFonts w:hint="eastAsia" w:ascii="Times New Roman" w:hAnsi="Times New Roman" w:eastAsia="宋体" w:cs="宋体"/>
                <w:color w:val="auto"/>
                <w:sz w:val="24"/>
                <w:highlight w:val="none"/>
                <w:u w:val="none"/>
                <w:lang w:eastAsia="zh-CN"/>
              </w:rPr>
              <w:t>主要污染防治措施及投资核算见</w:t>
            </w:r>
            <w:r>
              <w:rPr>
                <w:rFonts w:hint="eastAsia" w:ascii="Times New Roman" w:hAnsi="Times New Roman" w:eastAsia="宋体" w:cs="宋体"/>
                <w:color w:val="auto"/>
                <w:sz w:val="24"/>
                <w:highlight w:val="none"/>
                <w:u w:val="none"/>
                <w:lang w:eastAsia="zh-CN"/>
              </w:rPr>
              <w:fldChar w:fldCharType="begin"/>
            </w:r>
            <w:r>
              <w:rPr>
                <w:rFonts w:hint="eastAsia" w:ascii="Times New Roman" w:hAnsi="Times New Roman" w:eastAsia="宋体" w:cs="宋体"/>
                <w:color w:val="auto"/>
                <w:sz w:val="24"/>
                <w:highlight w:val="none"/>
                <w:u w:val="none"/>
                <w:lang w:eastAsia="zh-CN"/>
              </w:rPr>
              <w:instrText xml:space="preserve"> REF _Ref499276431 \h </w:instrText>
            </w:r>
            <w:r>
              <w:rPr>
                <w:rFonts w:hint="eastAsia" w:ascii="Times New Roman" w:hAnsi="Times New Roman" w:eastAsia="宋体" w:cs="宋体"/>
                <w:color w:val="auto"/>
                <w:sz w:val="24"/>
                <w:highlight w:val="none"/>
                <w:u w:val="none"/>
                <w:lang w:eastAsia="zh-CN"/>
              </w:rPr>
              <w:fldChar w:fldCharType="separate"/>
            </w:r>
            <w:r>
              <w:rPr>
                <w:rFonts w:hint="eastAsia" w:ascii="Times New Roman" w:hAnsi="Times New Roman" w:eastAsia="宋体" w:cs="宋体"/>
                <w:color w:val="auto"/>
                <w:sz w:val="24"/>
                <w:highlight w:val="none"/>
                <w:u w:val="none"/>
                <w:lang w:eastAsia="zh-CN"/>
              </w:rPr>
              <w:t xml:space="preserve">表 </w:t>
            </w:r>
            <w:r>
              <w:rPr>
                <w:rFonts w:hint="eastAsia" w:ascii="Times New Roman" w:hAnsi="Times New Roman" w:eastAsia="宋体" w:cs="宋体"/>
                <w:color w:val="auto"/>
                <w:sz w:val="24"/>
                <w:highlight w:val="none"/>
                <w:u w:val="none"/>
                <w:lang w:val="en-US" w:eastAsia="zh-CN"/>
              </w:rPr>
              <w:t>4.1</w:t>
            </w:r>
            <w:r>
              <w:rPr>
                <w:rFonts w:hint="eastAsia" w:cs="宋体"/>
                <w:color w:val="auto"/>
                <w:sz w:val="24"/>
                <w:highlight w:val="none"/>
                <w:u w:val="none"/>
                <w:lang w:val="en-US" w:eastAsia="zh-CN"/>
              </w:rPr>
              <w:t>7</w:t>
            </w:r>
            <w:r>
              <w:rPr>
                <w:rFonts w:hint="eastAsia" w:ascii="Times New Roman" w:hAnsi="Times New Roman" w:eastAsia="宋体" w:cs="宋体"/>
                <w:color w:val="auto"/>
                <w:sz w:val="24"/>
                <w:highlight w:val="none"/>
                <w:u w:val="none"/>
                <w:lang w:eastAsia="zh-CN"/>
              </w:rPr>
              <w:fldChar w:fldCharType="end"/>
            </w:r>
            <w:r>
              <w:rPr>
                <w:rFonts w:hint="eastAsia" w:ascii="Times New Roman" w:hAnsi="Times New Roman" w:eastAsia="宋体" w:cs="宋体"/>
                <w:color w:val="auto"/>
                <w:sz w:val="24"/>
                <w:highlight w:val="none"/>
                <w:u w:val="none"/>
                <w:lang w:eastAsia="zh-CN"/>
              </w:rPr>
              <w:t>所示。</w:t>
            </w:r>
          </w:p>
          <w:p w14:paraId="282B7A97">
            <w:pPr>
              <w:spacing w:line="360" w:lineRule="auto"/>
              <w:ind w:firstLine="422" w:firstLineChars="200"/>
              <w:jc w:val="center"/>
              <w:rPr>
                <w:rFonts w:hint="eastAsia" w:ascii="Times New Roman" w:hAnsi="Times New Roman" w:eastAsia="宋体" w:cs="宋体"/>
                <w:b/>
                <w:bCs/>
                <w:color w:val="auto"/>
                <w:sz w:val="21"/>
                <w:szCs w:val="21"/>
                <w:highlight w:val="none"/>
                <w:u w:val="none"/>
                <w:lang w:eastAsia="zh-CN"/>
              </w:rPr>
            </w:pPr>
            <w:bookmarkStart w:id="22" w:name="_Ref499276431"/>
            <w:r>
              <w:rPr>
                <w:rFonts w:hint="eastAsia" w:ascii="Times New Roman" w:hAnsi="Times New Roman" w:eastAsia="宋体" w:cs="宋体"/>
                <w:b/>
                <w:bCs/>
                <w:color w:val="auto"/>
                <w:sz w:val="21"/>
                <w:szCs w:val="21"/>
                <w:highlight w:val="none"/>
                <w:u w:val="none"/>
                <w:lang w:eastAsia="zh-CN"/>
              </w:rPr>
              <w:t>表</w:t>
            </w:r>
            <w:r>
              <w:rPr>
                <w:rFonts w:hint="eastAsia" w:ascii="Times New Roman" w:hAnsi="Times New Roman" w:eastAsia="宋体" w:cs="宋体"/>
                <w:b/>
                <w:bCs/>
                <w:color w:val="auto"/>
                <w:sz w:val="21"/>
                <w:szCs w:val="21"/>
                <w:highlight w:val="none"/>
                <w:u w:val="none"/>
                <w:lang w:val="en-US" w:eastAsia="zh-CN"/>
              </w:rPr>
              <w:t>4.</w:t>
            </w:r>
            <w:bookmarkEnd w:id="22"/>
            <w:r>
              <w:rPr>
                <w:rFonts w:hint="eastAsia" w:ascii="Times New Roman" w:hAnsi="Times New Roman" w:eastAsia="宋体" w:cs="宋体"/>
                <w:b/>
                <w:bCs/>
                <w:color w:val="auto"/>
                <w:sz w:val="21"/>
                <w:szCs w:val="21"/>
                <w:highlight w:val="none"/>
                <w:u w:val="none"/>
                <w:lang w:val="en-US" w:eastAsia="zh-CN"/>
              </w:rPr>
              <w:t>1</w:t>
            </w:r>
            <w:r>
              <w:rPr>
                <w:rFonts w:hint="eastAsia" w:cs="宋体"/>
                <w:b/>
                <w:bCs/>
                <w:color w:val="auto"/>
                <w:sz w:val="21"/>
                <w:szCs w:val="21"/>
                <w:highlight w:val="none"/>
                <w:u w:val="none"/>
                <w:lang w:val="en-US" w:eastAsia="zh-CN"/>
              </w:rPr>
              <w:t>7</w:t>
            </w:r>
            <w:r>
              <w:rPr>
                <w:rFonts w:hint="eastAsia" w:ascii="Times New Roman" w:hAnsi="Times New Roman" w:eastAsia="宋体" w:cs="宋体"/>
                <w:b/>
                <w:bCs/>
                <w:color w:val="auto"/>
                <w:sz w:val="21"/>
                <w:szCs w:val="21"/>
                <w:highlight w:val="none"/>
                <w:u w:val="none"/>
                <w:lang w:eastAsia="zh-CN"/>
              </w:rPr>
              <w:t xml:space="preserve"> 环保投资估算表</w:t>
            </w:r>
          </w:p>
          <w:tbl>
            <w:tblPr>
              <w:tblStyle w:val="32"/>
              <w:tblW w:w="833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23"/>
              <w:gridCol w:w="2000"/>
              <w:gridCol w:w="1013"/>
              <w:gridCol w:w="2881"/>
              <w:gridCol w:w="1513"/>
            </w:tblGrid>
            <w:tr w14:paraId="5C6C4F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tcBorders>
                    <w:tl2br w:val="nil"/>
                    <w:tr2bl w:val="nil"/>
                  </w:tcBorders>
                  <w:noWrap w:val="0"/>
                  <w:vAlign w:val="center"/>
                </w:tcPr>
                <w:p w14:paraId="088DBD56">
                  <w:pPr>
                    <w:pStyle w:val="145"/>
                    <w:rPr>
                      <w:b/>
                      <w:bCs/>
                      <w:color w:val="auto"/>
                      <w:u w:val="none"/>
                    </w:rPr>
                  </w:pPr>
                  <w:r>
                    <w:rPr>
                      <w:b/>
                      <w:bCs/>
                      <w:color w:val="auto"/>
                      <w:u w:val="none"/>
                    </w:rPr>
                    <w:t>污染源</w:t>
                  </w:r>
                </w:p>
              </w:tc>
              <w:tc>
                <w:tcPr>
                  <w:tcW w:w="2000" w:type="dxa"/>
                  <w:tcBorders>
                    <w:tl2br w:val="nil"/>
                    <w:tr2bl w:val="nil"/>
                  </w:tcBorders>
                  <w:noWrap w:val="0"/>
                  <w:vAlign w:val="center"/>
                </w:tcPr>
                <w:p w14:paraId="435056A7">
                  <w:pPr>
                    <w:pStyle w:val="145"/>
                    <w:rPr>
                      <w:b/>
                      <w:bCs/>
                      <w:color w:val="auto"/>
                      <w:u w:val="none"/>
                    </w:rPr>
                  </w:pPr>
                  <w:r>
                    <w:rPr>
                      <w:b/>
                      <w:bCs/>
                      <w:color w:val="auto"/>
                      <w:u w:val="none"/>
                    </w:rPr>
                    <w:t>环保设施名称</w:t>
                  </w:r>
                </w:p>
              </w:tc>
              <w:tc>
                <w:tcPr>
                  <w:tcW w:w="1013" w:type="dxa"/>
                  <w:tcBorders>
                    <w:tl2br w:val="nil"/>
                    <w:tr2bl w:val="nil"/>
                  </w:tcBorders>
                  <w:noWrap w:val="0"/>
                  <w:vAlign w:val="center"/>
                </w:tcPr>
                <w:p w14:paraId="5DF9EA81">
                  <w:pPr>
                    <w:pStyle w:val="145"/>
                    <w:rPr>
                      <w:b/>
                      <w:bCs/>
                      <w:color w:val="auto"/>
                      <w:u w:val="none"/>
                    </w:rPr>
                  </w:pPr>
                  <w:r>
                    <w:rPr>
                      <w:b/>
                      <w:bCs/>
                      <w:color w:val="auto"/>
                      <w:u w:val="none"/>
                    </w:rPr>
                    <w:t>投资（万元）</w:t>
                  </w:r>
                </w:p>
              </w:tc>
              <w:tc>
                <w:tcPr>
                  <w:tcW w:w="2881" w:type="dxa"/>
                  <w:tcBorders>
                    <w:tl2br w:val="nil"/>
                    <w:tr2bl w:val="nil"/>
                  </w:tcBorders>
                  <w:noWrap w:val="0"/>
                  <w:vAlign w:val="center"/>
                </w:tcPr>
                <w:p w14:paraId="7ACECE69">
                  <w:pPr>
                    <w:pStyle w:val="145"/>
                    <w:rPr>
                      <w:b/>
                      <w:bCs/>
                      <w:color w:val="auto"/>
                      <w:u w:val="none"/>
                    </w:rPr>
                  </w:pPr>
                  <w:r>
                    <w:rPr>
                      <w:b/>
                      <w:bCs/>
                      <w:color w:val="auto"/>
                      <w:u w:val="none"/>
                    </w:rPr>
                    <w:t>内容</w:t>
                  </w:r>
                </w:p>
              </w:tc>
              <w:tc>
                <w:tcPr>
                  <w:tcW w:w="1513" w:type="dxa"/>
                  <w:tcBorders>
                    <w:tl2br w:val="nil"/>
                    <w:tr2bl w:val="nil"/>
                  </w:tcBorders>
                  <w:noWrap w:val="0"/>
                  <w:vAlign w:val="center"/>
                </w:tcPr>
                <w:p w14:paraId="447F6B90">
                  <w:pPr>
                    <w:pStyle w:val="145"/>
                    <w:rPr>
                      <w:b/>
                      <w:bCs/>
                      <w:color w:val="auto"/>
                      <w:u w:val="none"/>
                    </w:rPr>
                  </w:pPr>
                  <w:r>
                    <w:rPr>
                      <w:b/>
                      <w:bCs/>
                      <w:color w:val="auto"/>
                      <w:u w:val="none"/>
                    </w:rPr>
                    <w:t>投资时期</w:t>
                  </w:r>
                </w:p>
              </w:tc>
            </w:tr>
            <w:tr w14:paraId="45B1C8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vMerge w:val="restart"/>
                  <w:tcBorders>
                    <w:tl2br w:val="nil"/>
                    <w:tr2bl w:val="nil"/>
                  </w:tcBorders>
                  <w:noWrap w:val="0"/>
                  <w:vAlign w:val="center"/>
                </w:tcPr>
                <w:p w14:paraId="231CAA51">
                  <w:pPr>
                    <w:pStyle w:val="145"/>
                    <w:rPr>
                      <w:color w:val="auto"/>
                      <w:u w:val="none"/>
                    </w:rPr>
                  </w:pPr>
                  <w:r>
                    <w:rPr>
                      <w:color w:val="auto"/>
                      <w:u w:val="none"/>
                    </w:rPr>
                    <w:t>废水</w:t>
                  </w:r>
                </w:p>
              </w:tc>
              <w:tc>
                <w:tcPr>
                  <w:tcW w:w="2000" w:type="dxa"/>
                  <w:tcBorders>
                    <w:tl2br w:val="nil"/>
                    <w:tr2bl w:val="nil"/>
                  </w:tcBorders>
                  <w:noWrap w:val="0"/>
                  <w:vAlign w:val="center"/>
                </w:tcPr>
                <w:p w14:paraId="23F050A2">
                  <w:pPr>
                    <w:pStyle w:val="145"/>
                    <w:rPr>
                      <w:color w:val="auto"/>
                      <w:u w:val="none"/>
                    </w:rPr>
                  </w:pPr>
                  <w:r>
                    <w:rPr>
                      <w:color w:val="auto"/>
                      <w:u w:val="none"/>
                    </w:rPr>
                    <w:t>化粪池</w:t>
                  </w:r>
                </w:p>
              </w:tc>
              <w:tc>
                <w:tcPr>
                  <w:tcW w:w="1013" w:type="dxa"/>
                  <w:tcBorders>
                    <w:tl2br w:val="nil"/>
                    <w:tr2bl w:val="nil"/>
                  </w:tcBorders>
                  <w:noWrap w:val="0"/>
                  <w:vAlign w:val="center"/>
                </w:tcPr>
                <w:p w14:paraId="2A645CCC">
                  <w:pPr>
                    <w:pStyle w:val="145"/>
                    <w:rPr>
                      <w:rFonts w:hint="eastAsia" w:ascii="Times New Roman" w:hAnsi="Times New Roman" w:eastAsia="宋" w:cs="宋体"/>
                      <w:color w:val="auto"/>
                      <w:kern w:val="2"/>
                      <w:sz w:val="21"/>
                      <w:szCs w:val="21"/>
                      <w:u w:val="none"/>
                      <w:lang w:val="en-US" w:eastAsia="zh-CN" w:bidi="ar-SA"/>
                    </w:rPr>
                  </w:pPr>
                  <w:r>
                    <w:rPr>
                      <w:rFonts w:hint="eastAsia" w:ascii="Times New Roman" w:hAnsi="Times New Roman" w:eastAsia="宋" w:cs="宋体"/>
                      <w:color w:val="auto"/>
                      <w:kern w:val="2"/>
                      <w:sz w:val="21"/>
                      <w:szCs w:val="21"/>
                      <w:u w:val="none"/>
                      <w:lang w:val="en-US" w:eastAsia="zh-CN" w:bidi="ar-SA"/>
                    </w:rPr>
                    <w:t>5</w:t>
                  </w:r>
                </w:p>
              </w:tc>
              <w:tc>
                <w:tcPr>
                  <w:tcW w:w="2881" w:type="dxa"/>
                  <w:tcBorders>
                    <w:tl2br w:val="nil"/>
                    <w:tr2bl w:val="nil"/>
                  </w:tcBorders>
                  <w:noWrap w:val="0"/>
                  <w:vAlign w:val="center"/>
                </w:tcPr>
                <w:p w14:paraId="4D257302">
                  <w:pPr>
                    <w:pStyle w:val="145"/>
                    <w:rPr>
                      <w:color w:val="auto"/>
                      <w:u w:val="none"/>
                    </w:rPr>
                  </w:pPr>
                  <w:r>
                    <w:rPr>
                      <w:color w:val="auto"/>
                      <w:u w:val="none"/>
                    </w:rPr>
                    <w:t>施工临时生活区化粪池</w:t>
                  </w:r>
                </w:p>
              </w:tc>
              <w:tc>
                <w:tcPr>
                  <w:tcW w:w="1513" w:type="dxa"/>
                  <w:tcBorders>
                    <w:tl2br w:val="nil"/>
                    <w:tr2bl w:val="nil"/>
                  </w:tcBorders>
                  <w:noWrap w:val="0"/>
                  <w:vAlign w:val="center"/>
                </w:tcPr>
                <w:p w14:paraId="29026578">
                  <w:pPr>
                    <w:pStyle w:val="145"/>
                    <w:rPr>
                      <w:color w:val="auto"/>
                      <w:u w:val="none"/>
                    </w:rPr>
                  </w:pPr>
                  <w:r>
                    <w:rPr>
                      <w:color w:val="auto"/>
                      <w:u w:val="none"/>
                    </w:rPr>
                    <w:t>施工期</w:t>
                  </w:r>
                </w:p>
              </w:tc>
            </w:tr>
            <w:tr w14:paraId="317B11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vMerge w:val="continue"/>
                  <w:tcBorders>
                    <w:tl2br w:val="nil"/>
                    <w:tr2bl w:val="nil"/>
                  </w:tcBorders>
                  <w:noWrap w:val="0"/>
                  <w:vAlign w:val="center"/>
                </w:tcPr>
                <w:p w14:paraId="795EC5EA">
                  <w:pPr>
                    <w:pStyle w:val="145"/>
                    <w:rPr>
                      <w:color w:val="auto"/>
                      <w:u w:val="none"/>
                    </w:rPr>
                  </w:pPr>
                </w:p>
              </w:tc>
              <w:tc>
                <w:tcPr>
                  <w:tcW w:w="2000" w:type="dxa"/>
                  <w:tcBorders>
                    <w:tl2br w:val="nil"/>
                    <w:tr2bl w:val="nil"/>
                  </w:tcBorders>
                  <w:noWrap w:val="0"/>
                  <w:vAlign w:val="center"/>
                </w:tcPr>
                <w:p w14:paraId="45E72DAA">
                  <w:pPr>
                    <w:pStyle w:val="145"/>
                    <w:rPr>
                      <w:rFonts w:hint="eastAsia"/>
                      <w:color w:val="auto"/>
                      <w:u w:val="none"/>
                    </w:rPr>
                  </w:pPr>
                  <w:r>
                    <w:rPr>
                      <w:color w:val="auto"/>
                      <w:u w:val="none"/>
                    </w:rPr>
                    <w:t>地面硬化、防渗措施</w:t>
                  </w:r>
                  <w:r>
                    <w:rPr>
                      <w:rFonts w:hint="eastAsia"/>
                      <w:color w:val="auto"/>
                      <w:u w:val="none"/>
                    </w:rPr>
                    <w:t>、地下水分区防渗、地下监测井</w:t>
                  </w:r>
                </w:p>
              </w:tc>
              <w:tc>
                <w:tcPr>
                  <w:tcW w:w="1013" w:type="dxa"/>
                  <w:tcBorders>
                    <w:tl2br w:val="nil"/>
                    <w:tr2bl w:val="nil"/>
                  </w:tcBorders>
                  <w:noWrap w:val="0"/>
                  <w:vAlign w:val="center"/>
                </w:tcPr>
                <w:p w14:paraId="43B726BD">
                  <w:pPr>
                    <w:pStyle w:val="145"/>
                    <w:rPr>
                      <w:rFonts w:hint="eastAsia" w:ascii="Times New Roman" w:hAnsi="Times New Roman" w:eastAsia="宋" w:cs="宋体"/>
                      <w:color w:val="auto"/>
                      <w:kern w:val="2"/>
                      <w:sz w:val="21"/>
                      <w:szCs w:val="21"/>
                      <w:u w:val="none"/>
                      <w:lang w:val="en-US" w:eastAsia="zh-CN" w:bidi="ar-SA"/>
                    </w:rPr>
                  </w:pPr>
                  <w:r>
                    <w:rPr>
                      <w:rFonts w:hint="eastAsia" w:ascii="Times New Roman" w:hAnsi="Times New Roman" w:eastAsia="宋" w:cs="宋体"/>
                      <w:color w:val="auto"/>
                      <w:kern w:val="2"/>
                      <w:sz w:val="21"/>
                      <w:szCs w:val="21"/>
                      <w:u w:val="none"/>
                      <w:lang w:val="en-US" w:eastAsia="zh-CN" w:bidi="ar-SA"/>
                    </w:rPr>
                    <w:t>400</w:t>
                  </w:r>
                </w:p>
              </w:tc>
              <w:tc>
                <w:tcPr>
                  <w:tcW w:w="2881" w:type="dxa"/>
                  <w:tcBorders>
                    <w:tl2br w:val="nil"/>
                    <w:tr2bl w:val="nil"/>
                  </w:tcBorders>
                  <w:noWrap w:val="0"/>
                  <w:vAlign w:val="center"/>
                </w:tcPr>
                <w:p w14:paraId="26C465B4">
                  <w:pPr>
                    <w:pStyle w:val="145"/>
                    <w:rPr>
                      <w:rFonts w:hint="eastAsia"/>
                      <w:color w:val="auto"/>
                      <w:u w:val="none"/>
                    </w:rPr>
                  </w:pPr>
                  <w:r>
                    <w:rPr>
                      <w:color w:val="auto"/>
                      <w:u w:val="none"/>
                    </w:rPr>
                    <w:t>污水池、排水沟等防渗措施</w:t>
                  </w:r>
                  <w:r>
                    <w:rPr>
                      <w:rFonts w:hint="eastAsia"/>
                      <w:color w:val="auto"/>
                      <w:u w:val="none"/>
                    </w:rPr>
                    <w:t>；地下水分区防渗、地下监测井</w:t>
                  </w:r>
                </w:p>
              </w:tc>
              <w:tc>
                <w:tcPr>
                  <w:tcW w:w="1513" w:type="dxa"/>
                  <w:tcBorders>
                    <w:tl2br w:val="nil"/>
                    <w:tr2bl w:val="nil"/>
                  </w:tcBorders>
                  <w:noWrap w:val="0"/>
                  <w:vAlign w:val="center"/>
                </w:tcPr>
                <w:p w14:paraId="34ADC787">
                  <w:pPr>
                    <w:pStyle w:val="145"/>
                    <w:rPr>
                      <w:color w:val="auto"/>
                      <w:u w:val="none"/>
                    </w:rPr>
                  </w:pPr>
                  <w:r>
                    <w:rPr>
                      <w:color w:val="auto"/>
                      <w:u w:val="none"/>
                    </w:rPr>
                    <w:t>项目运营期</w:t>
                  </w:r>
                </w:p>
              </w:tc>
            </w:tr>
            <w:tr w14:paraId="498C70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923" w:type="dxa"/>
                  <w:vMerge w:val="continue"/>
                  <w:tcBorders>
                    <w:tl2br w:val="nil"/>
                    <w:tr2bl w:val="nil"/>
                  </w:tcBorders>
                  <w:noWrap w:val="0"/>
                  <w:vAlign w:val="center"/>
                </w:tcPr>
                <w:p w14:paraId="6A84D207">
                  <w:pPr>
                    <w:pStyle w:val="145"/>
                    <w:rPr>
                      <w:color w:val="auto"/>
                      <w:u w:val="none"/>
                    </w:rPr>
                  </w:pPr>
                </w:p>
              </w:tc>
              <w:tc>
                <w:tcPr>
                  <w:tcW w:w="2000" w:type="dxa"/>
                  <w:tcBorders>
                    <w:tl2br w:val="nil"/>
                    <w:tr2bl w:val="nil"/>
                  </w:tcBorders>
                  <w:noWrap w:val="0"/>
                  <w:vAlign w:val="center"/>
                </w:tcPr>
                <w:p w14:paraId="13A0C137">
                  <w:pPr>
                    <w:pStyle w:val="145"/>
                    <w:rPr>
                      <w:color w:val="auto"/>
                      <w:u w:val="single"/>
                    </w:rPr>
                  </w:pPr>
                  <w:r>
                    <w:rPr>
                      <w:color w:val="auto"/>
                      <w:u w:val="single"/>
                    </w:rPr>
                    <w:t>污水进、出口在线监测设施</w:t>
                  </w:r>
                </w:p>
              </w:tc>
              <w:tc>
                <w:tcPr>
                  <w:tcW w:w="1013" w:type="dxa"/>
                  <w:tcBorders>
                    <w:tl2br w:val="nil"/>
                    <w:tr2bl w:val="nil"/>
                  </w:tcBorders>
                  <w:noWrap w:val="0"/>
                  <w:vAlign w:val="center"/>
                </w:tcPr>
                <w:p w14:paraId="6900DF9F">
                  <w:pPr>
                    <w:pStyle w:val="145"/>
                    <w:rPr>
                      <w:rFonts w:hint="eastAsia" w:ascii="Times New Roman" w:hAnsi="Times New Roman" w:eastAsia="宋" w:cs="宋体"/>
                      <w:color w:val="auto"/>
                      <w:kern w:val="2"/>
                      <w:sz w:val="21"/>
                      <w:szCs w:val="21"/>
                      <w:highlight w:val="none"/>
                      <w:u w:val="single"/>
                      <w:lang w:val="en-US" w:eastAsia="zh-CN" w:bidi="ar-SA"/>
                    </w:rPr>
                  </w:pPr>
                  <w:r>
                    <w:rPr>
                      <w:rFonts w:hint="eastAsia" w:ascii="Times New Roman" w:hAnsi="Times New Roman" w:eastAsia="宋" w:cs="宋体"/>
                      <w:color w:val="auto"/>
                      <w:kern w:val="2"/>
                      <w:sz w:val="21"/>
                      <w:szCs w:val="21"/>
                      <w:highlight w:val="none"/>
                      <w:u w:val="single"/>
                      <w:lang w:val="en-US" w:eastAsia="zh-CN" w:bidi="ar-SA"/>
                    </w:rPr>
                    <w:t>100</w:t>
                  </w:r>
                </w:p>
              </w:tc>
              <w:tc>
                <w:tcPr>
                  <w:tcW w:w="2881" w:type="dxa"/>
                  <w:tcBorders>
                    <w:tl2br w:val="nil"/>
                    <w:tr2bl w:val="nil"/>
                  </w:tcBorders>
                  <w:noWrap w:val="0"/>
                  <w:vAlign w:val="center"/>
                </w:tcPr>
                <w:p w14:paraId="729DA120">
                  <w:pPr>
                    <w:pStyle w:val="145"/>
                    <w:rPr>
                      <w:rFonts w:hint="eastAsia"/>
                      <w:color w:val="auto"/>
                      <w:u w:val="single"/>
                    </w:rPr>
                  </w:pPr>
                  <w:r>
                    <w:rPr>
                      <w:color w:val="auto"/>
                      <w:u w:val="single"/>
                    </w:rPr>
                    <w:t>在线监测废水中</w:t>
                  </w:r>
                  <w:r>
                    <w:rPr>
                      <w:rFonts w:hint="eastAsia"/>
                      <w:color w:val="auto"/>
                      <w:u w:val="single"/>
                      <w:lang w:eastAsia="zh-CN"/>
                    </w:rPr>
                    <w:t>流量、</w:t>
                  </w:r>
                  <w:r>
                    <w:rPr>
                      <w:rFonts w:hint="eastAsia" w:ascii="Times New Roman" w:hAnsi="Times New Roman" w:eastAsia="宋" w:cs="宋体"/>
                      <w:color w:val="auto"/>
                      <w:kern w:val="2"/>
                      <w:sz w:val="21"/>
                      <w:szCs w:val="21"/>
                      <w:u w:val="single"/>
                      <w:lang w:val="en-US" w:eastAsia="zh-CN" w:bidi="ar-SA"/>
                    </w:rPr>
                    <w:t>pH、COD、TP、TN、</w:t>
                  </w:r>
                  <w:r>
                    <w:rPr>
                      <w:rFonts w:hint="eastAsia"/>
                      <w:color w:val="auto"/>
                      <w:u w:val="single"/>
                    </w:rPr>
                    <w:t>氨氮</w:t>
                  </w:r>
                </w:p>
              </w:tc>
              <w:tc>
                <w:tcPr>
                  <w:tcW w:w="1513" w:type="dxa"/>
                  <w:tcBorders>
                    <w:tl2br w:val="nil"/>
                    <w:tr2bl w:val="nil"/>
                  </w:tcBorders>
                  <w:noWrap w:val="0"/>
                  <w:vAlign w:val="center"/>
                </w:tcPr>
                <w:p w14:paraId="51341F77">
                  <w:pPr>
                    <w:pStyle w:val="145"/>
                    <w:rPr>
                      <w:color w:val="auto"/>
                      <w:u w:val="single"/>
                    </w:rPr>
                  </w:pPr>
                  <w:r>
                    <w:rPr>
                      <w:color w:val="auto"/>
                      <w:u w:val="single"/>
                    </w:rPr>
                    <w:t>项目运营期</w:t>
                  </w:r>
                </w:p>
              </w:tc>
            </w:tr>
            <w:tr w14:paraId="379252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vMerge w:val="restart"/>
                  <w:tcBorders>
                    <w:tl2br w:val="nil"/>
                    <w:tr2bl w:val="nil"/>
                  </w:tcBorders>
                  <w:noWrap w:val="0"/>
                  <w:vAlign w:val="center"/>
                </w:tcPr>
                <w:p w14:paraId="2B5439DE">
                  <w:pPr>
                    <w:pStyle w:val="145"/>
                    <w:rPr>
                      <w:color w:val="auto"/>
                      <w:u w:val="none"/>
                    </w:rPr>
                  </w:pPr>
                  <w:r>
                    <w:rPr>
                      <w:color w:val="auto"/>
                      <w:u w:val="none"/>
                    </w:rPr>
                    <w:t>废气</w:t>
                  </w:r>
                </w:p>
              </w:tc>
              <w:tc>
                <w:tcPr>
                  <w:tcW w:w="2000" w:type="dxa"/>
                  <w:tcBorders>
                    <w:tl2br w:val="nil"/>
                    <w:tr2bl w:val="nil"/>
                  </w:tcBorders>
                  <w:noWrap w:val="0"/>
                  <w:vAlign w:val="center"/>
                </w:tcPr>
                <w:p w14:paraId="44F17B0C">
                  <w:pPr>
                    <w:pStyle w:val="145"/>
                    <w:rPr>
                      <w:color w:val="auto"/>
                      <w:u w:val="none"/>
                    </w:rPr>
                  </w:pPr>
                  <w:r>
                    <w:rPr>
                      <w:color w:val="auto"/>
                      <w:u w:val="none"/>
                    </w:rPr>
                    <w:t>地面洒水、车辆冲洗设施</w:t>
                  </w:r>
                </w:p>
              </w:tc>
              <w:tc>
                <w:tcPr>
                  <w:tcW w:w="1013" w:type="dxa"/>
                  <w:tcBorders>
                    <w:tl2br w:val="nil"/>
                    <w:tr2bl w:val="nil"/>
                  </w:tcBorders>
                  <w:noWrap w:val="0"/>
                  <w:vAlign w:val="center"/>
                </w:tcPr>
                <w:p w14:paraId="18A0C2D5">
                  <w:pPr>
                    <w:pStyle w:val="145"/>
                    <w:rPr>
                      <w:rFonts w:hint="eastAsia" w:ascii="Times New Roman" w:hAnsi="Times New Roman" w:eastAsia="宋" w:cs="宋体"/>
                      <w:color w:val="auto"/>
                      <w:kern w:val="2"/>
                      <w:sz w:val="21"/>
                      <w:szCs w:val="21"/>
                      <w:u w:val="none"/>
                      <w:lang w:val="en-US" w:eastAsia="zh-CN" w:bidi="ar-SA"/>
                    </w:rPr>
                  </w:pPr>
                  <w:r>
                    <w:rPr>
                      <w:rFonts w:hint="eastAsia" w:ascii="Times New Roman" w:hAnsi="Times New Roman" w:eastAsia="宋" w:cs="宋体"/>
                      <w:color w:val="auto"/>
                      <w:kern w:val="2"/>
                      <w:sz w:val="21"/>
                      <w:szCs w:val="21"/>
                      <w:u w:val="none"/>
                      <w:lang w:val="en-US" w:eastAsia="zh-CN" w:bidi="ar-SA"/>
                    </w:rPr>
                    <w:t>5</w:t>
                  </w:r>
                </w:p>
              </w:tc>
              <w:tc>
                <w:tcPr>
                  <w:tcW w:w="2881" w:type="dxa"/>
                  <w:tcBorders>
                    <w:tl2br w:val="nil"/>
                    <w:tr2bl w:val="nil"/>
                  </w:tcBorders>
                  <w:noWrap w:val="0"/>
                  <w:vAlign w:val="center"/>
                </w:tcPr>
                <w:p w14:paraId="569C2AFD">
                  <w:pPr>
                    <w:pStyle w:val="145"/>
                    <w:rPr>
                      <w:color w:val="auto"/>
                      <w:u w:val="none"/>
                    </w:rPr>
                  </w:pPr>
                  <w:r>
                    <w:rPr>
                      <w:color w:val="auto"/>
                      <w:u w:val="none"/>
                    </w:rPr>
                    <w:t>洒水、施工场地出口洗车装置</w:t>
                  </w:r>
                </w:p>
              </w:tc>
              <w:tc>
                <w:tcPr>
                  <w:tcW w:w="1513" w:type="dxa"/>
                  <w:tcBorders>
                    <w:tl2br w:val="nil"/>
                    <w:tr2bl w:val="nil"/>
                  </w:tcBorders>
                  <w:noWrap w:val="0"/>
                  <w:vAlign w:val="center"/>
                </w:tcPr>
                <w:p w14:paraId="6E693E31">
                  <w:pPr>
                    <w:pStyle w:val="145"/>
                    <w:rPr>
                      <w:color w:val="auto"/>
                      <w:u w:val="none"/>
                    </w:rPr>
                  </w:pPr>
                  <w:r>
                    <w:rPr>
                      <w:color w:val="auto"/>
                      <w:u w:val="none"/>
                    </w:rPr>
                    <w:t>施工期</w:t>
                  </w:r>
                </w:p>
              </w:tc>
            </w:tr>
            <w:tr w14:paraId="415D42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vMerge w:val="continue"/>
                  <w:tcBorders>
                    <w:tl2br w:val="nil"/>
                    <w:tr2bl w:val="nil"/>
                  </w:tcBorders>
                  <w:noWrap w:val="0"/>
                  <w:vAlign w:val="center"/>
                </w:tcPr>
                <w:p w14:paraId="2335DFF0">
                  <w:pPr>
                    <w:pStyle w:val="145"/>
                    <w:rPr>
                      <w:color w:val="auto"/>
                      <w:u w:val="none"/>
                    </w:rPr>
                  </w:pPr>
                </w:p>
              </w:tc>
              <w:tc>
                <w:tcPr>
                  <w:tcW w:w="2000" w:type="dxa"/>
                  <w:tcBorders>
                    <w:tl2br w:val="nil"/>
                    <w:tr2bl w:val="nil"/>
                  </w:tcBorders>
                  <w:noWrap w:val="0"/>
                  <w:vAlign w:val="center"/>
                </w:tcPr>
                <w:p w14:paraId="506F64D0">
                  <w:pPr>
                    <w:pStyle w:val="145"/>
                    <w:rPr>
                      <w:rFonts w:hint="eastAsia" w:eastAsia="宋体"/>
                      <w:color w:val="auto"/>
                      <w:u w:val="none"/>
                      <w:lang w:eastAsia="zh-CN"/>
                    </w:rPr>
                  </w:pPr>
                  <w:r>
                    <w:rPr>
                      <w:rFonts w:hint="eastAsia"/>
                      <w:color w:val="auto"/>
                      <w:u w:val="none"/>
                      <w:lang w:eastAsia="zh-CN"/>
                    </w:rPr>
                    <w:t>加盖密封、生物除臭装置</w:t>
                  </w:r>
                </w:p>
              </w:tc>
              <w:tc>
                <w:tcPr>
                  <w:tcW w:w="1013" w:type="dxa"/>
                  <w:tcBorders>
                    <w:tl2br w:val="nil"/>
                    <w:tr2bl w:val="nil"/>
                  </w:tcBorders>
                  <w:noWrap w:val="0"/>
                  <w:vAlign w:val="center"/>
                </w:tcPr>
                <w:p w14:paraId="2114BA92">
                  <w:pPr>
                    <w:pStyle w:val="145"/>
                    <w:rPr>
                      <w:rFonts w:hint="default" w:ascii="Times New Roman" w:hAnsi="Times New Roman" w:eastAsia="宋" w:cs="宋体"/>
                      <w:color w:val="auto"/>
                      <w:kern w:val="2"/>
                      <w:sz w:val="21"/>
                      <w:szCs w:val="21"/>
                      <w:u w:val="none"/>
                      <w:lang w:val="en-US" w:eastAsia="zh-CN" w:bidi="ar-SA"/>
                    </w:rPr>
                  </w:pPr>
                  <w:r>
                    <w:rPr>
                      <w:rFonts w:hint="eastAsia" w:ascii="Times New Roman" w:hAnsi="Times New Roman" w:eastAsia="宋" w:cs="宋体"/>
                      <w:color w:val="auto"/>
                      <w:kern w:val="2"/>
                      <w:sz w:val="21"/>
                      <w:szCs w:val="21"/>
                      <w:u w:val="none"/>
                      <w:lang w:val="en-US" w:eastAsia="zh-CN" w:bidi="ar-SA"/>
                    </w:rPr>
                    <w:t>50</w:t>
                  </w:r>
                </w:p>
              </w:tc>
              <w:tc>
                <w:tcPr>
                  <w:tcW w:w="2881" w:type="dxa"/>
                  <w:tcBorders>
                    <w:tl2br w:val="nil"/>
                    <w:tr2bl w:val="nil"/>
                  </w:tcBorders>
                  <w:noWrap w:val="0"/>
                  <w:vAlign w:val="center"/>
                </w:tcPr>
                <w:p w14:paraId="5B42025B">
                  <w:pPr>
                    <w:pStyle w:val="145"/>
                    <w:rPr>
                      <w:color w:val="auto"/>
                      <w:u w:val="none"/>
                    </w:rPr>
                  </w:pPr>
                  <w:r>
                    <w:rPr>
                      <w:color w:val="auto"/>
                      <w:u w:val="none"/>
                    </w:rPr>
                    <w:t>格</w:t>
                  </w:r>
                  <w:r>
                    <w:rPr>
                      <w:rFonts w:hint="eastAsia"/>
                      <w:color w:val="auto"/>
                      <w:u w:val="none"/>
                    </w:rPr>
                    <w:t>栅</w:t>
                  </w:r>
                  <w:r>
                    <w:rPr>
                      <w:color w:val="auto"/>
                      <w:u w:val="none"/>
                    </w:rPr>
                    <w:t>间、污泥脱水间</w:t>
                  </w:r>
                  <w:r>
                    <w:rPr>
                      <w:rFonts w:hint="eastAsia"/>
                      <w:color w:val="auto"/>
                      <w:u w:val="none"/>
                    </w:rPr>
                    <w:t>、污水处理池</w:t>
                  </w:r>
                  <w:r>
                    <w:rPr>
                      <w:color w:val="auto"/>
                      <w:u w:val="none"/>
                    </w:rPr>
                    <w:t>除臭</w:t>
                  </w:r>
                </w:p>
              </w:tc>
              <w:tc>
                <w:tcPr>
                  <w:tcW w:w="1513" w:type="dxa"/>
                  <w:tcBorders>
                    <w:tl2br w:val="nil"/>
                    <w:tr2bl w:val="nil"/>
                  </w:tcBorders>
                  <w:noWrap w:val="0"/>
                  <w:vAlign w:val="center"/>
                </w:tcPr>
                <w:p w14:paraId="0A35C70B">
                  <w:pPr>
                    <w:pStyle w:val="145"/>
                    <w:rPr>
                      <w:color w:val="auto"/>
                      <w:u w:val="none"/>
                    </w:rPr>
                  </w:pPr>
                  <w:r>
                    <w:rPr>
                      <w:color w:val="auto"/>
                      <w:u w:val="none"/>
                    </w:rPr>
                    <w:t>项目运营期</w:t>
                  </w:r>
                </w:p>
              </w:tc>
            </w:tr>
            <w:tr w14:paraId="444F7E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tcBorders>
                    <w:tl2br w:val="nil"/>
                    <w:tr2bl w:val="nil"/>
                  </w:tcBorders>
                  <w:noWrap w:val="0"/>
                  <w:vAlign w:val="center"/>
                </w:tcPr>
                <w:p w14:paraId="3DED980D">
                  <w:pPr>
                    <w:pStyle w:val="145"/>
                    <w:rPr>
                      <w:color w:val="auto"/>
                      <w:u w:val="none"/>
                    </w:rPr>
                  </w:pPr>
                  <w:r>
                    <w:rPr>
                      <w:color w:val="auto"/>
                      <w:u w:val="none"/>
                    </w:rPr>
                    <w:t>噪声</w:t>
                  </w:r>
                </w:p>
              </w:tc>
              <w:tc>
                <w:tcPr>
                  <w:tcW w:w="2000" w:type="dxa"/>
                  <w:tcBorders>
                    <w:tl2br w:val="nil"/>
                    <w:tr2bl w:val="nil"/>
                  </w:tcBorders>
                  <w:noWrap w:val="0"/>
                  <w:vAlign w:val="center"/>
                </w:tcPr>
                <w:p w14:paraId="0D4B0D0F">
                  <w:pPr>
                    <w:pStyle w:val="145"/>
                    <w:rPr>
                      <w:color w:val="auto"/>
                      <w:u w:val="none"/>
                    </w:rPr>
                  </w:pPr>
                  <w:r>
                    <w:rPr>
                      <w:color w:val="auto"/>
                      <w:u w:val="none"/>
                    </w:rPr>
                    <w:t>减震基座、厂房隔声、消音</w:t>
                  </w:r>
                </w:p>
              </w:tc>
              <w:tc>
                <w:tcPr>
                  <w:tcW w:w="1013" w:type="dxa"/>
                  <w:tcBorders>
                    <w:tl2br w:val="nil"/>
                    <w:tr2bl w:val="nil"/>
                  </w:tcBorders>
                  <w:noWrap w:val="0"/>
                  <w:vAlign w:val="center"/>
                </w:tcPr>
                <w:p w14:paraId="01CA84EF">
                  <w:pPr>
                    <w:pStyle w:val="145"/>
                    <w:rPr>
                      <w:rFonts w:hint="eastAsia" w:ascii="Times New Roman" w:hAnsi="Times New Roman" w:eastAsia="宋" w:cs="宋体"/>
                      <w:color w:val="auto"/>
                      <w:kern w:val="2"/>
                      <w:sz w:val="21"/>
                      <w:szCs w:val="21"/>
                      <w:u w:val="none"/>
                      <w:lang w:val="en-US" w:eastAsia="zh-CN" w:bidi="ar-SA"/>
                    </w:rPr>
                  </w:pPr>
                  <w:r>
                    <w:rPr>
                      <w:rFonts w:hint="eastAsia" w:ascii="Times New Roman" w:hAnsi="Times New Roman" w:eastAsia="宋" w:cs="宋体"/>
                      <w:color w:val="auto"/>
                      <w:kern w:val="2"/>
                      <w:sz w:val="21"/>
                      <w:szCs w:val="21"/>
                      <w:u w:val="none"/>
                      <w:lang w:val="en-US" w:eastAsia="zh-CN" w:bidi="ar-SA"/>
                    </w:rPr>
                    <w:t>10</w:t>
                  </w:r>
                </w:p>
              </w:tc>
              <w:tc>
                <w:tcPr>
                  <w:tcW w:w="2881" w:type="dxa"/>
                  <w:tcBorders>
                    <w:tl2br w:val="nil"/>
                    <w:tr2bl w:val="nil"/>
                  </w:tcBorders>
                  <w:noWrap w:val="0"/>
                  <w:vAlign w:val="center"/>
                </w:tcPr>
                <w:p w14:paraId="250F8799">
                  <w:pPr>
                    <w:pStyle w:val="145"/>
                    <w:rPr>
                      <w:color w:val="auto"/>
                      <w:u w:val="none"/>
                    </w:rPr>
                  </w:pPr>
                  <w:r>
                    <w:rPr>
                      <w:color w:val="auto"/>
                      <w:u w:val="none"/>
                    </w:rPr>
                    <w:t>水泵、污泥泵、风机等设备</w:t>
                  </w:r>
                  <w:r>
                    <w:rPr>
                      <w:rFonts w:hint="eastAsia"/>
                      <w:color w:val="auto"/>
                      <w:u w:val="none"/>
                    </w:rPr>
                    <w:t xml:space="preserve"> </w:t>
                  </w:r>
                </w:p>
              </w:tc>
              <w:tc>
                <w:tcPr>
                  <w:tcW w:w="1513" w:type="dxa"/>
                  <w:tcBorders>
                    <w:tl2br w:val="nil"/>
                    <w:tr2bl w:val="nil"/>
                  </w:tcBorders>
                  <w:noWrap w:val="0"/>
                  <w:vAlign w:val="center"/>
                </w:tcPr>
                <w:p w14:paraId="6888D1BD">
                  <w:pPr>
                    <w:pStyle w:val="145"/>
                    <w:rPr>
                      <w:color w:val="auto"/>
                      <w:u w:val="none"/>
                    </w:rPr>
                  </w:pPr>
                  <w:r>
                    <w:rPr>
                      <w:color w:val="auto"/>
                      <w:u w:val="none"/>
                    </w:rPr>
                    <w:t>项目运营期</w:t>
                  </w:r>
                </w:p>
              </w:tc>
            </w:tr>
            <w:tr w14:paraId="5A04DA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vMerge w:val="restart"/>
                  <w:tcBorders>
                    <w:tl2br w:val="nil"/>
                    <w:tr2bl w:val="nil"/>
                  </w:tcBorders>
                  <w:noWrap w:val="0"/>
                  <w:vAlign w:val="center"/>
                </w:tcPr>
                <w:p w14:paraId="7C6137BF">
                  <w:pPr>
                    <w:pStyle w:val="145"/>
                    <w:rPr>
                      <w:color w:val="auto"/>
                      <w:u w:val="none"/>
                    </w:rPr>
                  </w:pPr>
                  <w:r>
                    <w:rPr>
                      <w:color w:val="auto"/>
                      <w:u w:val="none"/>
                    </w:rPr>
                    <w:t>固废</w:t>
                  </w:r>
                </w:p>
              </w:tc>
              <w:tc>
                <w:tcPr>
                  <w:tcW w:w="2000" w:type="dxa"/>
                  <w:tcBorders>
                    <w:tl2br w:val="nil"/>
                    <w:tr2bl w:val="nil"/>
                  </w:tcBorders>
                  <w:noWrap w:val="0"/>
                  <w:vAlign w:val="center"/>
                </w:tcPr>
                <w:p w14:paraId="4E06C70A">
                  <w:pPr>
                    <w:pStyle w:val="145"/>
                    <w:rPr>
                      <w:color w:val="auto"/>
                      <w:u w:val="none"/>
                    </w:rPr>
                  </w:pPr>
                  <w:r>
                    <w:rPr>
                      <w:color w:val="auto"/>
                      <w:u w:val="none"/>
                    </w:rPr>
                    <w:t>垃圾收集与清运措施</w:t>
                  </w:r>
                </w:p>
              </w:tc>
              <w:tc>
                <w:tcPr>
                  <w:tcW w:w="1013" w:type="dxa"/>
                  <w:tcBorders>
                    <w:tl2br w:val="nil"/>
                    <w:tr2bl w:val="nil"/>
                  </w:tcBorders>
                  <w:noWrap w:val="0"/>
                  <w:vAlign w:val="center"/>
                </w:tcPr>
                <w:p w14:paraId="31B6B63B">
                  <w:pPr>
                    <w:pStyle w:val="145"/>
                    <w:rPr>
                      <w:rFonts w:hint="eastAsia" w:ascii="Times New Roman" w:hAnsi="Times New Roman" w:eastAsia="宋" w:cs="宋体"/>
                      <w:color w:val="auto"/>
                      <w:kern w:val="2"/>
                      <w:sz w:val="21"/>
                      <w:szCs w:val="21"/>
                      <w:u w:val="none"/>
                      <w:lang w:val="en-US" w:eastAsia="zh-CN" w:bidi="ar-SA"/>
                    </w:rPr>
                  </w:pPr>
                  <w:r>
                    <w:rPr>
                      <w:rFonts w:hint="eastAsia" w:ascii="Times New Roman" w:hAnsi="Times New Roman" w:eastAsia="宋" w:cs="宋体"/>
                      <w:color w:val="auto"/>
                      <w:kern w:val="2"/>
                      <w:sz w:val="21"/>
                      <w:szCs w:val="21"/>
                      <w:u w:val="none"/>
                      <w:lang w:val="en-US" w:eastAsia="zh-CN" w:bidi="ar-SA"/>
                    </w:rPr>
                    <w:t>5</w:t>
                  </w:r>
                </w:p>
              </w:tc>
              <w:tc>
                <w:tcPr>
                  <w:tcW w:w="2881" w:type="dxa"/>
                  <w:tcBorders>
                    <w:tl2br w:val="nil"/>
                    <w:tr2bl w:val="nil"/>
                  </w:tcBorders>
                  <w:noWrap w:val="0"/>
                  <w:vAlign w:val="center"/>
                </w:tcPr>
                <w:p w14:paraId="23FF4C84">
                  <w:pPr>
                    <w:pStyle w:val="145"/>
                    <w:rPr>
                      <w:color w:val="auto"/>
                      <w:u w:val="none"/>
                    </w:rPr>
                  </w:pPr>
                  <w:r>
                    <w:rPr>
                      <w:color w:val="auto"/>
                      <w:u w:val="none"/>
                    </w:rPr>
                    <w:t>生活区垃圾收集</w:t>
                  </w:r>
                </w:p>
              </w:tc>
              <w:tc>
                <w:tcPr>
                  <w:tcW w:w="1513" w:type="dxa"/>
                  <w:tcBorders>
                    <w:tl2br w:val="nil"/>
                    <w:tr2bl w:val="nil"/>
                  </w:tcBorders>
                  <w:noWrap w:val="0"/>
                  <w:vAlign w:val="center"/>
                </w:tcPr>
                <w:p w14:paraId="7A151E0D">
                  <w:pPr>
                    <w:pStyle w:val="145"/>
                    <w:rPr>
                      <w:color w:val="auto"/>
                      <w:u w:val="none"/>
                    </w:rPr>
                  </w:pPr>
                  <w:r>
                    <w:rPr>
                      <w:color w:val="auto"/>
                      <w:u w:val="none"/>
                    </w:rPr>
                    <w:t>项目运营期</w:t>
                  </w:r>
                </w:p>
              </w:tc>
            </w:tr>
            <w:tr w14:paraId="3F7C1B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923" w:type="dxa"/>
                  <w:vMerge w:val="continue"/>
                  <w:tcBorders>
                    <w:tl2br w:val="nil"/>
                    <w:tr2bl w:val="nil"/>
                  </w:tcBorders>
                  <w:noWrap w:val="0"/>
                  <w:vAlign w:val="center"/>
                </w:tcPr>
                <w:p w14:paraId="210A0BEC">
                  <w:pPr>
                    <w:pStyle w:val="145"/>
                    <w:rPr>
                      <w:color w:val="auto"/>
                      <w:u w:val="none"/>
                    </w:rPr>
                  </w:pPr>
                </w:p>
              </w:tc>
              <w:tc>
                <w:tcPr>
                  <w:tcW w:w="2000" w:type="dxa"/>
                  <w:tcBorders>
                    <w:tl2br w:val="nil"/>
                    <w:tr2bl w:val="nil"/>
                  </w:tcBorders>
                  <w:noWrap w:val="0"/>
                  <w:vAlign w:val="center"/>
                </w:tcPr>
                <w:p w14:paraId="530BD44F">
                  <w:pPr>
                    <w:pStyle w:val="145"/>
                    <w:rPr>
                      <w:color w:val="auto"/>
                      <w:u w:val="none"/>
                    </w:rPr>
                  </w:pPr>
                  <w:r>
                    <w:rPr>
                      <w:rFonts w:hint="eastAsia"/>
                      <w:color w:val="auto"/>
                      <w:u w:val="none"/>
                    </w:rPr>
                    <w:t>危险废物暂存间</w:t>
                  </w:r>
                </w:p>
              </w:tc>
              <w:tc>
                <w:tcPr>
                  <w:tcW w:w="1013" w:type="dxa"/>
                  <w:tcBorders>
                    <w:tl2br w:val="nil"/>
                    <w:tr2bl w:val="nil"/>
                  </w:tcBorders>
                  <w:noWrap w:val="0"/>
                  <w:vAlign w:val="center"/>
                </w:tcPr>
                <w:p w14:paraId="15D300DD">
                  <w:pPr>
                    <w:pStyle w:val="145"/>
                    <w:rPr>
                      <w:rFonts w:hint="default" w:ascii="Times New Roman" w:hAnsi="Times New Roman" w:eastAsia="宋" w:cs="宋体"/>
                      <w:color w:val="auto"/>
                      <w:kern w:val="2"/>
                      <w:sz w:val="21"/>
                      <w:szCs w:val="21"/>
                      <w:highlight w:val="none"/>
                      <w:u w:val="none"/>
                      <w:lang w:val="en-US" w:eastAsia="zh-CN" w:bidi="ar-SA"/>
                    </w:rPr>
                  </w:pPr>
                  <w:r>
                    <w:rPr>
                      <w:rFonts w:hint="eastAsia" w:ascii="Times New Roman" w:hAnsi="Times New Roman" w:eastAsia="宋" w:cs="宋体"/>
                      <w:color w:val="auto"/>
                      <w:kern w:val="2"/>
                      <w:sz w:val="21"/>
                      <w:szCs w:val="21"/>
                      <w:highlight w:val="none"/>
                      <w:u w:val="none"/>
                      <w:lang w:val="en-US" w:eastAsia="zh-CN" w:bidi="ar-SA"/>
                    </w:rPr>
                    <w:t>5</w:t>
                  </w:r>
                </w:p>
              </w:tc>
              <w:tc>
                <w:tcPr>
                  <w:tcW w:w="2881" w:type="dxa"/>
                  <w:tcBorders>
                    <w:tl2br w:val="nil"/>
                    <w:tr2bl w:val="nil"/>
                  </w:tcBorders>
                  <w:noWrap w:val="0"/>
                  <w:vAlign w:val="center"/>
                </w:tcPr>
                <w:p w14:paraId="0264E7E1">
                  <w:pPr>
                    <w:pStyle w:val="145"/>
                    <w:rPr>
                      <w:color w:val="auto"/>
                      <w:u w:val="none"/>
                    </w:rPr>
                  </w:pPr>
                  <w:r>
                    <w:rPr>
                      <w:rFonts w:hint="eastAsia"/>
                      <w:color w:val="auto"/>
                      <w:u w:val="none"/>
                    </w:rPr>
                    <w:t>危险废物暂存间</w:t>
                  </w:r>
                </w:p>
              </w:tc>
              <w:tc>
                <w:tcPr>
                  <w:tcW w:w="1513" w:type="dxa"/>
                  <w:tcBorders>
                    <w:tl2br w:val="nil"/>
                    <w:tr2bl w:val="nil"/>
                  </w:tcBorders>
                  <w:noWrap w:val="0"/>
                  <w:vAlign w:val="center"/>
                </w:tcPr>
                <w:p w14:paraId="2C3C7E48">
                  <w:pPr>
                    <w:pStyle w:val="145"/>
                    <w:rPr>
                      <w:color w:val="auto"/>
                      <w:u w:val="none"/>
                    </w:rPr>
                  </w:pPr>
                  <w:r>
                    <w:rPr>
                      <w:color w:val="auto"/>
                      <w:u w:val="none"/>
                    </w:rPr>
                    <w:t>项目运营期</w:t>
                  </w:r>
                </w:p>
              </w:tc>
            </w:tr>
            <w:tr w14:paraId="277B4C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923" w:type="dxa"/>
                  <w:vMerge w:val="continue"/>
                  <w:tcBorders>
                    <w:tl2br w:val="nil"/>
                    <w:tr2bl w:val="nil"/>
                  </w:tcBorders>
                  <w:noWrap w:val="0"/>
                  <w:vAlign w:val="center"/>
                </w:tcPr>
                <w:p w14:paraId="4F67011F">
                  <w:pPr>
                    <w:pStyle w:val="145"/>
                    <w:rPr>
                      <w:color w:val="auto"/>
                      <w:u w:val="none"/>
                    </w:rPr>
                  </w:pPr>
                </w:p>
              </w:tc>
              <w:tc>
                <w:tcPr>
                  <w:tcW w:w="2000" w:type="dxa"/>
                  <w:tcBorders>
                    <w:tl2br w:val="nil"/>
                    <w:tr2bl w:val="nil"/>
                  </w:tcBorders>
                  <w:noWrap w:val="0"/>
                  <w:vAlign w:val="center"/>
                </w:tcPr>
                <w:p w14:paraId="3DB1BD7F">
                  <w:pPr>
                    <w:pStyle w:val="145"/>
                    <w:rPr>
                      <w:rFonts w:hint="eastAsia" w:eastAsia="宋体"/>
                      <w:color w:val="auto"/>
                      <w:u w:val="none"/>
                      <w:lang w:eastAsia="zh-CN"/>
                    </w:rPr>
                  </w:pPr>
                  <w:r>
                    <w:rPr>
                      <w:color w:val="auto"/>
                      <w:u w:val="none"/>
                    </w:rPr>
                    <w:t>污泥运输</w:t>
                  </w:r>
                  <w:r>
                    <w:rPr>
                      <w:rFonts w:hint="eastAsia"/>
                      <w:color w:val="auto"/>
                      <w:u w:val="none"/>
                      <w:lang w:eastAsia="zh-CN"/>
                    </w:rPr>
                    <w:t>、污泥脱水设施</w:t>
                  </w:r>
                </w:p>
              </w:tc>
              <w:tc>
                <w:tcPr>
                  <w:tcW w:w="1013" w:type="dxa"/>
                  <w:tcBorders>
                    <w:tl2br w:val="nil"/>
                    <w:tr2bl w:val="nil"/>
                  </w:tcBorders>
                  <w:noWrap w:val="0"/>
                  <w:vAlign w:val="center"/>
                </w:tcPr>
                <w:p w14:paraId="3DC6A025">
                  <w:pPr>
                    <w:pStyle w:val="145"/>
                    <w:rPr>
                      <w:rFonts w:hint="default" w:ascii="Times New Roman" w:hAnsi="Times New Roman" w:eastAsia="宋" w:cs="宋体"/>
                      <w:color w:val="auto"/>
                      <w:kern w:val="2"/>
                      <w:sz w:val="21"/>
                      <w:szCs w:val="21"/>
                      <w:u w:val="none"/>
                      <w:lang w:val="en-US" w:eastAsia="zh-CN" w:bidi="ar-SA"/>
                    </w:rPr>
                  </w:pPr>
                  <w:r>
                    <w:rPr>
                      <w:rFonts w:hint="eastAsia" w:ascii="Times New Roman" w:hAnsi="Times New Roman" w:eastAsia="宋" w:cs="宋体"/>
                      <w:color w:val="auto"/>
                      <w:kern w:val="2"/>
                      <w:sz w:val="21"/>
                      <w:szCs w:val="21"/>
                      <w:u w:val="none"/>
                      <w:lang w:val="en-US" w:eastAsia="zh-CN" w:bidi="ar-SA"/>
                    </w:rPr>
                    <w:t>20</w:t>
                  </w:r>
                </w:p>
              </w:tc>
              <w:tc>
                <w:tcPr>
                  <w:tcW w:w="2881" w:type="dxa"/>
                  <w:tcBorders>
                    <w:tl2br w:val="nil"/>
                    <w:tr2bl w:val="nil"/>
                  </w:tcBorders>
                  <w:noWrap w:val="0"/>
                  <w:vAlign w:val="center"/>
                </w:tcPr>
                <w:p w14:paraId="72FE2356">
                  <w:pPr>
                    <w:pStyle w:val="145"/>
                    <w:rPr>
                      <w:color w:val="auto"/>
                      <w:u w:val="none"/>
                    </w:rPr>
                  </w:pPr>
                  <w:r>
                    <w:rPr>
                      <w:color w:val="auto"/>
                      <w:u w:val="none"/>
                    </w:rPr>
                    <w:t>加盖、翻斗污泥运输车</w:t>
                  </w:r>
                </w:p>
              </w:tc>
              <w:tc>
                <w:tcPr>
                  <w:tcW w:w="1513" w:type="dxa"/>
                  <w:tcBorders>
                    <w:tl2br w:val="nil"/>
                    <w:tr2bl w:val="nil"/>
                  </w:tcBorders>
                  <w:noWrap w:val="0"/>
                  <w:vAlign w:val="center"/>
                </w:tcPr>
                <w:p w14:paraId="44F43AFA">
                  <w:pPr>
                    <w:pStyle w:val="145"/>
                    <w:rPr>
                      <w:color w:val="auto"/>
                      <w:u w:val="none"/>
                    </w:rPr>
                  </w:pPr>
                  <w:r>
                    <w:rPr>
                      <w:color w:val="auto"/>
                      <w:u w:val="none"/>
                    </w:rPr>
                    <w:t>项目运营期</w:t>
                  </w:r>
                </w:p>
              </w:tc>
            </w:tr>
            <w:tr w14:paraId="0E4E71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tcBorders>
                    <w:tl2br w:val="nil"/>
                    <w:tr2bl w:val="nil"/>
                  </w:tcBorders>
                  <w:noWrap w:val="0"/>
                  <w:vAlign w:val="center"/>
                </w:tcPr>
                <w:p w14:paraId="10CED362">
                  <w:pPr>
                    <w:pStyle w:val="145"/>
                    <w:rPr>
                      <w:color w:val="auto"/>
                      <w:u w:val="none"/>
                    </w:rPr>
                  </w:pPr>
                  <w:r>
                    <w:rPr>
                      <w:color w:val="auto"/>
                      <w:u w:val="none"/>
                    </w:rPr>
                    <w:t>绿化</w:t>
                  </w:r>
                </w:p>
              </w:tc>
              <w:tc>
                <w:tcPr>
                  <w:tcW w:w="2000" w:type="dxa"/>
                  <w:tcBorders>
                    <w:tl2br w:val="nil"/>
                    <w:tr2bl w:val="nil"/>
                  </w:tcBorders>
                  <w:noWrap w:val="0"/>
                  <w:vAlign w:val="center"/>
                </w:tcPr>
                <w:p w14:paraId="2888AF5D">
                  <w:pPr>
                    <w:pStyle w:val="145"/>
                    <w:rPr>
                      <w:color w:val="auto"/>
                      <w:u w:val="none"/>
                    </w:rPr>
                  </w:pPr>
                  <w:r>
                    <w:rPr>
                      <w:color w:val="auto"/>
                      <w:u w:val="none"/>
                    </w:rPr>
                    <w:t>厂区绿化以及周边防林带、管线以及道路周围植被恢复</w:t>
                  </w:r>
                </w:p>
              </w:tc>
              <w:tc>
                <w:tcPr>
                  <w:tcW w:w="1013" w:type="dxa"/>
                  <w:tcBorders>
                    <w:tl2br w:val="nil"/>
                    <w:tr2bl w:val="nil"/>
                  </w:tcBorders>
                  <w:noWrap w:val="0"/>
                  <w:vAlign w:val="center"/>
                </w:tcPr>
                <w:p w14:paraId="11DDB415">
                  <w:pPr>
                    <w:pStyle w:val="145"/>
                    <w:rPr>
                      <w:rFonts w:hint="default" w:ascii="Times New Roman" w:hAnsi="Times New Roman" w:eastAsia="宋" w:cs="宋体"/>
                      <w:color w:val="auto"/>
                      <w:kern w:val="2"/>
                      <w:sz w:val="21"/>
                      <w:szCs w:val="21"/>
                      <w:u w:val="none"/>
                      <w:lang w:val="en-US" w:eastAsia="zh-CN" w:bidi="ar-SA"/>
                    </w:rPr>
                  </w:pPr>
                  <w:r>
                    <w:rPr>
                      <w:rFonts w:hint="eastAsia" w:ascii="Times New Roman" w:hAnsi="Times New Roman" w:eastAsia="宋" w:cs="宋体"/>
                      <w:color w:val="auto"/>
                      <w:kern w:val="2"/>
                      <w:sz w:val="21"/>
                      <w:szCs w:val="21"/>
                      <w:u w:val="none"/>
                      <w:lang w:val="en-US" w:eastAsia="zh-CN" w:bidi="ar-SA"/>
                    </w:rPr>
                    <w:t>40</w:t>
                  </w:r>
                </w:p>
              </w:tc>
              <w:tc>
                <w:tcPr>
                  <w:tcW w:w="2881" w:type="dxa"/>
                  <w:tcBorders>
                    <w:tl2br w:val="nil"/>
                    <w:tr2bl w:val="nil"/>
                  </w:tcBorders>
                  <w:noWrap w:val="0"/>
                  <w:vAlign w:val="center"/>
                </w:tcPr>
                <w:p w14:paraId="129F2550">
                  <w:pPr>
                    <w:pStyle w:val="145"/>
                    <w:rPr>
                      <w:color w:val="auto"/>
                      <w:u w:val="none"/>
                    </w:rPr>
                  </w:pPr>
                  <w:r>
                    <w:rPr>
                      <w:color w:val="auto"/>
                      <w:u w:val="none"/>
                    </w:rPr>
                    <w:t>类比周围环境、减少恶臭类气体对周边环境的影响，恢复生态原貌</w:t>
                  </w:r>
                </w:p>
              </w:tc>
              <w:tc>
                <w:tcPr>
                  <w:tcW w:w="1513" w:type="dxa"/>
                  <w:tcBorders>
                    <w:tl2br w:val="nil"/>
                    <w:tr2bl w:val="nil"/>
                  </w:tcBorders>
                  <w:noWrap w:val="0"/>
                  <w:vAlign w:val="center"/>
                </w:tcPr>
                <w:p w14:paraId="38432AFC">
                  <w:pPr>
                    <w:pStyle w:val="145"/>
                    <w:rPr>
                      <w:color w:val="auto"/>
                      <w:u w:val="none"/>
                    </w:rPr>
                  </w:pPr>
                  <w:r>
                    <w:rPr>
                      <w:color w:val="auto"/>
                      <w:u w:val="none"/>
                    </w:rPr>
                    <w:t>施工期、运营期</w:t>
                  </w:r>
                </w:p>
              </w:tc>
            </w:tr>
            <w:tr w14:paraId="2E4176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vMerge w:val="restart"/>
                  <w:tcBorders>
                    <w:tl2br w:val="nil"/>
                    <w:tr2bl w:val="nil"/>
                  </w:tcBorders>
                  <w:noWrap w:val="0"/>
                  <w:vAlign w:val="center"/>
                </w:tcPr>
                <w:p w14:paraId="45EC7642">
                  <w:pPr>
                    <w:pStyle w:val="145"/>
                    <w:rPr>
                      <w:rFonts w:hint="eastAsia" w:eastAsia="宋体"/>
                      <w:color w:val="auto"/>
                      <w:u w:val="none"/>
                      <w:lang w:val="en-US" w:eastAsia="zh-CN"/>
                    </w:rPr>
                  </w:pPr>
                  <w:r>
                    <w:rPr>
                      <w:rFonts w:hint="eastAsia"/>
                      <w:color w:val="auto"/>
                      <w:u w:val="none"/>
                      <w:lang w:val="en-US" w:eastAsia="zh-CN"/>
                    </w:rPr>
                    <w:t>环境风险</w:t>
                  </w:r>
                </w:p>
              </w:tc>
              <w:tc>
                <w:tcPr>
                  <w:tcW w:w="2000" w:type="dxa"/>
                  <w:tcBorders>
                    <w:tl2br w:val="nil"/>
                    <w:tr2bl w:val="nil"/>
                  </w:tcBorders>
                  <w:noWrap w:val="0"/>
                  <w:vAlign w:val="center"/>
                </w:tcPr>
                <w:p w14:paraId="2AF12257">
                  <w:pPr>
                    <w:pStyle w:val="145"/>
                    <w:ind w:firstLine="0" w:firstLineChars="0"/>
                    <w:rPr>
                      <w:color w:val="auto"/>
                      <w:u w:val="none"/>
                    </w:rPr>
                  </w:pPr>
                  <w:r>
                    <w:rPr>
                      <w:rFonts w:hint="eastAsia"/>
                      <w:color w:val="auto"/>
                      <w:u w:val="single"/>
                      <w:lang w:eastAsia="zh-CN"/>
                    </w:rPr>
                    <w:t>事故</w:t>
                  </w:r>
                  <w:r>
                    <w:rPr>
                      <w:rFonts w:hint="default" w:ascii="Times New Roman" w:hAnsi="Times New Roman" w:cs="Times New Roman"/>
                      <w:color w:val="auto"/>
                      <w:u w:val="single"/>
                      <w:lang w:eastAsia="zh-CN"/>
                    </w:rPr>
                    <w:t>池</w:t>
                  </w:r>
                  <w:r>
                    <w:rPr>
                      <w:rFonts w:hint="default" w:ascii="Times New Roman" w:hAnsi="Times New Roman" w:cs="Times New Roman"/>
                      <w:color w:val="auto"/>
                      <w:u w:val="single"/>
                      <w:lang w:val="en-US" w:eastAsia="zh-CN"/>
                    </w:rPr>
                    <w:t>5000m</w:t>
                  </w:r>
                  <w:r>
                    <w:rPr>
                      <w:rFonts w:hint="default" w:ascii="Times New Roman" w:hAnsi="Times New Roman" w:cs="Times New Roman"/>
                      <w:color w:val="auto"/>
                      <w:u w:val="single"/>
                      <w:vertAlign w:val="superscript"/>
                      <w:lang w:val="en-US" w:eastAsia="zh-CN"/>
                    </w:rPr>
                    <w:t>3</w:t>
                  </w:r>
                </w:p>
              </w:tc>
              <w:tc>
                <w:tcPr>
                  <w:tcW w:w="1013" w:type="dxa"/>
                  <w:tcBorders>
                    <w:tl2br w:val="nil"/>
                    <w:tr2bl w:val="nil"/>
                  </w:tcBorders>
                  <w:noWrap w:val="0"/>
                  <w:vAlign w:val="center"/>
                </w:tcPr>
                <w:p w14:paraId="4B1E4FD8">
                  <w:pPr>
                    <w:pStyle w:val="145"/>
                    <w:ind w:firstLine="0" w:firstLineChars="0"/>
                    <w:rPr>
                      <w:rFonts w:hint="default" w:ascii="Times New Roman" w:hAnsi="Times New Roman" w:eastAsia="宋" w:cs="宋体"/>
                      <w:color w:val="auto"/>
                      <w:kern w:val="2"/>
                      <w:sz w:val="21"/>
                      <w:szCs w:val="21"/>
                      <w:u w:val="none"/>
                      <w:lang w:val="en-US" w:eastAsia="zh-CN" w:bidi="ar-SA"/>
                    </w:rPr>
                  </w:pPr>
                  <w:r>
                    <w:rPr>
                      <w:rFonts w:hint="eastAsia" w:ascii="Times New Roman" w:hAnsi="Times New Roman" w:eastAsia="宋" w:cs="宋体"/>
                      <w:color w:val="auto"/>
                      <w:kern w:val="2"/>
                      <w:sz w:val="21"/>
                      <w:szCs w:val="21"/>
                      <w:highlight w:val="none"/>
                      <w:u w:val="single"/>
                      <w:lang w:val="en-US" w:eastAsia="zh-CN" w:bidi="ar-SA"/>
                    </w:rPr>
                    <w:t>15</w:t>
                  </w:r>
                </w:p>
              </w:tc>
              <w:tc>
                <w:tcPr>
                  <w:tcW w:w="2881" w:type="dxa"/>
                  <w:tcBorders>
                    <w:tl2br w:val="nil"/>
                    <w:tr2bl w:val="nil"/>
                  </w:tcBorders>
                  <w:noWrap w:val="0"/>
                  <w:vAlign w:val="center"/>
                </w:tcPr>
                <w:p w14:paraId="78C380E0">
                  <w:pPr>
                    <w:pStyle w:val="145"/>
                    <w:ind w:firstLine="0" w:firstLineChars="0"/>
                    <w:rPr>
                      <w:color w:val="auto"/>
                      <w:u w:val="none"/>
                    </w:rPr>
                  </w:pPr>
                  <w:r>
                    <w:rPr>
                      <w:rFonts w:hint="eastAsia"/>
                      <w:color w:val="auto"/>
                      <w:u w:val="single"/>
                      <w:lang w:eastAsia="zh-CN"/>
                    </w:rPr>
                    <w:t>暂存事故废水</w:t>
                  </w:r>
                </w:p>
              </w:tc>
              <w:tc>
                <w:tcPr>
                  <w:tcW w:w="1513" w:type="dxa"/>
                  <w:tcBorders>
                    <w:tl2br w:val="nil"/>
                    <w:tr2bl w:val="nil"/>
                  </w:tcBorders>
                  <w:noWrap w:val="0"/>
                  <w:vAlign w:val="center"/>
                </w:tcPr>
                <w:p w14:paraId="6E12EBF4">
                  <w:pPr>
                    <w:pStyle w:val="145"/>
                    <w:ind w:firstLine="0" w:firstLineChars="0"/>
                    <w:rPr>
                      <w:color w:val="auto"/>
                      <w:u w:val="none"/>
                    </w:rPr>
                  </w:pPr>
                  <w:r>
                    <w:rPr>
                      <w:color w:val="auto"/>
                      <w:u w:val="single"/>
                    </w:rPr>
                    <w:t>项目运营期</w:t>
                  </w:r>
                </w:p>
              </w:tc>
            </w:tr>
            <w:tr w14:paraId="13FD3D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23" w:type="dxa"/>
                  <w:vMerge w:val="continue"/>
                  <w:tcBorders>
                    <w:tl2br w:val="nil"/>
                    <w:tr2bl w:val="nil"/>
                  </w:tcBorders>
                  <w:noWrap w:val="0"/>
                  <w:vAlign w:val="center"/>
                </w:tcPr>
                <w:p w14:paraId="4A988995">
                  <w:pPr>
                    <w:pStyle w:val="145"/>
                    <w:rPr>
                      <w:rFonts w:hint="eastAsia"/>
                      <w:color w:val="auto"/>
                      <w:u w:val="none"/>
                      <w:lang w:val="en-US" w:eastAsia="zh-CN"/>
                    </w:rPr>
                  </w:pPr>
                </w:p>
              </w:tc>
              <w:tc>
                <w:tcPr>
                  <w:tcW w:w="2000" w:type="dxa"/>
                  <w:tcBorders>
                    <w:tl2br w:val="nil"/>
                    <w:tr2bl w:val="nil"/>
                  </w:tcBorders>
                  <w:noWrap w:val="0"/>
                  <w:vAlign w:val="center"/>
                </w:tcPr>
                <w:p w14:paraId="14E9AEC5">
                  <w:pPr>
                    <w:pStyle w:val="145"/>
                    <w:ind w:firstLine="0" w:firstLineChars="0"/>
                    <w:rPr>
                      <w:rFonts w:hint="eastAsia"/>
                      <w:color w:val="auto"/>
                      <w:u w:val="single"/>
                      <w:lang w:eastAsia="zh-CN"/>
                    </w:rPr>
                  </w:pPr>
                  <w:r>
                    <w:rPr>
                      <w:rFonts w:hint="eastAsia"/>
                      <w:color w:val="auto"/>
                      <w:u w:val="single"/>
                      <w:lang w:eastAsia="zh-CN"/>
                    </w:rPr>
                    <w:t>柴油发电机</w:t>
                  </w:r>
                </w:p>
              </w:tc>
              <w:tc>
                <w:tcPr>
                  <w:tcW w:w="1013" w:type="dxa"/>
                  <w:tcBorders>
                    <w:tl2br w:val="nil"/>
                    <w:tr2bl w:val="nil"/>
                  </w:tcBorders>
                  <w:noWrap w:val="0"/>
                  <w:vAlign w:val="center"/>
                </w:tcPr>
                <w:p w14:paraId="66DD8733">
                  <w:pPr>
                    <w:pStyle w:val="145"/>
                    <w:ind w:firstLine="0" w:firstLineChars="0"/>
                    <w:rPr>
                      <w:rFonts w:hint="default" w:ascii="Times New Roman" w:hAnsi="Times New Roman" w:eastAsia="宋" w:cs="宋体"/>
                      <w:color w:val="auto"/>
                      <w:kern w:val="2"/>
                      <w:sz w:val="21"/>
                      <w:szCs w:val="21"/>
                      <w:highlight w:val="none"/>
                      <w:u w:val="single"/>
                      <w:lang w:val="en-US" w:eastAsia="zh-CN" w:bidi="ar-SA"/>
                    </w:rPr>
                  </w:pPr>
                  <w:r>
                    <w:rPr>
                      <w:rFonts w:hint="eastAsia" w:ascii="Times New Roman" w:hAnsi="Times New Roman" w:eastAsia="宋" w:cs="宋体"/>
                      <w:color w:val="auto"/>
                      <w:kern w:val="2"/>
                      <w:sz w:val="21"/>
                      <w:szCs w:val="21"/>
                      <w:highlight w:val="none"/>
                      <w:u w:val="single"/>
                      <w:lang w:val="en-US" w:eastAsia="zh-CN" w:bidi="ar-SA"/>
                    </w:rPr>
                    <w:t>2</w:t>
                  </w:r>
                </w:p>
              </w:tc>
              <w:tc>
                <w:tcPr>
                  <w:tcW w:w="2881" w:type="dxa"/>
                  <w:tcBorders>
                    <w:tl2br w:val="nil"/>
                    <w:tr2bl w:val="nil"/>
                  </w:tcBorders>
                  <w:noWrap w:val="0"/>
                  <w:vAlign w:val="center"/>
                </w:tcPr>
                <w:p w14:paraId="61BB41D9">
                  <w:pPr>
                    <w:pStyle w:val="145"/>
                    <w:ind w:firstLine="0" w:firstLineChars="0"/>
                    <w:rPr>
                      <w:rFonts w:hint="eastAsia"/>
                      <w:color w:val="auto"/>
                      <w:u w:val="single"/>
                      <w:lang w:eastAsia="zh-CN"/>
                    </w:rPr>
                  </w:pPr>
                  <w:r>
                    <w:rPr>
                      <w:rFonts w:hint="eastAsia"/>
                      <w:color w:val="auto"/>
                      <w:u w:val="single"/>
                      <w:lang w:eastAsia="zh-CN"/>
                    </w:rPr>
                    <w:t>应急电源</w:t>
                  </w:r>
                </w:p>
              </w:tc>
              <w:tc>
                <w:tcPr>
                  <w:tcW w:w="1513" w:type="dxa"/>
                  <w:tcBorders>
                    <w:tl2br w:val="nil"/>
                    <w:tr2bl w:val="nil"/>
                  </w:tcBorders>
                  <w:noWrap w:val="0"/>
                  <w:vAlign w:val="center"/>
                </w:tcPr>
                <w:p w14:paraId="41994BBA">
                  <w:pPr>
                    <w:pStyle w:val="145"/>
                    <w:ind w:firstLine="0" w:firstLineChars="0"/>
                    <w:rPr>
                      <w:rFonts w:hint="eastAsia" w:eastAsia="宋体"/>
                      <w:color w:val="auto"/>
                      <w:u w:val="single"/>
                      <w:lang w:eastAsia="zh-CN"/>
                    </w:rPr>
                  </w:pPr>
                  <w:r>
                    <w:rPr>
                      <w:rFonts w:hint="eastAsia"/>
                      <w:color w:val="auto"/>
                      <w:u w:val="single"/>
                      <w:lang w:eastAsia="zh-CN"/>
                    </w:rPr>
                    <w:t>项目运营期</w:t>
                  </w:r>
                </w:p>
              </w:tc>
            </w:tr>
            <w:tr w14:paraId="0B1F3A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23" w:type="dxa"/>
                  <w:gridSpan w:val="2"/>
                  <w:tcBorders>
                    <w:tl2br w:val="nil"/>
                    <w:tr2bl w:val="nil"/>
                  </w:tcBorders>
                  <w:noWrap w:val="0"/>
                  <w:vAlign w:val="center"/>
                </w:tcPr>
                <w:p w14:paraId="5AD89919">
                  <w:pPr>
                    <w:pStyle w:val="145"/>
                    <w:rPr>
                      <w:color w:val="auto"/>
                      <w:u w:val="none"/>
                    </w:rPr>
                  </w:pPr>
                  <w:r>
                    <w:rPr>
                      <w:color w:val="auto"/>
                      <w:u w:val="none"/>
                    </w:rPr>
                    <w:t>合计</w:t>
                  </w:r>
                </w:p>
              </w:tc>
              <w:tc>
                <w:tcPr>
                  <w:tcW w:w="1013" w:type="dxa"/>
                  <w:tcBorders>
                    <w:tl2br w:val="nil"/>
                    <w:tr2bl w:val="nil"/>
                  </w:tcBorders>
                  <w:noWrap w:val="0"/>
                  <w:vAlign w:val="center"/>
                </w:tcPr>
                <w:p w14:paraId="3571D3B4">
                  <w:pPr>
                    <w:pStyle w:val="145"/>
                    <w:rPr>
                      <w:rFonts w:hint="default" w:ascii="Times New Roman" w:hAnsi="Times New Roman" w:eastAsia="宋" w:cs="宋体"/>
                      <w:color w:val="auto"/>
                      <w:kern w:val="2"/>
                      <w:sz w:val="21"/>
                      <w:szCs w:val="21"/>
                      <w:u w:val="none"/>
                      <w:lang w:val="en-US" w:eastAsia="zh-CN" w:bidi="ar-SA"/>
                    </w:rPr>
                  </w:pPr>
                  <w:r>
                    <w:rPr>
                      <w:rFonts w:hint="eastAsia" w:ascii="Times New Roman" w:hAnsi="Times New Roman" w:eastAsia="宋" w:cs="宋体"/>
                      <w:color w:val="auto"/>
                      <w:kern w:val="2"/>
                      <w:sz w:val="21"/>
                      <w:szCs w:val="21"/>
                      <w:u w:val="none"/>
                      <w:lang w:val="en-US" w:eastAsia="zh-CN" w:bidi="ar-SA"/>
                    </w:rPr>
                    <w:t>702</w:t>
                  </w:r>
                </w:p>
              </w:tc>
              <w:tc>
                <w:tcPr>
                  <w:tcW w:w="2881" w:type="dxa"/>
                  <w:tcBorders>
                    <w:tl2br w:val="nil"/>
                    <w:tr2bl w:val="nil"/>
                  </w:tcBorders>
                  <w:noWrap w:val="0"/>
                  <w:vAlign w:val="center"/>
                </w:tcPr>
                <w:p w14:paraId="6CF7D906">
                  <w:pPr>
                    <w:pStyle w:val="145"/>
                    <w:rPr>
                      <w:color w:val="auto"/>
                      <w:u w:val="none"/>
                    </w:rPr>
                  </w:pPr>
                  <w:r>
                    <w:rPr>
                      <w:color w:val="auto"/>
                      <w:u w:val="none"/>
                    </w:rPr>
                    <w:t>/</w:t>
                  </w:r>
                </w:p>
              </w:tc>
              <w:tc>
                <w:tcPr>
                  <w:tcW w:w="1513" w:type="dxa"/>
                  <w:tcBorders>
                    <w:tl2br w:val="nil"/>
                    <w:tr2bl w:val="nil"/>
                  </w:tcBorders>
                  <w:noWrap w:val="0"/>
                  <w:vAlign w:val="center"/>
                </w:tcPr>
                <w:p w14:paraId="3E4259BA">
                  <w:pPr>
                    <w:pStyle w:val="145"/>
                    <w:rPr>
                      <w:color w:val="auto"/>
                      <w:u w:val="none"/>
                    </w:rPr>
                  </w:pPr>
                  <w:r>
                    <w:rPr>
                      <w:color w:val="auto"/>
                      <w:u w:val="none"/>
                    </w:rPr>
                    <w:t>/</w:t>
                  </w:r>
                </w:p>
              </w:tc>
            </w:tr>
          </w:tbl>
          <w:p w14:paraId="09C9FC75">
            <w:pPr>
              <w:pStyle w:val="6"/>
              <w:rPr>
                <w:rFonts w:hint="eastAsia" w:ascii="Times New Roman" w:hAnsi="Times New Roman" w:eastAsia="宋体" w:cs="宋体"/>
                <w:b/>
                <w:bCs/>
                <w:color w:val="auto"/>
                <w:sz w:val="24"/>
                <w:u w:val="none"/>
                <w:lang w:eastAsia="zh-CN"/>
              </w:rPr>
            </w:pPr>
          </w:p>
          <w:p w14:paraId="2D8DB737">
            <w:pPr>
              <w:pStyle w:val="90"/>
              <w:spacing w:line="360" w:lineRule="auto"/>
              <w:ind w:left="0" w:leftChars="0" w:firstLine="0" w:firstLineChars="0"/>
              <w:rPr>
                <w:bCs/>
                <w:color w:val="auto"/>
                <w:spacing w:val="-10"/>
                <w:sz w:val="18"/>
                <w:szCs w:val="18"/>
              </w:rPr>
            </w:pPr>
          </w:p>
        </w:tc>
      </w:tr>
    </w:tbl>
    <w:p w14:paraId="4A821787">
      <w:pPr>
        <w:adjustRightInd w:val="0"/>
        <w:snapToGrid w:val="0"/>
        <w:spacing w:line="360" w:lineRule="auto"/>
        <w:rPr>
          <w:rFonts w:hint="eastAsia" w:cs="宋体"/>
          <w:b/>
          <w:color w:val="auto"/>
          <w:kern w:val="0"/>
          <w:sz w:val="28"/>
          <w:szCs w:val="28"/>
        </w:rPr>
        <w:sectPr>
          <w:pgSz w:w="11907" w:h="16840"/>
          <w:pgMar w:top="1440" w:right="1417" w:bottom="1440" w:left="1417" w:header="851" w:footer="850" w:gutter="0"/>
          <w:pgBorders>
            <w:top w:val="none" w:sz="0" w:space="0"/>
            <w:left w:val="none" w:sz="0" w:space="0"/>
            <w:bottom w:val="none" w:sz="0" w:space="0"/>
            <w:right w:val="none" w:sz="0" w:space="0"/>
          </w:pgBorders>
          <w:pgNumType w:fmt="decimal"/>
          <w:cols w:space="720" w:num="1"/>
          <w:docGrid w:type="lines" w:linePitch="312" w:charSpace="0"/>
        </w:sectPr>
      </w:pPr>
    </w:p>
    <w:p w14:paraId="6D608853">
      <w:pPr>
        <w:pStyle w:val="27"/>
        <w:spacing w:before="0" w:beforeAutospacing="0" w:after="0" w:afterAutospacing="0"/>
        <w:jc w:val="center"/>
        <w:outlineLvl w:val="0"/>
        <w:rPr>
          <w:rFonts w:ascii="Times New Roman" w:hAnsi="Times New Roman" w:eastAsia="黑体"/>
          <w:snapToGrid w:val="0"/>
          <w:color w:val="auto"/>
          <w:sz w:val="30"/>
          <w:szCs w:val="30"/>
        </w:rPr>
      </w:pPr>
      <w:bookmarkStart w:id="23" w:name="_Toc19084"/>
      <w:r>
        <w:rPr>
          <w:rFonts w:hint="eastAsia" w:ascii="Times New Roman" w:hAnsi="Times New Roman" w:eastAsia="黑体"/>
          <w:snapToGrid w:val="0"/>
          <w:color w:val="auto"/>
          <w:sz w:val="30"/>
          <w:szCs w:val="30"/>
        </w:rPr>
        <w:t>五、</w:t>
      </w:r>
      <w:bookmarkStart w:id="24" w:name="_Hlk54167917"/>
      <w:r>
        <w:rPr>
          <w:rFonts w:hint="eastAsia" w:ascii="Times New Roman" w:hAnsi="Times New Roman" w:eastAsia="黑体"/>
          <w:snapToGrid w:val="0"/>
          <w:color w:val="auto"/>
          <w:sz w:val="30"/>
          <w:szCs w:val="30"/>
        </w:rPr>
        <w:t>环境保护措施监督检查清单</w:t>
      </w:r>
      <w:bookmarkEnd w:id="23"/>
      <w:bookmarkEnd w:id="24"/>
    </w:p>
    <w:tbl>
      <w:tblPr>
        <w:tblStyle w:val="32"/>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60"/>
        <w:gridCol w:w="1917"/>
        <w:gridCol w:w="1670"/>
        <w:gridCol w:w="2143"/>
        <w:gridCol w:w="2181"/>
      </w:tblGrid>
      <w:tr w14:paraId="356BFA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60" w:type="dxa"/>
            <w:tcBorders>
              <w:tl2br w:val="single" w:color="auto" w:sz="4" w:space="0"/>
            </w:tcBorders>
            <w:vAlign w:val="top"/>
          </w:tcPr>
          <w:p w14:paraId="0251FEC9">
            <w:pPr>
              <w:keepNext w:val="0"/>
              <w:keepLines w:val="0"/>
              <w:pageBreakBefore w:val="0"/>
              <w:widowControl w:val="0"/>
              <w:kinsoku/>
              <w:wordWrap/>
              <w:overflowPunct/>
              <w:topLinePunct w:val="0"/>
              <w:autoSpaceDE/>
              <w:autoSpaceDN/>
              <w:bidi w:val="0"/>
              <w:adjustRightInd w:val="0"/>
              <w:snapToGrid w:val="0"/>
              <w:jc w:val="right"/>
              <w:textAlignment w:val="auto"/>
              <w:rPr>
                <w:color w:val="auto"/>
                <w:sz w:val="21"/>
                <w:szCs w:val="21"/>
                <w:u w:val="none"/>
              </w:rPr>
            </w:pPr>
            <w:r>
              <w:rPr>
                <w:color w:val="auto"/>
                <w:sz w:val="21"/>
                <w:szCs w:val="21"/>
                <w:u w:val="none"/>
              </w:rPr>
              <w:t>内容</w:t>
            </w:r>
          </w:p>
          <w:p w14:paraId="5D0F8944">
            <w:pPr>
              <w:keepNext w:val="0"/>
              <w:keepLines w:val="0"/>
              <w:pageBreakBefore w:val="0"/>
              <w:widowControl w:val="0"/>
              <w:kinsoku/>
              <w:wordWrap/>
              <w:overflowPunct/>
              <w:topLinePunct w:val="0"/>
              <w:autoSpaceDE/>
              <w:autoSpaceDN/>
              <w:bidi w:val="0"/>
              <w:adjustRightInd w:val="0"/>
              <w:snapToGrid w:val="0"/>
              <w:textAlignment w:val="auto"/>
              <w:rPr>
                <w:color w:val="auto"/>
                <w:sz w:val="21"/>
                <w:szCs w:val="21"/>
                <w:u w:val="none"/>
              </w:rPr>
            </w:pPr>
            <w:r>
              <w:rPr>
                <w:color w:val="auto"/>
                <w:sz w:val="21"/>
                <w:szCs w:val="21"/>
                <w:u w:val="none"/>
              </w:rPr>
              <w:t>要素</w:t>
            </w:r>
          </w:p>
        </w:tc>
        <w:tc>
          <w:tcPr>
            <w:tcW w:w="1917" w:type="dxa"/>
            <w:vAlign w:val="center"/>
          </w:tcPr>
          <w:p w14:paraId="0EB37B5D">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u w:val="none"/>
              </w:rPr>
            </w:pPr>
            <w:r>
              <w:rPr>
                <w:color w:val="auto"/>
                <w:sz w:val="21"/>
                <w:szCs w:val="21"/>
                <w:u w:val="none"/>
              </w:rPr>
              <w:t>排放口(编号、</w:t>
            </w:r>
          </w:p>
          <w:p w14:paraId="4CCF1D1D">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u w:val="none"/>
              </w:rPr>
            </w:pPr>
            <w:r>
              <w:rPr>
                <w:color w:val="auto"/>
                <w:sz w:val="21"/>
                <w:szCs w:val="21"/>
                <w:u w:val="none"/>
              </w:rPr>
              <w:t>名称)/污染源</w:t>
            </w:r>
          </w:p>
        </w:tc>
        <w:tc>
          <w:tcPr>
            <w:tcW w:w="1670" w:type="dxa"/>
            <w:vAlign w:val="center"/>
          </w:tcPr>
          <w:p w14:paraId="72BCDBA2">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u w:val="none"/>
              </w:rPr>
            </w:pPr>
            <w:r>
              <w:rPr>
                <w:color w:val="auto"/>
                <w:sz w:val="21"/>
                <w:szCs w:val="21"/>
                <w:u w:val="none"/>
              </w:rPr>
              <w:t>污染物项目</w:t>
            </w:r>
          </w:p>
        </w:tc>
        <w:tc>
          <w:tcPr>
            <w:tcW w:w="2143" w:type="dxa"/>
            <w:vAlign w:val="center"/>
          </w:tcPr>
          <w:p w14:paraId="3796571E">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u w:val="none"/>
              </w:rPr>
            </w:pPr>
            <w:r>
              <w:rPr>
                <w:color w:val="auto"/>
                <w:sz w:val="21"/>
                <w:szCs w:val="21"/>
                <w:u w:val="none"/>
              </w:rPr>
              <w:t>环境保护措施</w:t>
            </w:r>
          </w:p>
        </w:tc>
        <w:tc>
          <w:tcPr>
            <w:tcW w:w="2181" w:type="dxa"/>
            <w:vAlign w:val="center"/>
          </w:tcPr>
          <w:p w14:paraId="2DE9A47C">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u w:val="none"/>
              </w:rPr>
            </w:pPr>
            <w:r>
              <w:rPr>
                <w:color w:val="auto"/>
                <w:sz w:val="21"/>
                <w:szCs w:val="21"/>
                <w:u w:val="none"/>
              </w:rPr>
              <w:t>执行标准</w:t>
            </w:r>
          </w:p>
        </w:tc>
      </w:tr>
      <w:tr w14:paraId="5114AF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60" w:type="dxa"/>
            <w:vMerge w:val="restart"/>
            <w:vAlign w:val="center"/>
          </w:tcPr>
          <w:p w14:paraId="37E70899">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u w:val="none"/>
              </w:rPr>
            </w:pPr>
            <w:r>
              <w:rPr>
                <w:color w:val="auto"/>
                <w:sz w:val="21"/>
                <w:szCs w:val="21"/>
                <w:u w:val="none"/>
              </w:rPr>
              <w:t>大气环境</w:t>
            </w:r>
          </w:p>
        </w:tc>
        <w:tc>
          <w:tcPr>
            <w:tcW w:w="1917" w:type="dxa"/>
            <w:vAlign w:val="center"/>
          </w:tcPr>
          <w:p w14:paraId="0AB4EA0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olor w:val="auto"/>
                <w:sz w:val="21"/>
                <w:szCs w:val="21"/>
                <w:u w:val="none"/>
                <w:lang w:val="en-US"/>
              </w:rPr>
            </w:pPr>
            <w:r>
              <w:rPr>
                <w:rFonts w:hint="eastAsia" w:cs="Times New Roman"/>
                <w:color w:val="auto"/>
                <w:sz w:val="21"/>
                <w:szCs w:val="21"/>
                <w:u w:val="none"/>
                <w:lang w:val="en-US" w:eastAsia="zh-CN"/>
              </w:rPr>
              <w:t>1#排气筒</w:t>
            </w:r>
          </w:p>
        </w:tc>
        <w:tc>
          <w:tcPr>
            <w:tcW w:w="1670" w:type="dxa"/>
            <w:vAlign w:val="center"/>
          </w:tcPr>
          <w:p w14:paraId="085B2EBD">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u w:val="none"/>
              </w:rPr>
            </w:pPr>
            <w:r>
              <w:rPr>
                <w:rFonts w:hint="eastAsia"/>
                <w:color w:val="auto"/>
                <w:sz w:val="21"/>
                <w:szCs w:val="21"/>
                <w:u w:val="none"/>
              </w:rPr>
              <w:t>恶臭气体（NH</w:t>
            </w:r>
            <w:r>
              <w:rPr>
                <w:rFonts w:hint="eastAsia"/>
                <w:color w:val="auto"/>
                <w:sz w:val="21"/>
                <w:szCs w:val="21"/>
                <w:u w:val="none"/>
                <w:vertAlign w:val="subscript"/>
              </w:rPr>
              <w:t>3</w:t>
            </w:r>
            <w:r>
              <w:rPr>
                <w:rFonts w:hint="eastAsia"/>
                <w:color w:val="auto"/>
                <w:sz w:val="21"/>
                <w:szCs w:val="21"/>
                <w:u w:val="none"/>
              </w:rPr>
              <w:t>、H</w:t>
            </w:r>
            <w:r>
              <w:rPr>
                <w:rFonts w:hint="eastAsia"/>
                <w:color w:val="auto"/>
                <w:sz w:val="21"/>
                <w:szCs w:val="21"/>
                <w:u w:val="none"/>
                <w:vertAlign w:val="subscript"/>
              </w:rPr>
              <w:t>2</w:t>
            </w:r>
            <w:r>
              <w:rPr>
                <w:rFonts w:hint="eastAsia"/>
                <w:color w:val="auto"/>
                <w:sz w:val="21"/>
                <w:szCs w:val="21"/>
                <w:u w:val="none"/>
              </w:rPr>
              <w:t>S</w:t>
            </w:r>
            <w:r>
              <w:rPr>
                <w:rFonts w:hint="eastAsia"/>
                <w:color w:val="auto"/>
                <w:sz w:val="21"/>
                <w:szCs w:val="21"/>
                <w:u w:val="none"/>
                <w:lang w:eastAsia="zh-CN"/>
              </w:rPr>
              <w:t>、</w:t>
            </w:r>
            <w:r>
              <w:rPr>
                <w:rFonts w:hint="eastAsia"/>
                <w:color w:val="auto"/>
                <w:sz w:val="21"/>
                <w:szCs w:val="21"/>
                <w:u w:val="none"/>
                <w:lang w:val="en-US" w:eastAsia="zh-CN"/>
              </w:rPr>
              <w:t>臭气浓度</w:t>
            </w:r>
            <w:r>
              <w:rPr>
                <w:rFonts w:hint="eastAsia"/>
                <w:color w:val="auto"/>
                <w:sz w:val="21"/>
                <w:szCs w:val="21"/>
                <w:u w:val="none"/>
              </w:rPr>
              <w:t>）</w:t>
            </w:r>
          </w:p>
        </w:tc>
        <w:tc>
          <w:tcPr>
            <w:tcW w:w="2143" w:type="dxa"/>
            <w:vAlign w:val="center"/>
          </w:tcPr>
          <w:p w14:paraId="5EDEBC64">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u w:val="none"/>
              </w:rPr>
            </w:pPr>
            <w:r>
              <w:rPr>
                <w:rFonts w:hint="eastAsia"/>
                <w:color w:val="auto"/>
                <w:sz w:val="21"/>
                <w:szCs w:val="21"/>
                <w:u w:val="none"/>
              </w:rPr>
              <w:t>密闭收集后由生物除臭设施处理后排放</w:t>
            </w:r>
          </w:p>
        </w:tc>
        <w:tc>
          <w:tcPr>
            <w:tcW w:w="2181" w:type="dxa"/>
            <w:vAlign w:val="center"/>
          </w:tcPr>
          <w:p w14:paraId="1BB1D872">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u w:val="none"/>
              </w:rPr>
            </w:pPr>
            <w:r>
              <w:rPr>
                <w:rFonts w:hint="eastAsia"/>
                <w:color w:val="auto"/>
                <w:sz w:val="21"/>
                <w:szCs w:val="21"/>
                <w:u w:val="none"/>
              </w:rPr>
              <w:t>组织氨、硫化氢、臭气浓度执行《恶臭污染物排放标准》（GB 14554-1993）表2中标准</w:t>
            </w:r>
          </w:p>
        </w:tc>
      </w:tr>
      <w:tr w14:paraId="421144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60" w:type="dxa"/>
            <w:vMerge w:val="continue"/>
            <w:vAlign w:val="center"/>
          </w:tcPr>
          <w:p w14:paraId="0BFECAD4">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u w:val="none"/>
              </w:rPr>
            </w:pPr>
          </w:p>
        </w:tc>
        <w:tc>
          <w:tcPr>
            <w:tcW w:w="1917" w:type="dxa"/>
            <w:vAlign w:val="center"/>
          </w:tcPr>
          <w:p w14:paraId="2AF19755">
            <w:pPr>
              <w:keepNext w:val="0"/>
              <w:keepLines w:val="0"/>
              <w:pageBreakBefore w:val="0"/>
              <w:widowControl w:val="0"/>
              <w:kinsoku/>
              <w:wordWrap/>
              <w:overflowPunct w:val="0"/>
              <w:topLinePunct w:val="0"/>
              <w:autoSpaceDE w:val="0"/>
              <w:autoSpaceDN w:val="0"/>
              <w:bidi w:val="0"/>
              <w:spacing w:before="0" w:after="0" w:line="240" w:lineRule="auto"/>
              <w:ind w:left="0" w:leftChars="0" w:right="0" w:rightChars="0" w:firstLine="0" w:firstLineChars="0"/>
              <w:jc w:val="center"/>
              <w:textAlignment w:val="auto"/>
              <w:rPr>
                <w:rFonts w:hint="eastAsia" w:cs="Times New Roman"/>
                <w:color w:val="auto"/>
                <w:sz w:val="21"/>
                <w:szCs w:val="21"/>
                <w:u w:val="none"/>
                <w:lang w:val="en-US" w:eastAsia="zh-CN"/>
              </w:rPr>
            </w:pPr>
            <w:r>
              <w:rPr>
                <w:rFonts w:hint="eastAsia" w:cs="宋体"/>
                <w:color w:val="auto"/>
                <w:sz w:val="21"/>
                <w:szCs w:val="21"/>
                <w:lang w:val="en-US" w:eastAsia="zh-CN" w:bidi="zh-CN"/>
              </w:rPr>
              <w:t>柴油发电机</w:t>
            </w:r>
          </w:p>
        </w:tc>
        <w:tc>
          <w:tcPr>
            <w:tcW w:w="1670" w:type="dxa"/>
            <w:vAlign w:val="center"/>
          </w:tcPr>
          <w:p w14:paraId="66ECAD68">
            <w:pPr>
              <w:jc w:val="center"/>
              <w:rPr>
                <w:rFonts w:hint="eastAsia" w:eastAsia="宋体"/>
                <w:color w:val="auto"/>
                <w:sz w:val="21"/>
                <w:szCs w:val="21"/>
                <w:u w:val="none"/>
                <w:lang w:eastAsia="zh-CN"/>
              </w:rPr>
            </w:pPr>
            <w:r>
              <w:rPr>
                <w:rFonts w:hint="eastAsia"/>
                <w:color w:val="auto"/>
              </w:rPr>
              <w:t>SO</w:t>
            </w:r>
            <w:r>
              <w:rPr>
                <w:rFonts w:hint="eastAsia"/>
                <w:color w:val="auto"/>
                <w:vertAlign w:val="subscript"/>
              </w:rPr>
              <w:t>2</w:t>
            </w:r>
            <w:r>
              <w:rPr>
                <w:rFonts w:hint="eastAsia"/>
                <w:color w:val="auto"/>
                <w:lang w:val="en-US" w:eastAsia="zh-CN"/>
              </w:rPr>
              <w:t>、</w:t>
            </w:r>
            <w:r>
              <w:rPr>
                <w:rFonts w:hint="eastAsia"/>
                <w:color w:val="auto"/>
              </w:rPr>
              <w:t>NO</w:t>
            </w:r>
            <w:r>
              <w:rPr>
                <w:rFonts w:hint="eastAsia"/>
                <w:color w:val="auto"/>
                <w:vertAlign w:val="subscript"/>
              </w:rPr>
              <w:t>X</w:t>
            </w:r>
            <w:r>
              <w:rPr>
                <w:rFonts w:hint="eastAsia"/>
                <w:color w:val="auto"/>
                <w:lang w:eastAsia="zh-CN"/>
              </w:rPr>
              <w:t>、</w:t>
            </w:r>
            <w:r>
              <w:rPr>
                <w:rFonts w:hint="eastAsia"/>
                <w:color w:val="auto"/>
                <w:lang w:val="en-US" w:eastAsia="zh-CN"/>
              </w:rPr>
              <w:t>颗粒物</w:t>
            </w:r>
          </w:p>
        </w:tc>
        <w:tc>
          <w:tcPr>
            <w:tcW w:w="2143" w:type="dxa"/>
            <w:vAlign w:val="center"/>
          </w:tcPr>
          <w:p w14:paraId="624E2C0C">
            <w:pPr>
              <w:keepNext w:val="0"/>
              <w:keepLines w:val="0"/>
              <w:pageBreakBefore w:val="0"/>
              <w:widowControl w:val="0"/>
              <w:kinsoku/>
              <w:wordWrap/>
              <w:overflowPunct w:val="0"/>
              <w:topLinePunct w:val="0"/>
              <w:autoSpaceDE w:val="0"/>
              <w:autoSpaceDN w:val="0"/>
              <w:bidi w:val="0"/>
              <w:spacing w:before="0" w:after="0" w:line="240" w:lineRule="auto"/>
              <w:ind w:left="0" w:leftChars="0" w:right="0" w:rightChars="0" w:firstLine="0" w:firstLineChars="0"/>
              <w:jc w:val="center"/>
              <w:textAlignment w:val="auto"/>
              <w:rPr>
                <w:rFonts w:hint="eastAsia"/>
                <w:color w:val="auto"/>
                <w:sz w:val="21"/>
                <w:szCs w:val="21"/>
                <w:u w:val="none"/>
              </w:rPr>
            </w:pPr>
            <w:r>
              <w:rPr>
                <w:rFonts w:hint="eastAsia" w:cs="宋体"/>
                <w:color w:val="auto"/>
                <w:w w:val="100"/>
                <w:sz w:val="21"/>
                <w:szCs w:val="21"/>
                <w:lang w:val="en-US" w:eastAsia="zh-CN" w:bidi="zh-CN"/>
              </w:rPr>
              <w:t>经排气筒屋顶无组织排放</w:t>
            </w:r>
          </w:p>
        </w:tc>
        <w:tc>
          <w:tcPr>
            <w:tcW w:w="2181" w:type="dxa"/>
            <w:vAlign w:val="center"/>
          </w:tcPr>
          <w:p w14:paraId="2E9CBBB2">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auto"/>
              <w:rPr>
                <w:rFonts w:hint="eastAsia"/>
                <w:color w:val="auto"/>
                <w:sz w:val="21"/>
                <w:szCs w:val="21"/>
                <w:u w:val="none"/>
              </w:rPr>
            </w:pPr>
            <w:r>
              <w:rPr>
                <w:rFonts w:hint="eastAsia" w:ascii="Times New Roman" w:hAnsi="Times New Roman" w:eastAsia="宋体" w:cs="宋体"/>
                <w:color w:val="auto"/>
                <w:w w:val="100"/>
                <w:sz w:val="21"/>
                <w:szCs w:val="21"/>
                <w:lang w:val="en-US" w:eastAsia="zh-CN" w:bidi="zh-CN"/>
              </w:rPr>
              <w:t>满足《大气污染物综合排放标准》(GB16297-1996)中的二级标准</w:t>
            </w:r>
          </w:p>
        </w:tc>
      </w:tr>
      <w:tr w14:paraId="7B7BDD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0" w:hRule="atLeast"/>
          <w:jc w:val="center"/>
        </w:trPr>
        <w:tc>
          <w:tcPr>
            <w:tcW w:w="1160" w:type="dxa"/>
            <w:vAlign w:val="center"/>
          </w:tcPr>
          <w:p w14:paraId="5F541ED3">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u w:val="none"/>
              </w:rPr>
            </w:pPr>
            <w:r>
              <w:rPr>
                <w:color w:val="auto"/>
                <w:sz w:val="21"/>
                <w:szCs w:val="21"/>
                <w:u w:val="none"/>
              </w:rPr>
              <w:t>地表水环境</w:t>
            </w:r>
          </w:p>
        </w:tc>
        <w:tc>
          <w:tcPr>
            <w:tcW w:w="1917" w:type="dxa"/>
            <w:vAlign w:val="center"/>
          </w:tcPr>
          <w:p w14:paraId="16187F7B">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u w:val="none"/>
              </w:rPr>
            </w:pPr>
            <w:r>
              <w:rPr>
                <w:rFonts w:hint="eastAsia"/>
                <w:color w:val="auto"/>
                <w:sz w:val="21"/>
                <w:szCs w:val="21"/>
                <w:u w:val="none"/>
              </w:rPr>
              <w:t>DW001</w:t>
            </w:r>
          </w:p>
        </w:tc>
        <w:tc>
          <w:tcPr>
            <w:tcW w:w="1670" w:type="dxa"/>
            <w:vAlign w:val="center"/>
          </w:tcPr>
          <w:p w14:paraId="572EA99B">
            <w:pPr>
              <w:keepNext w:val="0"/>
              <w:keepLines w:val="0"/>
              <w:pageBreakBefore w:val="0"/>
              <w:widowControl w:val="0"/>
              <w:kinsoku/>
              <w:wordWrap/>
              <w:overflowPunct/>
              <w:topLinePunct w:val="0"/>
              <w:autoSpaceDE/>
              <w:autoSpaceDN/>
              <w:bidi w:val="0"/>
              <w:spacing w:line="320" w:lineRule="exact"/>
              <w:jc w:val="center"/>
              <w:textAlignment w:val="auto"/>
              <w:rPr>
                <w:color w:val="auto"/>
                <w:sz w:val="21"/>
                <w:szCs w:val="21"/>
                <w:u w:val="none"/>
              </w:rPr>
            </w:pPr>
            <w:r>
              <w:rPr>
                <w:color w:val="auto"/>
                <w:sz w:val="21"/>
                <w:szCs w:val="21"/>
                <w:u w:val="none"/>
                <w:lang w:val="de-DE"/>
              </w:rPr>
              <w:t>生活污水</w:t>
            </w:r>
            <w:r>
              <w:rPr>
                <w:rFonts w:hint="eastAsia"/>
                <w:color w:val="auto"/>
                <w:sz w:val="21"/>
                <w:szCs w:val="21"/>
                <w:u w:val="none"/>
                <w:lang w:val="de-DE"/>
              </w:rPr>
              <w:t>（</w:t>
            </w:r>
            <w:r>
              <w:rPr>
                <w:color w:val="auto"/>
                <w:sz w:val="21"/>
                <w:szCs w:val="21"/>
                <w:u w:val="none"/>
                <w:lang w:val="de-DE"/>
              </w:rPr>
              <w:t>COD、BOD</w:t>
            </w:r>
            <w:r>
              <w:rPr>
                <w:color w:val="auto"/>
                <w:sz w:val="21"/>
                <w:szCs w:val="21"/>
                <w:u w:val="none"/>
                <w:vertAlign w:val="subscript"/>
                <w:lang w:val="de-DE"/>
              </w:rPr>
              <w:t>5</w:t>
            </w:r>
            <w:r>
              <w:rPr>
                <w:color w:val="auto"/>
                <w:sz w:val="21"/>
                <w:szCs w:val="21"/>
                <w:u w:val="none"/>
                <w:lang w:val="de-DE"/>
              </w:rPr>
              <w:t>、SS、NH</w:t>
            </w:r>
            <w:r>
              <w:rPr>
                <w:color w:val="auto"/>
                <w:sz w:val="21"/>
                <w:szCs w:val="21"/>
                <w:u w:val="none"/>
                <w:vertAlign w:val="subscript"/>
                <w:lang w:val="de-DE"/>
              </w:rPr>
              <w:t>3</w:t>
            </w:r>
            <w:r>
              <w:rPr>
                <w:color w:val="auto"/>
                <w:sz w:val="21"/>
                <w:szCs w:val="21"/>
                <w:u w:val="none"/>
                <w:lang w:val="de-DE"/>
              </w:rPr>
              <w:t>-N：、TP、TN等</w:t>
            </w:r>
            <w:r>
              <w:rPr>
                <w:rFonts w:hint="eastAsia"/>
                <w:color w:val="auto"/>
                <w:sz w:val="21"/>
                <w:szCs w:val="21"/>
                <w:u w:val="none"/>
                <w:lang w:val="de-DE"/>
              </w:rPr>
              <w:t>）</w:t>
            </w:r>
          </w:p>
        </w:tc>
        <w:tc>
          <w:tcPr>
            <w:tcW w:w="2143" w:type="dxa"/>
            <w:vAlign w:val="center"/>
          </w:tcPr>
          <w:p w14:paraId="156D622E">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u w:val="none"/>
              </w:rPr>
            </w:pPr>
            <w:r>
              <w:rPr>
                <w:rFonts w:hint="eastAsia"/>
                <w:color w:val="auto"/>
                <w:sz w:val="21"/>
                <w:szCs w:val="21"/>
                <w:u w:val="none"/>
              </w:rPr>
              <w:t>厂外污水提升+厂内预处理+AAO生化处理+二沉+高效沉淀+滤布滤池+</w:t>
            </w:r>
            <w:r>
              <w:rPr>
                <w:rFonts w:hint="eastAsia"/>
                <w:color w:val="auto"/>
                <w:sz w:val="21"/>
                <w:szCs w:val="21"/>
                <w:u w:val="none"/>
                <w:lang w:eastAsia="zh-CN"/>
              </w:rPr>
              <w:t>紫外</w:t>
            </w:r>
            <w:r>
              <w:rPr>
                <w:rFonts w:hint="eastAsia"/>
                <w:color w:val="auto"/>
                <w:sz w:val="21"/>
                <w:szCs w:val="21"/>
                <w:u w:val="none"/>
              </w:rPr>
              <w:t>消毒</w:t>
            </w:r>
          </w:p>
        </w:tc>
        <w:tc>
          <w:tcPr>
            <w:tcW w:w="2181" w:type="dxa"/>
            <w:vAlign w:val="center"/>
          </w:tcPr>
          <w:p w14:paraId="7DF58C2D">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u w:val="none"/>
              </w:rPr>
            </w:pPr>
            <w:r>
              <w:rPr>
                <w:rFonts w:hint="eastAsia"/>
                <w:color w:val="auto"/>
                <w:sz w:val="21"/>
                <w:szCs w:val="21"/>
                <w:u w:val="none"/>
              </w:rPr>
              <w:t>COD、NH</w:t>
            </w:r>
            <w:r>
              <w:rPr>
                <w:rFonts w:hint="eastAsia"/>
                <w:color w:val="auto"/>
                <w:sz w:val="21"/>
                <w:szCs w:val="21"/>
                <w:u w:val="none"/>
                <w:vertAlign w:val="subscript"/>
              </w:rPr>
              <w:t>3</w:t>
            </w:r>
            <w:r>
              <w:rPr>
                <w:rFonts w:hint="eastAsia"/>
                <w:color w:val="auto"/>
                <w:sz w:val="21"/>
                <w:szCs w:val="21"/>
                <w:u w:val="none"/>
              </w:rPr>
              <w:t>-N、TP、TN按《湖南省城镇污水处理厂主要水污染物排放标准》（DB43/T 1546-2018）表1二级标准执行，其余指标按《城镇污水处理厂污染物排放标准》（GB18918-2002）一级标准的A标准执行</w:t>
            </w:r>
          </w:p>
        </w:tc>
      </w:tr>
      <w:tr w14:paraId="2222ED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60" w:type="dxa"/>
            <w:vAlign w:val="center"/>
          </w:tcPr>
          <w:p w14:paraId="6221EF31">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u w:val="none"/>
              </w:rPr>
            </w:pPr>
            <w:r>
              <w:rPr>
                <w:color w:val="auto"/>
                <w:sz w:val="21"/>
                <w:szCs w:val="21"/>
                <w:u w:val="none"/>
              </w:rPr>
              <w:t>声环境</w:t>
            </w:r>
          </w:p>
        </w:tc>
        <w:tc>
          <w:tcPr>
            <w:tcW w:w="1917" w:type="dxa"/>
            <w:vAlign w:val="center"/>
          </w:tcPr>
          <w:p w14:paraId="52B5F34F">
            <w:pPr>
              <w:pStyle w:val="4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u w:val="none"/>
              </w:rPr>
            </w:pPr>
            <w:r>
              <w:rPr>
                <w:rFonts w:hint="eastAsia" w:ascii="Times New Roman" w:hAnsi="Times New Roman" w:eastAsia="宋体" w:cs="Times New Roman"/>
                <w:color w:val="auto"/>
                <w:kern w:val="2"/>
                <w:sz w:val="21"/>
                <w:szCs w:val="21"/>
                <w:u w:val="none"/>
                <w:lang w:val="en-US" w:eastAsia="zh-CN" w:bidi="ar-SA"/>
              </w:rPr>
              <w:t>污水处理设备（</w:t>
            </w:r>
            <w:r>
              <w:rPr>
                <w:rFonts w:ascii="Times New Roman" w:hAnsi="Times New Roman" w:eastAsia="宋体" w:cs="Times New Roman"/>
                <w:color w:val="auto"/>
                <w:kern w:val="2"/>
                <w:sz w:val="21"/>
                <w:szCs w:val="21"/>
                <w:u w:val="none"/>
                <w:lang w:val="en-US" w:eastAsia="zh-CN" w:bidi="ar-SA"/>
              </w:rPr>
              <w:t>污水泵、污泥泵、鼓风机、除砂机等</w:t>
            </w:r>
            <w:r>
              <w:rPr>
                <w:rFonts w:hint="eastAsia" w:ascii="Times New Roman" w:hAnsi="Times New Roman" w:eastAsia="宋体" w:cs="Times New Roman"/>
                <w:color w:val="auto"/>
                <w:kern w:val="2"/>
                <w:sz w:val="21"/>
                <w:szCs w:val="21"/>
                <w:u w:val="none"/>
                <w:lang w:val="en-US" w:eastAsia="zh-CN" w:bidi="ar-SA"/>
              </w:rPr>
              <w:t>）</w:t>
            </w:r>
          </w:p>
        </w:tc>
        <w:tc>
          <w:tcPr>
            <w:tcW w:w="1670" w:type="dxa"/>
            <w:vAlign w:val="center"/>
          </w:tcPr>
          <w:p w14:paraId="51E01225">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u w:val="none"/>
              </w:rPr>
            </w:pPr>
            <w:r>
              <w:rPr>
                <w:rFonts w:hint="eastAsia"/>
                <w:color w:val="auto"/>
                <w:sz w:val="21"/>
                <w:szCs w:val="21"/>
                <w:u w:val="none"/>
              </w:rPr>
              <w:t>等效A声级</w:t>
            </w:r>
          </w:p>
        </w:tc>
        <w:tc>
          <w:tcPr>
            <w:tcW w:w="2143" w:type="dxa"/>
            <w:vAlign w:val="center"/>
          </w:tcPr>
          <w:p w14:paraId="5B024578">
            <w:pPr>
              <w:pStyle w:val="47"/>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u w:val="none"/>
              </w:rPr>
            </w:pPr>
            <w:r>
              <w:rPr>
                <w:rFonts w:eastAsia="宋"/>
                <w:color w:val="auto"/>
                <w:sz w:val="21"/>
                <w:szCs w:val="21"/>
                <w:u w:val="none"/>
              </w:rPr>
              <w:t>低噪</w:t>
            </w:r>
            <w:r>
              <w:rPr>
                <w:rFonts w:hint="eastAsia" w:eastAsia="宋"/>
                <w:color w:val="auto"/>
                <w:sz w:val="21"/>
                <w:szCs w:val="21"/>
                <w:u w:val="none"/>
              </w:rPr>
              <w:t>设备</w:t>
            </w:r>
            <w:r>
              <w:rPr>
                <w:rFonts w:eastAsia="宋"/>
                <w:color w:val="auto"/>
                <w:sz w:val="21"/>
                <w:szCs w:val="21"/>
                <w:u w:val="none"/>
              </w:rPr>
              <w:t>、墙体或水体隔声、</w:t>
            </w:r>
            <w:r>
              <w:rPr>
                <w:rFonts w:hint="eastAsia" w:eastAsia="宋"/>
                <w:color w:val="auto"/>
                <w:sz w:val="21"/>
                <w:szCs w:val="21"/>
                <w:u w:val="none"/>
              </w:rPr>
              <w:t>基础减震</w:t>
            </w:r>
            <w:r>
              <w:rPr>
                <w:rFonts w:eastAsia="宋"/>
                <w:color w:val="auto"/>
                <w:sz w:val="21"/>
                <w:szCs w:val="21"/>
                <w:u w:val="none"/>
              </w:rPr>
              <w:t>、厂区绿化</w:t>
            </w:r>
          </w:p>
        </w:tc>
        <w:tc>
          <w:tcPr>
            <w:tcW w:w="2181" w:type="dxa"/>
            <w:vAlign w:val="center"/>
          </w:tcPr>
          <w:p w14:paraId="37C9D9B6">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u w:val="none"/>
              </w:rPr>
            </w:pPr>
            <w:r>
              <w:rPr>
                <w:color w:val="auto"/>
                <w:sz w:val="21"/>
                <w:szCs w:val="21"/>
                <w:u w:val="none"/>
              </w:rPr>
              <w:t>《工业企业厂界噪声排放标准》（GB12348-2008）2类标准</w:t>
            </w:r>
          </w:p>
        </w:tc>
      </w:tr>
      <w:tr w14:paraId="025385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60" w:type="dxa"/>
            <w:vAlign w:val="center"/>
          </w:tcPr>
          <w:p w14:paraId="07F76A4B">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u w:val="none"/>
              </w:rPr>
            </w:pPr>
            <w:r>
              <w:rPr>
                <w:color w:val="auto"/>
                <w:sz w:val="21"/>
                <w:szCs w:val="21"/>
                <w:u w:val="none"/>
              </w:rPr>
              <w:t>电磁辐射</w:t>
            </w:r>
          </w:p>
        </w:tc>
        <w:tc>
          <w:tcPr>
            <w:tcW w:w="1917" w:type="dxa"/>
            <w:vAlign w:val="center"/>
          </w:tcPr>
          <w:p w14:paraId="5B461DD8">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u w:val="none"/>
              </w:rPr>
            </w:pPr>
            <w:r>
              <w:rPr>
                <w:color w:val="auto"/>
                <w:sz w:val="21"/>
                <w:szCs w:val="21"/>
                <w:u w:val="none"/>
              </w:rPr>
              <w:t>/</w:t>
            </w:r>
          </w:p>
        </w:tc>
        <w:tc>
          <w:tcPr>
            <w:tcW w:w="1670" w:type="dxa"/>
            <w:vAlign w:val="center"/>
          </w:tcPr>
          <w:p w14:paraId="32A3C091">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u w:val="none"/>
              </w:rPr>
            </w:pPr>
            <w:r>
              <w:rPr>
                <w:color w:val="auto"/>
                <w:sz w:val="21"/>
                <w:szCs w:val="21"/>
                <w:u w:val="none"/>
              </w:rPr>
              <w:t>/</w:t>
            </w:r>
          </w:p>
        </w:tc>
        <w:tc>
          <w:tcPr>
            <w:tcW w:w="2143" w:type="dxa"/>
            <w:vAlign w:val="center"/>
          </w:tcPr>
          <w:p w14:paraId="243783B7">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u w:val="none"/>
              </w:rPr>
            </w:pPr>
            <w:r>
              <w:rPr>
                <w:color w:val="auto"/>
                <w:sz w:val="21"/>
                <w:szCs w:val="21"/>
                <w:u w:val="none"/>
              </w:rPr>
              <w:t>/</w:t>
            </w:r>
          </w:p>
        </w:tc>
        <w:tc>
          <w:tcPr>
            <w:tcW w:w="2181" w:type="dxa"/>
            <w:vAlign w:val="center"/>
          </w:tcPr>
          <w:p w14:paraId="3156FE35">
            <w:pPr>
              <w:keepNext w:val="0"/>
              <w:keepLines w:val="0"/>
              <w:pageBreakBefore w:val="0"/>
              <w:widowControl w:val="0"/>
              <w:kinsoku/>
              <w:wordWrap/>
              <w:overflowPunct/>
              <w:topLinePunct w:val="0"/>
              <w:autoSpaceDE/>
              <w:autoSpaceDN/>
              <w:bidi w:val="0"/>
              <w:adjustRightInd w:val="0"/>
              <w:snapToGrid w:val="0"/>
              <w:jc w:val="center"/>
              <w:textAlignment w:val="auto"/>
              <w:rPr>
                <w:color w:val="auto"/>
                <w:sz w:val="21"/>
                <w:szCs w:val="21"/>
                <w:u w:val="none"/>
              </w:rPr>
            </w:pPr>
            <w:r>
              <w:rPr>
                <w:color w:val="auto"/>
                <w:sz w:val="21"/>
                <w:szCs w:val="21"/>
                <w:u w:val="none"/>
              </w:rPr>
              <w:t>/</w:t>
            </w:r>
          </w:p>
        </w:tc>
      </w:tr>
      <w:tr w14:paraId="0B9976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60" w:type="dxa"/>
            <w:vMerge w:val="restart"/>
            <w:vAlign w:val="center"/>
          </w:tcPr>
          <w:p w14:paraId="0314F987">
            <w:pPr>
              <w:adjustRightInd w:val="0"/>
              <w:snapToGrid w:val="0"/>
              <w:spacing w:line="360" w:lineRule="auto"/>
              <w:ind w:firstLine="210" w:firstLineChars="100"/>
              <w:rPr>
                <w:bCs/>
                <w:color w:val="auto"/>
                <w:kern w:val="0"/>
                <w:sz w:val="21"/>
                <w:szCs w:val="21"/>
                <w:u w:val="none"/>
              </w:rPr>
            </w:pPr>
            <w:r>
              <w:rPr>
                <w:bCs/>
                <w:color w:val="auto"/>
                <w:kern w:val="0"/>
                <w:sz w:val="21"/>
                <w:szCs w:val="21"/>
                <w:u w:val="none"/>
              </w:rPr>
              <w:t>固体</w:t>
            </w:r>
          </w:p>
          <w:p w14:paraId="14EB5743">
            <w:pPr>
              <w:adjustRightInd w:val="0"/>
              <w:snapToGrid w:val="0"/>
              <w:spacing w:line="360" w:lineRule="auto"/>
              <w:ind w:firstLine="210" w:firstLineChars="100"/>
              <w:rPr>
                <w:bCs/>
                <w:color w:val="auto"/>
                <w:kern w:val="0"/>
                <w:sz w:val="21"/>
                <w:szCs w:val="21"/>
                <w:u w:val="none"/>
              </w:rPr>
            </w:pPr>
            <w:r>
              <w:rPr>
                <w:bCs/>
                <w:color w:val="auto"/>
                <w:kern w:val="0"/>
                <w:sz w:val="21"/>
                <w:szCs w:val="21"/>
                <w:u w:val="none"/>
              </w:rPr>
              <w:t>废物</w:t>
            </w:r>
          </w:p>
        </w:tc>
        <w:tc>
          <w:tcPr>
            <w:tcW w:w="1917" w:type="dxa"/>
            <w:vAlign w:val="center"/>
          </w:tcPr>
          <w:p w14:paraId="0C6C5F1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格栅井</w:t>
            </w:r>
          </w:p>
        </w:tc>
        <w:tc>
          <w:tcPr>
            <w:tcW w:w="1670" w:type="dxa"/>
            <w:vAlign w:val="center"/>
          </w:tcPr>
          <w:p w14:paraId="488560F9">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sz w:val="21"/>
                <w:szCs w:val="21"/>
                <w:u w:val="none"/>
              </w:rPr>
            </w:pPr>
            <w:r>
              <w:rPr>
                <w:rFonts w:hint="eastAsia" w:ascii="Times New Roman" w:hAnsi="Times New Roman" w:eastAsia="宋体" w:cs="Times New Roman"/>
                <w:color w:val="auto"/>
                <w:sz w:val="21"/>
                <w:szCs w:val="21"/>
                <w:u w:val="none"/>
                <w:lang w:val="en-US" w:eastAsia="zh-CN"/>
              </w:rPr>
              <w:t>栅渣</w:t>
            </w:r>
          </w:p>
        </w:tc>
        <w:tc>
          <w:tcPr>
            <w:tcW w:w="2143" w:type="dxa"/>
            <w:vAlign w:val="center"/>
          </w:tcPr>
          <w:p w14:paraId="79BB39F3">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sz w:val="21"/>
                <w:szCs w:val="21"/>
                <w:u w:val="none"/>
              </w:rPr>
            </w:pPr>
            <w:r>
              <w:rPr>
                <w:rFonts w:hint="eastAsia" w:ascii="Times New Roman" w:hAnsi="Times New Roman" w:eastAsia="宋体" w:cs="Times New Roman"/>
                <w:color w:val="auto"/>
                <w:sz w:val="21"/>
                <w:szCs w:val="21"/>
                <w:u w:val="none"/>
                <w:lang w:val="en-US" w:eastAsia="zh-CN"/>
              </w:rPr>
              <w:t>交环卫部门处理</w:t>
            </w:r>
          </w:p>
        </w:tc>
        <w:tc>
          <w:tcPr>
            <w:tcW w:w="2181" w:type="dxa"/>
            <w:vMerge w:val="restart"/>
            <w:vAlign w:val="center"/>
          </w:tcPr>
          <w:p w14:paraId="0CBF9FBE">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sz w:val="21"/>
                <w:szCs w:val="21"/>
                <w:u w:val="none"/>
              </w:rPr>
            </w:pPr>
            <w:r>
              <w:rPr>
                <w:rFonts w:hint="eastAsia" w:ascii="Times New Roman" w:hAnsi="Times New Roman" w:eastAsia="宋体" w:cs="Times New Roman"/>
                <w:color w:val="auto"/>
                <w:sz w:val="21"/>
                <w:szCs w:val="21"/>
                <w:u w:val="none"/>
                <w:lang w:val="en-US" w:eastAsia="zh-CN"/>
              </w:rPr>
              <w:t>《生活垃圾焚烧污染控制标准》（GB18485-2014）</w:t>
            </w:r>
          </w:p>
        </w:tc>
      </w:tr>
      <w:tr w14:paraId="7D8C46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60" w:type="dxa"/>
            <w:vMerge w:val="continue"/>
            <w:vAlign w:val="center"/>
          </w:tcPr>
          <w:p w14:paraId="1A636C0E">
            <w:pPr>
              <w:adjustRightInd w:val="0"/>
              <w:snapToGrid w:val="0"/>
              <w:spacing w:line="360" w:lineRule="auto"/>
              <w:ind w:firstLine="420" w:firstLineChars="200"/>
              <w:rPr>
                <w:color w:val="auto"/>
                <w:sz w:val="21"/>
                <w:szCs w:val="21"/>
                <w:u w:val="none"/>
              </w:rPr>
            </w:pPr>
          </w:p>
        </w:tc>
        <w:tc>
          <w:tcPr>
            <w:tcW w:w="1917" w:type="dxa"/>
            <w:vAlign w:val="center"/>
          </w:tcPr>
          <w:p w14:paraId="6E9A777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u w:val="none"/>
                <w:lang w:val="en-US"/>
              </w:rPr>
            </w:pPr>
            <w:r>
              <w:rPr>
                <w:rFonts w:hint="eastAsia" w:ascii="Times New Roman" w:hAnsi="Times New Roman" w:eastAsia="宋体" w:cs="Times New Roman"/>
                <w:color w:val="auto"/>
                <w:sz w:val="21"/>
                <w:szCs w:val="21"/>
                <w:u w:val="none"/>
                <w:lang w:val="en-US" w:eastAsia="zh-CN"/>
              </w:rPr>
              <w:t>沉砂池</w:t>
            </w:r>
          </w:p>
        </w:tc>
        <w:tc>
          <w:tcPr>
            <w:tcW w:w="1670" w:type="dxa"/>
            <w:vAlign w:val="center"/>
          </w:tcPr>
          <w:p w14:paraId="7D5CE3DB">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沉砂</w:t>
            </w:r>
          </w:p>
        </w:tc>
        <w:tc>
          <w:tcPr>
            <w:tcW w:w="2143" w:type="dxa"/>
            <w:vAlign w:val="center"/>
          </w:tcPr>
          <w:p w14:paraId="1FD67905">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sz w:val="21"/>
                <w:szCs w:val="21"/>
                <w:u w:val="none"/>
              </w:rPr>
            </w:pPr>
            <w:r>
              <w:rPr>
                <w:rFonts w:hint="eastAsia" w:ascii="Times New Roman" w:hAnsi="Times New Roman" w:eastAsia="宋体" w:cs="Times New Roman"/>
                <w:color w:val="auto"/>
                <w:sz w:val="21"/>
                <w:szCs w:val="21"/>
                <w:u w:val="none"/>
                <w:lang w:val="en-US" w:eastAsia="zh-CN"/>
              </w:rPr>
              <w:t>交环卫部门处理</w:t>
            </w:r>
          </w:p>
        </w:tc>
        <w:tc>
          <w:tcPr>
            <w:tcW w:w="2181" w:type="dxa"/>
            <w:vMerge w:val="continue"/>
            <w:vAlign w:val="center"/>
          </w:tcPr>
          <w:p w14:paraId="58D67E25">
            <w:pPr>
              <w:keepNext w:val="0"/>
              <w:keepLines w:val="0"/>
              <w:pageBreakBefore w:val="0"/>
              <w:widowControl w:val="0"/>
              <w:kinsoku/>
              <w:wordWrap/>
              <w:overflowPunct/>
              <w:topLinePunct w:val="0"/>
              <w:autoSpaceDE/>
              <w:autoSpaceDN/>
              <w:bidi w:val="0"/>
              <w:adjustRightInd w:val="0"/>
              <w:snapToGrid w:val="0"/>
              <w:jc w:val="center"/>
              <w:textAlignment w:val="auto"/>
              <w:rPr>
                <w:rFonts w:ascii="Times New Roman" w:hAnsi="Times New Roman" w:eastAsia="宋体" w:cs="Times New Roman"/>
                <w:color w:val="auto"/>
                <w:sz w:val="21"/>
                <w:szCs w:val="21"/>
                <w:u w:val="none"/>
              </w:rPr>
            </w:pPr>
          </w:p>
        </w:tc>
      </w:tr>
      <w:tr w14:paraId="363CDD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60" w:type="dxa"/>
            <w:vMerge w:val="continue"/>
            <w:vAlign w:val="center"/>
          </w:tcPr>
          <w:p w14:paraId="1E2CDD29">
            <w:pPr>
              <w:adjustRightInd w:val="0"/>
              <w:snapToGrid w:val="0"/>
              <w:spacing w:line="360" w:lineRule="auto"/>
              <w:ind w:firstLine="420" w:firstLineChars="200"/>
              <w:rPr>
                <w:bCs/>
                <w:color w:val="auto"/>
                <w:kern w:val="0"/>
                <w:sz w:val="21"/>
                <w:szCs w:val="21"/>
                <w:u w:val="none"/>
              </w:rPr>
            </w:pPr>
          </w:p>
        </w:tc>
        <w:tc>
          <w:tcPr>
            <w:tcW w:w="1917" w:type="dxa"/>
            <w:vAlign w:val="center"/>
          </w:tcPr>
          <w:p w14:paraId="4EAEB85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Cs/>
                <w:color w:val="auto"/>
                <w:kern w:val="0"/>
                <w:sz w:val="21"/>
                <w:szCs w:val="21"/>
                <w:u w:val="none"/>
                <w:lang w:val="en-US" w:eastAsia="zh-CN"/>
              </w:rPr>
            </w:pPr>
            <w:r>
              <w:rPr>
                <w:rFonts w:hint="eastAsia"/>
                <w:bCs/>
                <w:color w:val="auto"/>
                <w:kern w:val="0"/>
                <w:sz w:val="21"/>
                <w:szCs w:val="21"/>
                <w:u w:val="none"/>
                <w:lang w:val="en-US" w:eastAsia="zh-CN"/>
              </w:rPr>
              <w:t>沉淀池</w:t>
            </w:r>
          </w:p>
        </w:tc>
        <w:tc>
          <w:tcPr>
            <w:tcW w:w="1670" w:type="dxa"/>
            <w:vAlign w:val="center"/>
          </w:tcPr>
          <w:p w14:paraId="5FFBCF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color w:val="auto"/>
                <w:kern w:val="0"/>
                <w:sz w:val="21"/>
                <w:szCs w:val="21"/>
                <w:u w:val="none"/>
              </w:rPr>
            </w:pPr>
            <w:r>
              <w:rPr>
                <w:rFonts w:hint="eastAsia"/>
                <w:bCs/>
                <w:color w:val="auto"/>
                <w:kern w:val="0"/>
                <w:sz w:val="21"/>
                <w:szCs w:val="21"/>
                <w:u w:val="none"/>
                <w:lang w:val="en-US" w:eastAsia="zh-CN"/>
              </w:rPr>
              <w:t>污泥</w:t>
            </w:r>
          </w:p>
        </w:tc>
        <w:tc>
          <w:tcPr>
            <w:tcW w:w="2143" w:type="dxa"/>
            <w:vAlign w:val="center"/>
          </w:tcPr>
          <w:p w14:paraId="768A945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Cs/>
                <w:color w:val="auto"/>
                <w:kern w:val="0"/>
                <w:sz w:val="21"/>
                <w:szCs w:val="21"/>
                <w:u w:val="none"/>
                <w:lang w:eastAsia="zh-CN"/>
              </w:rPr>
            </w:pPr>
            <w:r>
              <w:rPr>
                <w:rFonts w:hint="eastAsia"/>
                <w:bCs/>
                <w:color w:val="auto"/>
                <w:kern w:val="0"/>
                <w:sz w:val="21"/>
                <w:szCs w:val="21"/>
                <w:u w:val="none"/>
                <w:lang w:eastAsia="zh-CN"/>
              </w:rPr>
              <w:t>脱水后</w:t>
            </w:r>
            <w:r>
              <w:rPr>
                <w:rFonts w:hint="eastAsia"/>
                <w:bCs/>
                <w:color w:val="auto"/>
                <w:kern w:val="0"/>
                <w:sz w:val="21"/>
                <w:szCs w:val="21"/>
                <w:u w:val="none"/>
              </w:rPr>
              <w:t>，最终运至</w:t>
            </w:r>
            <w:r>
              <w:rPr>
                <w:rFonts w:hint="eastAsia"/>
                <w:bCs/>
                <w:color w:val="auto"/>
                <w:kern w:val="0"/>
                <w:sz w:val="21"/>
                <w:szCs w:val="21"/>
                <w:u w:val="none"/>
                <w:lang w:eastAsia="zh-CN"/>
              </w:rPr>
              <w:t>焚烧发电厂焚烧</w:t>
            </w:r>
          </w:p>
        </w:tc>
        <w:tc>
          <w:tcPr>
            <w:tcW w:w="2181" w:type="dxa"/>
            <w:vAlign w:val="center"/>
          </w:tcPr>
          <w:p w14:paraId="732BEC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color w:val="auto"/>
                <w:kern w:val="0"/>
                <w:sz w:val="21"/>
                <w:szCs w:val="21"/>
                <w:u w:val="none"/>
              </w:rPr>
            </w:pPr>
            <w:r>
              <w:rPr>
                <w:rFonts w:hint="eastAsia"/>
                <w:color w:val="auto"/>
                <w:sz w:val="21"/>
                <w:szCs w:val="21"/>
                <w:u w:val="none"/>
              </w:rPr>
              <w:t>《生活垃圾焚烧污染控制标准》（GB18485-2014）</w:t>
            </w:r>
          </w:p>
        </w:tc>
      </w:tr>
      <w:tr w14:paraId="24DAFD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160" w:type="dxa"/>
            <w:vMerge w:val="continue"/>
            <w:vAlign w:val="center"/>
          </w:tcPr>
          <w:p w14:paraId="00B550DD">
            <w:pPr>
              <w:adjustRightInd w:val="0"/>
              <w:snapToGrid w:val="0"/>
              <w:spacing w:line="360" w:lineRule="auto"/>
              <w:ind w:firstLine="420" w:firstLineChars="200"/>
              <w:rPr>
                <w:bCs/>
                <w:color w:val="auto"/>
                <w:kern w:val="0"/>
                <w:sz w:val="21"/>
                <w:szCs w:val="21"/>
                <w:u w:val="none"/>
              </w:rPr>
            </w:pPr>
          </w:p>
        </w:tc>
        <w:tc>
          <w:tcPr>
            <w:tcW w:w="1917" w:type="dxa"/>
            <w:vAlign w:val="center"/>
          </w:tcPr>
          <w:p w14:paraId="46146F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Cs/>
                <w:color w:val="auto"/>
                <w:kern w:val="0"/>
                <w:sz w:val="21"/>
                <w:szCs w:val="21"/>
                <w:u w:val="none"/>
                <w:lang w:val="en-US" w:eastAsia="zh-CN"/>
              </w:rPr>
            </w:pPr>
            <w:r>
              <w:rPr>
                <w:rFonts w:hint="eastAsia"/>
                <w:bCs/>
                <w:color w:val="auto"/>
                <w:kern w:val="0"/>
                <w:sz w:val="21"/>
                <w:szCs w:val="21"/>
                <w:u w:val="none"/>
                <w:lang w:val="en-US" w:eastAsia="zh-CN"/>
              </w:rPr>
              <w:t>厂区</w:t>
            </w:r>
          </w:p>
        </w:tc>
        <w:tc>
          <w:tcPr>
            <w:tcW w:w="1670" w:type="dxa"/>
            <w:vAlign w:val="center"/>
          </w:tcPr>
          <w:p w14:paraId="4971ADD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bCs/>
                <w:color w:val="auto"/>
                <w:kern w:val="0"/>
                <w:sz w:val="21"/>
                <w:szCs w:val="21"/>
                <w:u w:val="none"/>
                <w:lang w:val="en-US" w:eastAsia="zh-CN"/>
              </w:rPr>
            </w:pPr>
            <w:r>
              <w:rPr>
                <w:rFonts w:hint="eastAsia"/>
                <w:bCs/>
                <w:color w:val="auto"/>
                <w:kern w:val="0"/>
                <w:sz w:val="21"/>
                <w:szCs w:val="21"/>
                <w:u w:val="none"/>
                <w:lang w:val="en-US" w:eastAsia="zh-CN"/>
              </w:rPr>
              <w:t>生活垃圾</w:t>
            </w:r>
          </w:p>
        </w:tc>
        <w:tc>
          <w:tcPr>
            <w:tcW w:w="2143" w:type="dxa"/>
            <w:vAlign w:val="center"/>
          </w:tcPr>
          <w:p w14:paraId="48FBBF4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color w:val="auto"/>
                <w:kern w:val="0"/>
                <w:sz w:val="21"/>
                <w:szCs w:val="21"/>
                <w:u w:val="none"/>
              </w:rPr>
            </w:pPr>
            <w:r>
              <w:rPr>
                <w:rFonts w:hint="eastAsia" w:ascii="Times New Roman" w:hAnsi="Times New Roman" w:eastAsia="宋体" w:cs="Times New Roman"/>
                <w:color w:val="auto"/>
                <w:sz w:val="21"/>
                <w:szCs w:val="21"/>
                <w:u w:val="none"/>
                <w:lang w:val="en-US" w:eastAsia="zh-CN"/>
              </w:rPr>
              <w:t>交环卫部门处理</w:t>
            </w:r>
          </w:p>
        </w:tc>
        <w:tc>
          <w:tcPr>
            <w:tcW w:w="2181" w:type="dxa"/>
            <w:vAlign w:val="center"/>
          </w:tcPr>
          <w:p w14:paraId="463F1D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Cs/>
                <w:color w:val="auto"/>
                <w:kern w:val="0"/>
                <w:sz w:val="21"/>
                <w:szCs w:val="21"/>
                <w:u w:val="none"/>
              </w:rPr>
            </w:pPr>
            <w:r>
              <w:rPr>
                <w:rFonts w:hint="eastAsia"/>
                <w:bCs/>
                <w:color w:val="auto"/>
                <w:kern w:val="0"/>
                <w:sz w:val="21"/>
                <w:szCs w:val="21"/>
                <w:u w:val="none"/>
              </w:rPr>
              <w:t>《生活垃圾焚烧污染控制标准》（GB18485-2014）</w:t>
            </w:r>
          </w:p>
        </w:tc>
      </w:tr>
      <w:tr w14:paraId="20B53E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1160" w:type="dxa"/>
            <w:vMerge w:val="continue"/>
            <w:vAlign w:val="center"/>
          </w:tcPr>
          <w:p w14:paraId="3F7F0C44">
            <w:pPr>
              <w:adjustRightInd w:val="0"/>
              <w:snapToGrid w:val="0"/>
              <w:spacing w:line="360" w:lineRule="auto"/>
              <w:ind w:firstLine="420" w:firstLineChars="200"/>
              <w:rPr>
                <w:bCs/>
                <w:color w:val="auto"/>
                <w:kern w:val="0"/>
                <w:sz w:val="21"/>
                <w:szCs w:val="21"/>
                <w:u w:val="none"/>
              </w:rPr>
            </w:pPr>
          </w:p>
        </w:tc>
        <w:tc>
          <w:tcPr>
            <w:tcW w:w="1917" w:type="dxa"/>
            <w:vAlign w:val="center"/>
          </w:tcPr>
          <w:p w14:paraId="7CC696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紫外消毒</w:t>
            </w:r>
          </w:p>
        </w:tc>
        <w:tc>
          <w:tcPr>
            <w:tcW w:w="1670" w:type="dxa"/>
            <w:vAlign w:val="center"/>
          </w:tcPr>
          <w:p w14:paraId="2091A7C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废灯管</w:t>
            </w:r>
          </w:p>
        </w:tc>
        <w:tc>
          <w:tcPr>
            <w:tcW w:w="2143" w:type="dxa"/>
            <w:vMerge w:val="restart"/>
            <w:vAlign w:val="center"/>
          </w:tcPr>
          <w:p w14:paraId="7E81A7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于厂内危废暂存间收集后，交由有资质的单位处理</w:t>
            </w:r>
          </w:p>
        </w:tc>
        <w:tc>
          <w:tcPr>
            <w:tcW w:w="2181" w:type="dxa"/>
            <w:vMerge w:val="restart"/>
            <w:vAlign w:val="center"/>
          </w:tcPr>
          <w:p w14:paraId="2A1CDA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single"/>
                <w:lang w:val="en-US" w:eastAsia="zh-CN"/>
              </w:rPr>
              <w:t>《危险废物贮存污染物控制标准》（GB18597-20</w:t>
            </w:r>
            <w:r>
              <w:rPr>
                <w:rFonts w:hint="eastAsia" w:cs="Times New Roman"/>
                <w:color w:val="auto"/>
                <w:sz w:val="21"/>
                <w:szCs w:val="21"/>
                <w:u w:val="single"/>
                <w:lang w:val="en-US" w:eastAsia="zh-CN"/>
              </w:rPr>
              <w:t>23</w:t>
            </w:r>
            <w:r>
              <w:rPr>
                <w:rFonts w:hint="eastAsia" w:ascii="Times New Roman" w:hAnsi="Times New Roman" w:eastAsia="宋体" w:cs="Times New Roman"/>
                <w:color w:val="auto"/>
                <w:sz w:val="21"/>
                <w:szCs w:val="21"/>
                <w:u w:val="single"/>
                <w:lang w:val="en-US" w:eastAsia="zh-CN"/>
              </w:rPr>
              <w:t>）</w:t>
            </w:r>
          </w:p>
        </w:tc>
      </w:tr>
      <w:tr w14:paraId="7B164C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 w:hRule="atLeast"/>
          <w:jc w:val="center"/>
        </w:trPr>
        <w:tc>
          <w:tcPr>
            <w:tcW w:w="1160" w:type="dxa"/>
            <w:vMerge w:val="continue"/>
            <w:vAlign w:val="center"/>
          </w:tcPr>
          <w:p w14:paraId="5E7BFA90">
            <w:pPr>
              <w:adjustRightInd w:val="0"/>
              <w:snapToGrid w:val="0"/>
              <w:spacing w:line="360" w:lineRule="auto"/>
              <w:ind w:firstLine="420" w:firstLineChars="200"/>
              <w:rPr>
                <w:bCs/>
                <w:color w:val="auto"/>
                <w:kern w:val="0"/>
                <w:sz w:val="21"/>
                <w:szCs w:val="21"/>
                <w:u w:val="none"/>
              </w:rPr>
            </w:pPr>
          </w:p>
        </w:tc>
        <w:tc>
          <w:tcPr>
            <w:tcW w:w="1917" w:type="dxa"/>
            <w:vAlign w:val="center"/>
          </w:tcPr>
          <w:p w14:paraId="6692276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设备维修</w:t>
            </w:r>
          </w:p>
        </w:tc>
        <w:tc>
          <w:tcPr>
            <w:tcW w:w="1670" w:type="dxa"/>
            <w:vAlign w:val="center"/>
          </w:tcPr>
          <w:p w14:paraId="7338137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废机油</w:t>
            </w:r>
          </w:p>
        </w:tc>
        <w:tc>
          <w:tcPr>
            <w:tcW w:w="2143" w:type="dxa"/>
            <w:vMerge w:val="continue"/>
            <w:vAlign w:val="center"/>
          </w:tcPr>
          <w:p w14:paraId="5EFDDC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lang w:val="en-US" w:eastAsia="zh-CN"/>
              </w:rPr>
            </w:pPr>
          </w:p>
        </w:tc>
        <w:tc>
          <w:tcPr>
            <w:tcW w:w="2181" w:type="dxa"/>
            <w:vMerge w:val="continue"/>
            <w:vAlign w:val="center"/>
          </w:tcPr>
          <w:p w14:paraId="659730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lang w:val="en-US" w:eastAsia="zh-CN"/>
              </w:rPr>
            </w:pPr>
          </w:p>
        </w:tc>
      </w:tr>
      <w:tr w14:paraId="278035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160" w:type="dxa"/>
            <w:vMerge w:val="continue"/>
            <w:vAlign w:val="center"/>
          </w:tcPr>
          <w:p w14:paraId="6EB4B92D">
            <w:pPr>
              <w:adjustRightInd w:val="0"/>
              <w:snapToGrid w:val="0"/>
              <w:spacing w:line="360" w:lineRule="auto"/>
              <w:ind w:firstLine="420" w:firstLineChars="200"/>
              <w:rPr>
                <w:bCs/>
                <w:color w:val="auto"/>
                <w:kern w:val="0"/>
                <w:sz w:val="21"/>
                <w:szCs w:val="21"/>
                <w:u w:val="none"/>
              </w:rPr>
            </w:pPr>
          </w:p>
        </w:tc>
        <w:tc>
          <w:tcPr>
            <w:tcW w:w="1917" w:type="dxa"/>
            <w:vAlign w:val="center"/>
          </w:tcPr>
          <w:p w14:paraId="2770809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在线监测</w:t>
            </w:r>
          </w:p>
        </w:tc>
        <w:tc>
          <w:tcPr>
            <w:tcW w:w="1670" w:type="dxa"/>
            <w:vAlign w:val="center"/>
          </w:tcPr>
          <w:p w14:paraId="72E95B7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废检测液</w:t>
            </w:r>
          </w:p>
        </w:tc>
        <w:tc>
          <w:tcPr>
            <w:tcW w:w="2143" w:type="dxa"/>
            <w:vMerge w:val="restart"/>
            <w:vAlign w:val="center"/>
          </w:tcPr>
          <w:p w14:paraId="25D10B5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ascii="Times New Roman" w:hAnsi="Times New Roman" w:eastAsia="宋体" w:cs="Times New Roman"/>
                <w:color w:val="auto"/>
                <w:sz w:val="21"/>
                <w:szCs w:val="21"/>
                <w:u w:val="none"/>
                <w:lang w:val="en-US" w:eastAsia="zh-CN"/>
              </w:rPr>
              <w:t>于厂内危废暂存间收集后，交给</w:t>
            </w:r>
            <w:r>
              <w:rPr>
                <w:rFonts w:hint="eastAsia" w:cs="Times New Roman"/>
                <w:color w:val="auto"/>
                <w:sz w:val="21"/>
                <w:szCs w:val="21"/>
                <w:u w:val="none"/>
                <w:lang w:val="en-US" w:eastAsia="zh-CN"/>
              </w:rPr>
              <w:t>有资质单位</w:t>
            </w:r>
            <w:r>
              <w:rPr>
                <w:rFonts w:hint="eastAsia" w:ascii="Times New Roman" w:hAnsi="Times New Roman" w:eastAsia="宋体" w:cs="Times New Roman"/>
                <w:color w:val="auto"/>
                <w:sz w:val="21"/>
                <w:szCs w:val="21"/>
                <w:u w:val="none"/>
                <w:lang w:val="en-US" w:eastAsia="zh-CN"/>
              </w:rPr>
              <w:t>处置。</w:t>
            </w:r>
          </w:p>
        </w:tc>
        <w:tc>
          <w:tcPr>
            <w:tcW w:w="2181" w:type="dxa"/>
            <w:vMerge w:val="continue"/>
            <w:vAlign w:val="center"/>
          </w:tcPr>
          <w:p w14:paraId="07C0023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lang w:val="en-US" w:eastAsia="zh-CN"/>
              </w:rPr>
            </w:pPr>
          </w:p>
        </w:tc>
      </w:tr>
      <w:tr w14:paraId="47820A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60" w:type="dxa"/>
            <w:vMerge w:val="continue"/>
            <w:vAlign w:val="center"/>
          </w:tcPr>
          <w:p w14:paraId="6718E42C">
            <w:pPr>
              <w:adjustRightInd w:val="0"/>
              <w:snapToGrid w:val="0"/>
              <w:spacing w:line="360" w:lineRule="auto"/>
              <w:ind w:firstLine="420" w:firstLineChars="200"/>
              <w:rPr>
                <w:bCs/>
                <w:color w:val="auto"/>
                <w:kern w:val="0"/>
                <w:sz w:val="21"/>
                <w:szCs w:val="21"/>
                <w:u w:val="none"/>
              </w:rPr>
            </w:pPr>
          </w:p>
        </w:tc>
        <w:tc>
          <w:tcPr>
            <w:tcW w:w="1917" w:type="dxa"/>
            <w:vAlign w:val="center"/>
          </w:tcPr>
          <w:p w14:paraId="2F9A425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化学品包装袋</w:t>
            </w:r>
          </w:p>
        </w:tc>
        <w:tc>
          <w:tcPr>
            <w:tcW w:w="1670" w:type="dxa"/>
            <w:vAlign w:val="center"/>
          </w:tcPr>
          <w:p w14:paraId="4AAE3BD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lang w:val="en-US" w:eastAsia="zh-CN"/>
              </w:rPr>
            </w:pPr>
            <w:r>
              <w:rPr>
                <w:rFonts w:hint="eastAsia" w:cs="Times New Roman"/>
                <w:color w:val="auto"/>
                <w:sz w:val="21"/>
                <w:szCs w:val="21"/>
                <w:u w:val="none"/>
                <w:lang w:val="en-US" w:eastAsia="zh-CN"/>
              </w:rPr>
              <w:t>废化学品包装袋</w:t>
            </w:r>
          </w:p>
        </w:tc>
        <w:tc>
          <w:tcPr>
            <w:tcW w:w="2143" w:type="dxa"/>
            <w:vMerge w:val="continue"/>
            <w:vAlign w:val="center"/>
          </w:tcPr>
          <w:p w14:paraId="470F1B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lang w:val="en-US" w:eastAsia="zh-CN"/>
              </w:rPr>
            </w:pPr>
          </w:p>
        </w:tc>
        <w:tc>
          <w:tcPr>
            <w:tcW w:w="2181" w:type="dxa"/>
            <w:vMerge w:val="continue"/>
            <w:vAlign w:val="center"/>
          </w:tcPr>
          <w:p w14:paraId="4BAA7E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color w:val="auto"/>
                <w:sz w:val="21"/>
                <w:szCs w:val="21"/>
                <w:u w:val="none"/>
                <w:lang w:val="en-US" w:eastAsia="zh-CN"/>
              </w:rPr>
            </w:pPr>
          </w:p>
        </w:tc>
      </w:tr>
      <w:tr w14:paraId="3AEBBE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1160" w:type="dxa"/>
            <w:vMerge w:val="continue"/>
            <w:vAlign w:val="center"/>
          </w:tcPr>
          <w:p w14:paraId="38F358A7">
            <w:pPr>
              <w:adjustRightInd w:val="0"/>
              <w:snapToGrid w:val="0"/>
              <w:spacing w:line="360" w:lineRule="auto"/>
              <w:ind w:firstLine="420" w:firstLineChars="200"/>
              <w:rPr>
                <w:bCs/>
                <w:color w:val="auto"/>
                <w:kern w:val="0"/>
                <w:sz w:val="21"/>
                <w:szCs w:val="21"/>
                <w:u w:val="none"/>
              </w:rPr>
            </w:pPr>
          </w:p>
        </w:tc>
        <w:tc>
          <w:tcPr>
            <w:tcW w:w="7911" w:type="dxa"/>
            <w:gridSpan w:val="4"/>
            <w:vAlign w:val="center"/>
          </w:tcPr>
          <w:p w14:paraId="0165EB1B">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20" w:firstLineChars="200"/>
              <w:textAlignment w:val="auto"/>
              <w:rPr>
                <w:bCs/>
                <w:color w:val="auto"/>
                <w:kern w:val="0"/>
                <w:sz w:val="21"/>
                <w:szCs w:val="21"/>
                <w:u w:val="none"/>
              </w:rPr>
            </w:pPr>
            <w:r>
              <w:rPr>
                <w:rFonts w:hint="eastAsia" w:ascii="Times New Roman" w:hAnsi="Times New Roman" w:eastAsia="宋" w:cs="宋体"/>
                <w:color w:val="auto"/>
                <w:sz w:val="21"/>
                <w:szCs w:val="21"/>
                <w:u w:val="none"/>
                <w:lang w:eastAsia="zh-CN"/>
              </w:rPr>
              <w:t>一般固废暂存在垃圾库，各类垃圾应分类收集，分类暂存。危险废物暂存间应按照《危险废物贮存污染控制标准》的规定，使用完好无损容器盛装危废，存放处必须有耐腐蚀的硬化地面，设有防渗层，且表面无裂痕，储存容器上必须粘贴本标准中规定的危险废物标签。</w:t>
            </w:r>
          </w:p>
        </w:tc>
      </w:tr>
      <w:tr w14:paraId="2870EE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60" w:type="dxa"/>
            <w:vAlign w:val="center"/>
          </w:tcPr>
          <w:p w14:paraId="51325A33">
            <w:pPr>
              <w:adjustRightInd w:val="0"/>
              <w:snapToGrid w:val="0"/>
              <w:spacing w:line="360" w:lineRule="auto"/>
              <w:rPr>
                <w:bCs/>
                <w:color w:val="auto"/>
                <w:kern w:val="0"/>
                <w:sz w:val="21"/>
                <w:szCs w:val="21"/>
                <w:highlight w:val="none"/>
                <w:u w:val="none"/>
              </w:rPr>
            </w:pPr>
            <w:r>
              <w:rPr>
                <w:bCs/>
                <w:color w:val="auto"/>
                <w:kern w:val="0"/>
                <w:sz w:val="21"/>
                <w:szCs w:val="21"/>
                <w:highlight w:val="none"/>
                <w:u w:val="none"/>
              </w:rPr>
              <w:t>土壤及地下水污染防治措施</w:t>
            </w:r>
          </w:p>
        </w:tc>
        <w:tc>
          <w:tcPr>
            <w:tcW w:w="7911" w:type="dxa"/>
            <w:gridSpan w:val="4"/>
            <w:vAlign w:val="center"/>
          </w:tcPr>
          <w:p w14:paraId="1F4ADCC4">
            <w:pPr>
              <w:adjustRightInd w:val="0"/>
              <w:snapToGrid w:val="0"/>
              <w:spacing w:line="360" w:lineRule="auto"/>
              <w:ind w:firstLine="420" w:firstLineChars="200"/>
              <w:rPr>
                <w:rFonts w:hint="eastAsia" w:eastAsia="宋体"/>
                <w:bCs/>
                <w:color w:val="auto"/>
                <w:kern w:val="0"/>
                <w:sz w:val="21"/>
                <w:szCs w:val="21"/>
                <w:u w:val="none"/>
                <w:lang w:eastAsia="zh-CN"/>
              </w:rPr>
            </w:pPr>
            <w:r>
              <w:rPr>
                <w:rFonts w:hint="eastAsia" w:eastAsia="宋体"/>
                <w:bCs/>
                <w:color w:val="auto"/>
                <w:kern w:val="0"/>
                <w:sz w:val="21"/>
                <w:szCs w:val="21"/>
                <w:u w:val="none"/>
                <w:lang w:eastAsia="zh-CN"/>
              </w:rPr>
              <w:t>源头控制、分区防治、污染监控、应急响应</w:t>
            </w:r>
          </w:p>
        </w:tc>
      </w:tr>
      <w:tr w14:paraId="4FC315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1160" w:type="dxa"/>
            <w:vAlign w:val="center"/>
          </w:tcPr>
          <w:p w14:paraId="1D8C3C8C">
            <w:pPr>
              <w:adjustRightInd w:val="0"/>
              <w:snapToGrid w:val="0"/>
              <w:spacing w:line="360" w:lineRule="auto"/>
              <w:jc w:val="center"/>
              <w:rPr>
                <w:bCs/>
                <w:color w:val="auto"/>
                <w:kern w:val="0"/>
                <w:sz w:val="21"/>
                <w:szCs w:val="21"/>
                <w:u w:val="none"/>
              </w:rPr>
            </w:pPr>
            <w:r>
              <w:rPr>
                <w:rFonts w:ascii="Times New Roman" w:hAnsi="Times New Roman" w:eastAsia="宋体" w:cs="Times New Roman"/>
                <w:color w:val="auto"/>
                <w:sz w:val="21"/>
                <w:szCs w:val="21"/>
                <w:u w:val="none"/>
              </w:rPr>
              <w:t>生态保护措施</w:t>
            </w:r>
          </w:p>
        </w:tc>
        <w:tc>
          <w:tcPr>
            <w:tcW w:w="7911" w:type="dxa"/>
            <w:gridSpan w:val="4"/>
            <w:vAlign w:val="center"/>
          </w:tcPr>
          <w:p w14:paraId="4FF4B196">
            <w:pPr>
              <w:pStyle w:val="90"/>
              <w:spacing w:line="360" w:lineRule="auto"/>
              <w:ind w:left="0" w:leftChars="0" w:firstLine="0" w:firstLineChars="0"/>
              <w:jc w:val="center"/>
              <w:rPr>
                <w:rFonts w:hint="default" w:eastAsia="宋体"/>
                <w:bCs/>
                <w:color w:val="auto"/>
                <w:kern w:val="0"/>
                <w:sz w:val="21"/>
                <w:szCs w:val="21"/>
                <w:u w:val="none"/>
                <w:lang w:val="en-US" w:eastAsia="zh-CN"/>
              </w:rPr>
            </w:pPr>
            <w:r>
              <w:rPr>
                <w:rFonts w:hint="eastAsia"/>
                <w:bCs/>
                <w:color w:val="auto"/>
                <w:kern w:val="0"/>
                <w:sz w:val="21"/>
                <w:szCs w:val="21"/>
                <w:u w:val="none"/>
                <w:lang w:val="en-US" w:eastAsia="zh-CN"/>
              </w:rPr>
              <w:t>加强厂区绿化</w:t>
            </w:r>
          </w:p>
        </w:tc>
      </w:tr>
      <w:tr w14:paraId="1971CA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1160" w:type="dxa"/>
            <w:vAlign w:val="center"/>
          </w:tcPr>
          <w:p w14:paraId="7054B934">
            <w:pPr>
              <w:adjustRightInd w:val="0"/>
              <w:snapToGrid w:val="0"/>
              <w:jc w:val="center"/>
              <w:rPr>
                <w:bCs/>
                <w:color w:val="auto"/>
                <w:kern w:val="0"/>
                <w:sz w:val="21"/>
                <w:szCs w:val="21"/>
                <w:highlight w:val="none"/>
                <w:u w:val="none"/>
              </w:rPr>
            </w:pPr>
            <w:r>
              <w:rPr>
                <w:bCs/>
                <w:color w:val="auto"/>
                <w:kern w:val="0"/>
                <w:sz w:val="21"/>
                <w:szCs w:val="21"/>
                <w:highlight w:val="none"/>
                <w:u w:val="none"/>
              </w:rPr>
              <w:t>环境</w:t>
            </w:r>
          </w:p>
          <w:p w14:paraId="1D53A559">
            <w:pPr>
              <w:adjustRightInd w:val="0"/>
              <w:snapToGrid w:val="0"/>
              <w:jc w:val="center"/>
              <w:rPr>
                <w:bCs/>
                <w:color w:val="auto"/>
                <w:kern w:val="0"/>
                <w:sz w:val="21"/>
                <w:szCs w:val="21"/>
                <w:highlight w:val="none"/>
                <w:u w:val="none"/>
              </w:rPr>
            </w:pPr>
            <w:r>
              <w:rPr>
                <w:bCs/>
                <w:color w:val="auto"/>
                <w:kern w:val="0"/>
                <w:sz w:val="21"/>
                <w:szCs w:val="21"/>
                <w:highlight w:val="none"/>
                <w:u w:val="none"/>
              </w:rPr>
              <w:t>风险</w:t>
            </w:r>
          </w:p>
          <w:p w14:paraId="330F12AF">
            <w:pPr>
              <w:adjustRightInd w:val="0"/>
              <w:snapToGrid w:val="0"/>
              <w:jc w:val="center"/>
              <w:rPr>
                <w:bCs/>
                <w:color w:val="auto"/>
                <w:kern w:val="0"/>
                <w:sz w:val="21"/>
                <w:szCs w:val="21"/>
                <w:highlight w:val="none"/>
                <w:u w:val="none"/>
              </w:rPr>
            </w:pPr>
            <w:r>
              <w:rPr>
                <w:bCs/>
                <w:color w:val="auto"/>
                <w:kern w:val="0"/>
                <w:sz w:val="21"/>
                <w:szCs w:val="21"/>
                <w:highlight w:val="none"/>
                <w:u w:val="none"/>
              </w:rPr>
              <w:t>防范</w:t>
            </w:r>
          </w:p>
          <w:p w14:paraId="328B7DE0">
            <w:pPr>
              <w:adjustRightInd w:val="0"/>
              <w:snapToGrid w:val="0"/>
              <w:jc w:val="center"/>
              <w:rPr>
                <w:color w:val="auto"/>
                <w:spacing w:val="-8"/>
                <w:sz w:val="21"/>
                <w:szCs w:val="21"/>
                <w:highlight w:val="none"/>
                <w:u w:val="none"/>
              </w:rPr>
            </w:pPr>
            <w:r>
              <w:rPr>
                <w:bCs/>
                <w:color w:val="auto"/>
                <w:kern w:val="0"/>
                <w:sz w:val="21"/>
                <w:szCs w:val="21"/>
                <w:highlight w:val="none"/>
                <w:u w:val="none"/>
              </w:rPr>
              <w:t>措施</w:t>
            </w:r>
          </w:p>
        </w:tc>
        <w:tc>
          <w:tcPr>
            <w:tcW w:w="7911" w:type="dxa"/>
            <w:gridSpan w:val="4"/>
            <w:vAlign w:val="center"/>
          </w:tcPr>
          <w:p w14:paraId="5E746010">
            <w:pPr>
              <w:pStyle w:val="90"/>
              <w:spacing w:line="360" w:lineRule="auto"/>
              <w:ind w:firstLine="480"/>
              <w:rPr>
                <w:color w:val="auto"/>
                <w:sz w:val="21"/>
                <w:szCs w:val="21"/>
                <w:highlight w:val="none"/>
                <w:u w:val="none"/>
              </w:rPr>
            </w:pPr>
            <w:r>
              <w:rPr>
                <w:rFonts w:hint="eastAsia" w:ascii="Times New Roman" w:hAnsi="Times New Roman" w:eastAsia="宋体" w:cs="Times New Roman"/>
                <w:bCs/>
                <w:color w:val="auto"/>
                <w:kern w:val="0"/>
                <w:sz w:val="21"/>
                <w:szCs w:val="21"/>
                <w:highlight w:val="none"/>
                <w:u w:val="none"/>
                <w:lang w:val="en-US" w:eastAsia="zh-CN" w:bidi="ar-SA"/>
              </w:rPr>
              <w:t>在</w:t>
            </w:r>
            <w:r>
              <w:rPr>
                <w:rFonts w:hint="eastAsia" w:cs="Times New Roman"/>
                <w:bCs/>
                <w:color w:val="auto"/>
                <w:kern w:val="0"/>
                <w:sz w:val="21"/>
                <w:szCs w:val="21"/>
                <w:highlight w:val="none"/>
                <w:u w:val="none"/>
                <w:lang w:val="en-US" w:eastAsia="zh-CN" w:bidi="ar-SA"/>
              </w:rPr>
              <w:t>进、</w:t>
            </w:r>
            <w:r>
              <w:rPr>
                <w:rFonts w:hint="eastAsia" w:ascii="Times New Roman" w:hAnsi="Times New Roman" w:eastAsia="宋体" w:cs="Times New Roman"/>
                <w:bCs/>
                <w:color w:val="auto"/>
                <w:kern w:val="0"/>
                <w:sz w:val="21"/>
                <w:szCs w:val="21"/>
                <w:highlight w:val="none"/>
                <w:u w:val="none"/>
                <w:lang w:val="en-US" w:eastAsia="zh-CN" w:bidi="ar-SA"/>
              </w:rPr>
              <w:t>出水口安装在线监测装置，设置进站、出站污水截断装置</w:t>
            </w:r>
            <w:r>
              <w:rPr>
                <w:rFonts w:hint="eastAsia" w:cs="Times New Roman"/>
                <w:bCs/>
                <w:color w:val="auto"/>
                <w:kern w:val="0"/>
                <w:sz w:val="21"/>
                <w:szCs w:val="21"/>
                <w:highlight w:val="none"/>
                <w:u w:val="none"/>
                <w:lang w:val="en-US" w:eastAsia="zh-CN" w:bidi="ar-SA"/>
              </w:rPr>
              <w:t>，事故情况下</w:t>
            </w:r>
            <w:r>
              <w:rPr>
                <w:rFonts w:hint="eastAsia" w:ascii="Times New Roman" w:hAnsi="Times New Roman" w:eastAsia="宋体" w:cs="Times New Roman"/>
                <w:bCs/>
                <w:color w:val="auto"/>
                <w:kern w:val="0"/>
                <w:sz w:val="21"/>
                <w:szCs w:val="21"/>
                <w:highlight w:val="none"/>
                <w:u w:val="none"/>
                <w:lang w:val="en-US" w:eastAsia="zh-CN" w:bidi="ar-SA"/>
              </w:rPr>
              <w:t>立即截断污水来源和杜绝事故排放；加强对污泥及固体废物的安全处置；加强厂区管理和环保设施设备维护，加强员工的培训</w:t>
            </w:r>
            <w:r>
              <w:rPr>
                <w:rFonts w:hint="eastAsia" w:cs="Times New Roman"/>
                <w:bCs/>
                <w:color w:val="auto"/>
                <w:kern w:val="0"/>
                <w:sz w:val="21"/>
                <w:szCs w:val="21"/>
                <w:highlight w:val="none"/>
                <w:u w:val="none"/>
                <w:lang w:val="en-US" w:eastAsia="zh-CN" w:bidi="ar-SA"/>
              </w:rPr>
              <w:t>，事故废水暂存于事故池内</w:t>
            </w:r>
            <w:r>
              <w:rPr>
                <w:rFonts w:hint="eastAsia" w:ascii="宋体" w:hAnsi="宋体" w:eastAsia="宋体" w:cs="宋体"/>
                <w:color w:val="auto"/>
                <w:sz w:val="21"/>
                <w:szCs w:val="21"/>
                <w:highlight w:val="none"/>
                <w:lang w:val="en-US" w:eastAsia="zh-CN"/>
              </w:rPr>
              <w:t>（</w:t>
            </w:r>
            <w:r>
              <w:rPr>
                <w:rFonts w:hint="eastAsia" w:ascii="宋体" w:hAnsi="宋体" w:cs="宋体"/>
                <w:color w:val="auto"/>
                <w:sz w:val="21"/>
                <w:szCs w:val="21"/>
                <w:highlight w:val="none"/>
                <w:lang w:val="en-US" w:eastAsia="zh-CN"/>
              </w:rPr>
              <w:t>50</w:t>
            </w:r>
            <w:r>
              <w:rPr>
                <w:rFonts w:hint="eastAsia" w:ascii="宋体" w:hAnsi="宋体" w:eastAsia="宋体" w:cs="宋体"/>
                <w:color w:val="auto"/>
                <w:sz w:val="21"/>
                <w:szCs w:val="21"/>
                <w:highlight w:val="none"/>
                <w:lang w:val="en-US" w:eastAsia="zh-CN"/>
              </w:rPr>
              <w:t>00m</w:t>
            </w:r>
            <w:r>
              <w:rPr>
                <w:rFonts w:hint="eastAsia" w:ascii="宋体" w:hAnsi="宋体" w:eastAsia="宋体" w:cs="宋体"/>
                <w:color w:val="auto"/>
                <w:sz w:val="21"/>
                <w:szCs w:val="21"/>
                <w:highlight w:val="none"/>
                <w:vertAlign w:val="superscript"/>
                <w:lang w:val="en-US" w:eastAsia="zh-CN"/>
              </w:rPr>
              <w:t>3</w:t>
            </w:r>
            <w:r>
              <w:rPr>
                <w:rFonts w:hint="eastAsia" w:ascii="宋体" w:hAnsi="宋体" w:eastAsia="宋体" w:cs="宋体"/>
                <w:color w:val="auto"/>
                <w:sz w:val="21"/>
                <w:szCs w:val="21"/>
                <w:highlight w:val="none"/>
                <w:lang w:val="en-US" w:eastAsia="zh-CN"/>
              </w:rPr>
              <w:t>）</w:t>
            </w:r>
            <w:r>
              <w:rPr>
                <w:rFonts w:hint="eastAsia" w:ascii="宋体" w:hAnsi="宋体" w:cs="宋体"/>
                <w:color w:val="auto"/>
                <w:sz w:val="21"/>
                <w:szCs w:val="21"/>
                <w:highlight w:val="none"/>
                <w:lang w:val="en-US" w:eastAsia="zh-CN"/>
              </w:rPr>
              <w:t>，同时设置柴油发电机在停电情况下，确保污水处理设施正常运行。</w:t>
            </w:r>
          </w:p>
        </w:tc>
      </w:tr>
      <w:tr w14:paraId="63EDB2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160" w:type="dxa"/>
            <w:vAlign w:val="center"/>
          </w:tcPr>
          <w:p w14:paraId="1DEF94F6">
            <w:pPr>
              <w:adjustRightInd w:val="0"/>
              <w:snapToGrid w:val="0"/>
              <w:jc w:val="center"/>
              <w:rPr>
                <w:bCs/>
                <w:color w:val="auto"/>
                <w:kern w:val="0"/>
                <w:sz w:val="21"/>
                <w:szCs w:val="21"/>
                <w:u w:val="none"/>
              </w:rPr>
            </w:pPr>
            <w:r>
              <w:rPr>
                <w:bCs/>
                <w:color w:val="auto"/>
                <w:kern w:val="0"/>
                <w:sz w:val="21"/>
                <w:szCs w:val="21"/>
                <w:u w:val="none"/>
              </w:rPr>
              <w:t>其他</w:t>
            </w:r>
          </w:p>
          <w:p w14:paraId="1CF687A0">
            <w:pPr>
              <w:adjustRightInd w:val="0"/>
              <w:snapToGrid w:val="0"/>
              <w:jc w:val="center"/>
              <w:rPr>
                <w:bCs/>
                <w:color w:val="auto"/>
                <w:kern w:val="0"/>
                <w:sz w:val="21"/>
                <w:szCs w:val="21"/>
                <w:u w:val="none"/>
              </w:rPr>
            </w:pPr>
            <w:r>
              <w:rPr>
                <w:bCs/>
                <w:color w:val="auto"/>
                <w:kern w:val="0"/>
                <w:sz w:val="21"/>
                <w:szCs w:val="21"/>
                <w:u w:val="none"/>
              </w:rPr>
              <w:t>环境</w:t>
            </w:r>
          </w:p>
          <w:p w14:paraId="6FDE53F3">
            <w:pPr>
              <w:adjustRightInd w:val="0"/>
              <w:snapToGrid w:val="0"/>
              <w:jc w:val="center"/>
              <w:rPr>
                <w:bCs/>
                <w:color w:val="auto"/>
                <w:kern w:val="0"/>
                <w:sz w:val="21"/>
                <w:szCs w:val="21"/>
                <w:u w:val="none"/>
              </w:rPr>
            </w:pPr>
            <w:r>
              <w:rPr>
                <w:bCs/>
                <w:color w:val="auto"/>
                <w:kern w:val="0"/>
                <w:sz w:val="21"/>
                <w:szCs w:val="21"/>
                <w:u w:val="none"/>
              </w:rPr>
              <w:t>管理</w:t>
            </w:r>
          </w:p>
          <w:p w14:paraId="23CF52C3">
            <w:pPr>
              <w:adjustRightInd w:val="0"/>
              <w:snapToGrid w:val="0"/>
              <w:jc w:val="center"/>
              <w:rPr>
                <w:color w:val="auto"/>
                <w:spacing w:val="-8"/>
                <w:sz w:val="21"/>
                <w:szCs w:val="21"/>
                <w:u w:val="none"/>
              </w:rPr>
            </w:pPr>
            <w:r>
              <w:rPr>
                <w:bCs/>
                <w:color w:val="auto"/>
                <w:kern w:val="0"/>
                <w:sz w:val="21"/>
                <w:szCs w:val="21"/>
                <w:u w:val="none"/>
              </w:rPr>
              <w:t>要求</w:t>
            </w:r>
          </w:p>
        </w:tc>
        <w:tc>
          <w:tcPr>
            <w:tcW w:w="7911" w:type="dxa"/>
            <w:gridSpan w:val="4"/>
            <w:vAlign w:val="center"/>
          </w:tcPr>
          <w:p w14:paraId="1B54671B">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s="Times New Roman"/>
                <w:bCs/>
                <w:color w:val="auto"/>
                <w:kern w:val="0"/>
                <w:sz w:val="21"/>
                <w:szCs w:val="21"/>
                <w:u w:val="none"/>
                <w:lang w:val="en-US" w:eastAsia="zh-CN" w:bidi="ar-SA"/>
              </w:rPr>
            </w:pPr>
            <w:r>
              <w:rPr>
                <w:rFonts w:hint="eastAsia" w:ascii="Times New Roman" w:hAnsi="Times New Roman" w:eastAsia="宋体" w:cs="Times New Roman"/>
                <w:bCs/>
                <w:color w:val="auto"/>
                <w:kern w:val="0"/>
                <w:sz w:val="21"/>
                <w:szCs w:val="21"/>
                <w:u w:val="none"/>
                <w:lang w:val="en-US" w:eastAsia="zh-CN" w:bidi="ar-SA"/>
              </w:rPr>
              <w:t>1、根据《建设项目竣工环境保护验收暂行办法》，建设项目配套水、噪声、大气、固体废物污染防治设施由企业自主验收</w:t>
            </w:r>
            <w:r>
              <w:rPr>
                <w:rFonts w:hint="eastAsia" w:cs="Times New Roman"/>
                <w:bCs/>
                <w:color w:val="auto"/>
                <w:kern w:val="0"/>
                <w:sz w:val="21"/>
                <w:szCs w:val="21"/>
                <w:u w:val="none"/>
                <w:lang w:val="en-US" w:eastAsia="zh-CN" w:bidi="ar-SA"/>
              </w:rPr>
              <w:t>。</w:t>
            </w:r>
          </w:p>
          <w:p w14:paraId="03F1991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Cs/>
                <w:color w:val="auto"/>
                <w:kern w:val="0"/>
                <w:sz w:val="21"/>
                <w:szCs w:val="21"/>
                <w:highlight w:val="none"/>
                <w:u w:val="none"/>
                <w:lang w:val="en-US" w:eastAsia="zh-CN" w:bidi="ar-SA"/>
              </w:rPr>
            </w:pPr>
            <w:r>
              <w:rPr>
                <w:rFonts w:hint="eastAsia" w:cs="Times New Roman"/>
                <w:bCs/>
                <w:color w:val="auto"/>
                <w:kern w:val="0"/>
                <w:sz w:val="21"/>
                <w:szCs w:val="21"/>
                <w:highlight w:val="none"/>
                <w:u w:val="none"/>
                <w:lang w:val="en-US" w:eastAsia="zh-CN" w:bidi="ar-SA"/>
              </w:rPr>
              <w:t>2、排污口规范化设置</w:t>
            </w:r>
          </w:p>
          <w:p w14:paraId="43BB8466">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Cs/>
                <w:color w:val="auto"/>
                <w:kern w:val="0"/>
                <w:sz w:val="21"/>
                <w:szCs w:val="21"/>
                <w:u w:val="none"/>
                <w:lang w:val="en-US" w:eastAsia="zh-CN" w:bidi="ar-SA"/>
              </w:rPr>
            </w:pPr>
            <w:r>
              <w:rPr>
                <w:rFonts w:hint="eastAsia" w:ascii="Times New Roman" w:hAnsi="Times New Roman" w:eastAsia="宋体" w:cs="Times New Roman"/>
                <w:bCs/>
                <w:color w:val="auto"/>
                <w:kern w:val="0"/>
                <w:sz w:val="21"/>
                <w:szCs w:val="21"/>
                <w:u w:val="none"/>
                <w:lang w:val="en-US" w:eastAsia="zh-CN" w:bidi="ar-SA"/>
              </w:rPr>
              <w:t>排放口标志牌必须符合国家标准《环境保护图形标志》（GB15562.1-1995和 GB15562.2-1996），设置牌设置应距污染物排放口（源）及固体废物贮存场或采样、监测点附近且醒目处，并能永久保留。</w:t>
            </w:r>
          </w:p>
          <w:p w14:paraId="69D2F53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bCs/>
                <w:color w:val="auto"/>
                <w:kern w:val="0"/>
                <w:sz w:val="21"/>
                <w:szCs w:val="21"/>
                <w:u w:val="none"/>
                <w:lang w:val="en-US" w:eastAsia="zh-CN" w:bidi="ar-SA"/>
              </w:rPr>
            </w:pPr>
            <w:r>
              <w:rPr>
                <w:rFonts w:hint="eastAsia" w:ascii="Times New Roman" w:hAnsi="Times New Roman" w:eastAsia="宋体" w:cs="Times New Roman"/>
                <w:bCs/>
                <w:color w:val="auto"/>
                <w:kern w:val="0"/>
                <w:sz w:val="21"/>
                <w:szCs w:val="21"/>
                <w:u w:val="none"/>
                <w:lang w:val="en-US" w:eastAsia="zh-CN" w:bidi="ar-SA"/>
              </w:rPr>
              <w:t>排污口入河处应按照规范建立标识牌，保证标识内容完整，须符合现阶段入河排污口标识化管理要求。按照《入河排污口管理技术导则》（SL532-2011）的规定，在新建排污口入河道处应设置醒目标志牌，实行排污口的立标管理，标准牌内容包括：</w:t>
            </w:r>
          </w:p>
          <w:p w14:paraId="772406B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color w:val="auto"/>
                <w:sz w:val="21"/>
                <w:szCs w:val="21"/>
                <w:u w:val="none"/>
              </w:rPr>
            </w:pPr>
            <w:r>
              <w:rPr>
                <w:rFonts w:hint="eastAsia"/>
                <w:color w:val="auto"/>
                <w:sz w:val="21"/>
                <w:szCs w:val="21"/>
                <w:u w:val="none"/>
              </w:rPr>
              <w:t>3、运营前需进行变更排污许可手续，根据《固定污染源排污许可分类管理名录（2019 年版）》，建设单位在全国排污许可证管理信息平台进行重点管理手续。</w:t>
            </w:r>
          </w:p>
          <w:p w14:paraId="2CD741E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sz w:val="21"/>
                <w:szCs w:val="21"/>
                <w:u w:val="none"/>
              </w:rPr>
            </w:pPr>
            <w:r>
              <w:rPr>
                <w:rFonts w:hint="eastAsia"/>
                <w:color w:val="auto"/>
                <w:sz w:val="21"/>
                <w:szCs w:val="21"/>
                <w:u w:val="none"/>
              </w:rPr>
              <w:t>4、严格按照环境影响评价文件要求进行建设，不准擅自变更建设项目的地点、性质、规模及生产工艺等。若发生变化，建设单位应重新办理建设项目环境影响评价手续，并报有审批权的环保部门批准。</w:t>
            </w:r>
          </w:p>
        </w:tc>
      </w:tr>
    </w:tbl>
    <w:p w14:paraId="461D728E">
      <w:pPr>
        <w:pStyle w:val="27"/>
        <w:spacing w:before="0" w:beforeAutospacing="0" w:after="0" w:afterAutospacing="0"/>
        <w:jc w:val="center"/>
        <w:outlineLvl w:val="0"/>
        <w:rPr>
          <w:rFonts w:ascii="Times New Roman" w:hAnsi="Times New Roman" w:eastAsia="宋体"/>
          <w:snapToGrid w:val="0"/>
          <w:color w:val="auto"/>
          <w:sz w:val="30"/>
          <w:szCs w:val="30"/>
        </w:rPr>
      </w:pPr>
      <w:r>
        <w:rPr>
          <w:rFonts w:ascii="Times New Roman" w:hAnsi="Times New Roman"/>
          <w:snapToGrid w:val="0"/>
          <w:color w:val="auto"/>
        </w:rPr>
        <w:br w:type="page"/>
      </w:r>
      <w:bookmarkStart w:id="25" w:name="_Toc20531"/>
      <w:r>
        <w:rPr>
          <w:rFonts w:hint="eastAsia" w:ascii="Times New Roman" w:hAnsi="Times New Roman" w:eastAsia="宋体"/>
          <w:snapToGrid w:val="0"/>
          <w:color w:val="auto"/>
          <w:sz w:val="30"/>
          <w:szCs w:val="30"/>
        </w:rPr>
        <w:t>六、结论</w:t>
      </w:r>
      <w:bookmarkEnd w:id="25"/>
    </w:p>
    <w:tbl>
      <w:tblPr>
        <w:tblStyle w:val="32"/>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71"/>
      </w:tblGrid>
      <w:tr w14:paraId="3A72CC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9071" w:type="dxa"/>
            <w:vAlign w:val="center"/>
          </w:tcPr>
          <w:p w14:paraId="5FEEAA74">
            <w:pPr>
              <w:pStyle w:val="6"/>
              <w:spacing w:line="360" w:lineRule="auto"/>
              <w:ind w:firstLine="480"/>
              <w:rPr>
                <w:rFonts w:hint="eastAsia" w:ascii="Times New Roman" w:hAnsi="Times New Roman" w:eastAsia="宋体"/>
                <w:color w:val="auto"/>
                <w:sz w:val="24"/>
              </w:rPr>
            </w:pPr>
            <w:r>
              <w:rPr>
                <w:rFonts w:hint="eastAsia" w:ascii="Times New Roman" w:hAnsi="Times New Roman" w:eastAsia="宋体"/>
                <w:color w:val="auto"/>
                <w:sz w:val="24"/>
              </w:rPr>
              <w:t>综上所述，本项目符合国家产业政策和环保政策，选址可行，平面布局基本合理，所在地环境质量现状基本满足环境功能要求；拟采用的各项污染治理防治措施经济合理、技术可行，本项目产生的各类污染物均能实现达标排放，对环境影响小；同时本项目将使服务范围内生活污水由溢流或散排到有序的治理，使水体中受纳的污染物总量大大降低，起到改善环境水质的作用。因此，本项目从环保角度分析，建设可行。</w:t>
            </w:r>
          </w:p>
          <w:p w14:paraId="05AF983D">
            <w:pPr>
              <w:pStyle w:val="6"/>
              <w:spacing w:line="360" w:lineRule="auto"/>
              <w:ind w:firstLine="480"/>
              <w:rPr>
                <w:rFonts w:hint="eastAsia" w:ascii="Times New Roman" w:hAnsi="Times New Roman" w:eastAsia="宋体"/>
                <w:color w:val="auto"/>
                <w:sz w:val="24"/>
              </w:rPr>
            </w:pPr>
          </w:p>
          <w:p w14:paraId="427F28BA">
            <w:pPr>
              <w:pStyle w:val="6"/>
              <w:spacing w:line="360" w:lineRule="auto"/>
              <w:ind w:firstLine="480"/>
              <w:rPr>
                <w:rFonts w:hint="eastAsia" w:ascii="Times New Roman" w:hAnsi="Times New Roman" w:eastAsia="宋体"/>
                <w:color w:val="auto"/>
                <w:sz w:val="24"/>
              </w:rPr>
            </w:pPr>
          </w:p>
          <w:p w14:paraId="0B83F44C">
            <w:pPr>
              <w:pStyle w:val="6"/>
              <w:spacing w:line="360" w:lineRule="auto"/>
              <w:ind w:firstLine="480"/>
              <w:rPr>
                <w:rFonts w:hint="eastAsia" w:ascii="Times New Roman" w:hAnsi="Times New Roman" w:eastAsia="宋体"/>
                <w:color w:val="auto"/>
                <w:sz w:val="24"/>
              </w:rPr>
            </w:pPr>
          </w:p>
          <w:p w14:paraId="1336FEF2">
            <w:pPr>
              <w:pStyle w:val="6"/>
              <w:spacing w:line="360" w:lineRule="auto"/>
              <w:ind w:firstLine="480"/>
              <w:rPr>
                <w:rFonts w:hint="eastAsia" w:ascii="Times New Roman" w:hAnsi="Times New Roman" w:eastAsia="宋体"/>
                <w:color w:val="auto"/>
                <w:sz w:val="24"/>
              </w:rPr>
            </w:pPr>
          </w:p>
          <w:p w14:paraId="1D9C993D">
            <w:pPr>
              <w:pStyle w:val="6"/>
              <w:spacing w:line="360" w:lineRule="auto"/>
              <w:ind w:firstLine="480"/>
              <w:rPr>
                <w:rFonts w:hint="eastAsia" w:ascii="Times New Roman" w:hAnsi="Times New Roman" w:eastAsia="宋体"/>
                <w:color w:val="auto"/>
                <w:sz w:val="24"/>
              </w:rPr>
            </w:pPr>
          </w:p>
          <w:p w14:paraId="205EAA2B">
            <w:pPr>
              <w:pStyle w:val="6"/>
              <w:spacing w:line="360" w:lineRule="auto"/>
              <w:ind w:firstLine="480"/>
              <w:rPr>
                <w:rFonts w:hint="eastAsia" w:ascii="Times New Roman" w:hAnsi="Times New Roman" w:eastAsia="宋体"/>
                <w:color w:val="auto"/>
                <w:sz w:val="24"/>
              </w:rPr>
            </w:pPr>
          </w:p>
          <w:p w14:paraId="3C104B7F">
            <w:pPr>
              <w:pStyle w:val="6"/>
              <w:spacing w:line="360" w:lineRule="auto"/>
              <w:ind w:firstLine="480"/>
              <w:rPr>
                <w:rFonts w:hint="eastAsia" w:ascii="Times New Roman" w:hAnsi="Times New Roman" w:eastAsia="宋体"/>
                <w:color w:val="auto"/>
                <w:sz w:val="24"/>
              </w:rPr>
            </w:pPr>
          </w:p>
          <w:p w14:paraId="6052B421">
            <w:pPr>
              <w:pStyle w:val="6"/>
              <w:spacing w:line="360" w:lineRule="auto"/>
              <w:ind w:firstLine="480"/>
              <w:rPr>
                <w:rFonts w:hint="eastAsia" w:ascii="Times New Roman" w:hAnsi="Times New Roman" w:eastAsia="宋体"/>
                <w:color w:val="auto"/>
                <w:sz w:val="24"/>
              </w:rPr>
            </w:pPr>
          </w:p>
          <w:p w14:paraId="566BAD70">
            <w:pPr>
              <w:pStyle w:val="6"/>
              <w:spacing w:line="360" w:lineRule="auto"/>
              <w:ind w:firstLine="480"/>
              <w:rPr>
                <w:rFonts w:hint="eastAsia" w:ascii="Times New Roman" w:hAnsi="Times New Roman" w:eastAsia="宋体"/>
                <w:color w:val="auto"/>
                <w:sz w:val="24"/>
              </w:rPr>
            </w:pPr>
          </w:p>
        </w:tc>
      </w:tr>
    </w:tbl>
    <w:p w14:paraId="65D5B4B3">
      <w:pPr>
        <w:rPr>
          <w:color w:val="auto"/>
        </w:rPr>
        <w:sectPr>
          <w:pgSz w:w="11906" w:h="16838"/>
          <w:pgMar w:top="1440" w:right="1417" w:bottom="1440" w:left="1417" w:header="851" w:footer="850"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69D42A5D">
      <w:pPr>
        <w:pStyle w:val="12"/>
        <w:bidi w:val="0"/>
        <w:rPr>
          <w:rFonts w:hint="eastAsia"/>
          <w:lang w:val="en-US" w:eastAsia="zh-CN"/>
        </w:rPr>
      </w:pPr>
      <w:bookmarkStart w:id="26" w:name="_Toc27716"/>
      <w:r>
        <w:rPr>
          <w:rFonts w:hint="eastAsia"/>
          <w:lang w:val="en-US" w:eastAsia="zh-CN"/>
        </w:rPr>
        <w:t>附表</w:t>
      </w:r>
      <w:bookmarkEnd w:id="26"/>
    </w:p>
    <w:p w14:paraId="2A8E083E">
      <w:pPr>
        <w:pStyle w:val="25"/>
        <w:bidi w:val="0"/>
        <w:jc w:val="center"/>
        <w:rPr>
          <w:rFonts w:hint="eastAsia"/>
          <w:sz w:val="28"/>
          <w:szCs w:val="28"/>
        </w:rPr>
      </w:pPr>
      <w:r>
        <w:rPr>
          <w:rFonts w:hint="eastAsia"/>
          <w:sz w:val="28"/>
          <w:szCs w:val="28"/>
        </w:rPr>
        <w:t>建设项目污染物排放量汇总表</w:t>
      </w:r>
    </w:p>
    <w:tbl>
      <w:tblPr>
        <w:tblStyle w:val="32"/>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562"/>
        <w:gridCol w:w="1223"/>
      </w:tblGrid>
      <w:tr w14:paraId="1A9297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14:paraId="06E65B05">
            <w:pPr>
              <w:pStyle w:val="70"/>
              <w:spacing w:beforeLines="0" w:afterLines="0" w:line="240" w:lineRule="auto"/>
              <w:jc w:val="right"/>
              <w:rPr>
                <w:rFonts w:ascii="Times New Roman" w:eastAsia="黑体"/>
                <w:snapToGrid w:val="0"/>
                <w:color w:val="auto"/>
                <w:spacing w:val="-6"/>
                <w:kern w:val="21"/>
                <w:sz w:val="21"/>
                <w:szCs w:val="21"/>
                <w:u w:val="single"/>
              </w:rPr>
            </w:pPr>
            <w:r>
              <w:rPr>
                <w:rFonts w:ascii="Times New Roman" w:eastAsia="黑体"/>
                <w:snapToGrid w:val="0"/>
                <w:color w:val="auto"/>
                <w:spacing w:val="-6"/>
                <w:kern w:val="21"/>
                <w:sz w:val="21"/>
                <w:szCs w:val="21"/>
                <w:u w:val="single"/>
              </w:rPr>
              <w:t>项目</w:t>
            </w:r>
          </w:p>
          <w:p w14:paraId="7B8784CD">
            <w:pPr>
              <w:pStyle w:val="70"/>
              <w:spacing w:beforeLines="0" w:afterLines="0" w:line="240" w:lineRule="auto"/>
              <w:jc w:val="left"/>
              <w:rPr>
                <w:rFonts w:ascii="Times New Roman" w:eastAsia="黑体"/>
                <w:snapToGrid w:val="0"/>
                <w:color w:val="auto"/>
                <w:spacing w:val="-6"/>
                <w:kern w:val="21"/>
                <w:sz w:val="21"/>
                <w:szCs w:val="21"/>
                <w:u w:val="single"/>
              </w:rPr>
            </w:pPr>
            <w:r>
              <w:rPr>
                <w:rFonts w:ascii="Times New Roman" w:eastAsia="黑体"/>
                <w:snapToGrid w:val="0"/>
                <w:color w:val="auto"/>
                <w:spacing w:val="-6"/>
                <w:kern w:val="21"/>
                <w:sz w:val="21"/>
                <w:szCs w:val="21"/>
                <w:u w:val="single"/>
              </w:rPr>
              <w:t>分类</w:t>
            </w:r>
          </w:p>
        </w:tc>
        <w:tc>
          <w:tcPr>
            <w:tcW w:w="1417" w:type="dxa"/>
            <w:tcMar>
              <w:left w:w="28" w:type="dxa"/>
              <w:right w:w="28" w:type="dxa"/>
            </w:tcMar>
            <w:vAlign w:val="center"/>
          </w:tcPr>
          <w:p w14:paraId="3259DFBB">
            <w:pPr>
              <w:pStyle w:val="70"/>
              <w:spacing w:beforeLines="0" w:afterLines="0" w:line="240" w:lineRule="auto"/>
              <w:rPr>
                <w:rFonts w:ascii="Times New Roman" w:eastAsia="黑体"/>
                <w:snapToGrid w:val="0"/>
                <w:color w:val="auto"/>
                <w:spacing w:val="-6"/>
                <w:kern w:val="21"/>
                <w:sz w:val="21"/>
                <w:szCs w:val="21"/>
                <w:u w:val="single"/>
              </w:rPr>
            </w:pPr>
            <w:r>
              <w:rPr>
                <w:rFonts w:ascii="Times New Roman" w:eastAsia="黑体"/>
                <w:snapToGrid w:val="0"/>
                <w:color w:val="auto"/>
                <w:spacing w:val="-6"/>
                <w:kern w:val="21"/>
                <w:sz w:val="21"/>
                <w:szCs w:val="21"/>
                <w:u w:val="single"/>
              </w:rPr>
              <w:t>污染物名称</w:t>
            </w:r>
          </w:p>
        </w:tc>
        <w:tc>
          <w:tcPr>
            <w:tcW w:w="1701" w:type="dxa"/>
            <w:tcMar>
              <w:left w:w="28" w:type="dxa"/>
              <w:right w:w="28" w:type="dxa"/>
            </w:tcMar>
            <w:vAlign w:val="center"/>
          </w:tcPr>
          <w:p w14:paraId="184917FD">
            <w:pPr>
              <w:pStyle w:val="70"/>
              <w:spacing w:beforeLines="0" w:afterLines="0" w:line="240" w:lineRule="auto"/>
              <w:rPr>
                <w:rFonts w:ascii="Times New Roman" w:eastAsia="黑体"/>
                <w:snapToGrid w:val="0"/>
                <w:color w:val="auto"/>
                <w:spacing w:val="-6"/>
                <w:kern w:val="21"/>
                <w:sz w:val="21"/>
                <w:szCs w:val="21"/>
                <w:u w:val="single"/>
              </w:rPr>
            </w:pPr>
            <w:r>
              <w:rPr>
                <w:rFonts w:ascii="Times New Roman" w:eastAsia="黑体"/>
                <w:snapToGrid w:val="0"/>
                <w:color w:val="auto"/>
                <w:spacing w:val="-6"/>
                <w:kern w:val="21"/>
                <w:sz w:val="21"/>
                <w:szCs w:val="21"/>
                <w:u w:val="single"/>
              </w:rPr>
              <w:t>现有工程</w:t>
            </w:r>
          </w:p>
          <w:p w14:paraId="00BDFB8D">
            <w:pPr>
              <w:pStyle w:val="70"/>
              <w:spacing w:beforeLines="0" w:afterLines="0" w:line="240" w:lineRule="auto"/>
              <w:rPr>
                <w:rFonts w:ascii="Times New Roman" w:eastAsia="黑体"/>
                <w:snapToGrid w:val="0"/>
                <w:color w:val="auto"/>
                <w:spacing w:val="-6"/>
                <w:kern w:val="21"/>
                <w:sz w:val="21"/>
                <w:szCs w:val="21"/>
                <w:u w:val="single"/>
              </w:rPr>
            </w:pPr>
            <w:r>
              <w:rPr>
                <w:rFonts w:ascii="Times New Roman" w:eastAsia="黑体"/>
                <w:snapToGrid w:val="0"/>
                <w:color w:val="auto"/>
                <w:spacing w:val="-6"/>
                <w:kern w:val="21"/>
                <w:sz w:val="21"/>
                <w:szCs w:val="21"/>
                <w:u w:val="single"/>
              </w:rPr>
              <w:t>排放量（固体废物产生量）</w:t>
            </w:r>
            <w:r>
              <w:rPr>
                <w:rFonts w:ascii="Times New Roman" w:eastAsia="黑体"/>
                <w:snapToGrid w:val="0"/>
                <w:color w:val="auto"/>
                <w:spacing w:val="-6"/>
                <w:kern w:val="21"/>
                <w:sz w:val="21"/>
                <w:szCs w:val="21"/>
                <w:u w:val="single"/>
              </w:rPr>
              <w:fldChar w:fldCharType="begin"/>
            </w:r>
            <w:r>
              <w:rPr>
                <w:rFonts w:ascii="Times New Roman" w:eastAsia="黑体"/>
                <w:snapToGrid w:val="0"/>
                <w:color w:val="auto"/>
                <w:spacing w:val="-6"/>
                <w:kern w:val="21"/>
                <w:sz w:val="21"/>
                <w:szCs w:val="21"/>
                <w:u w:val="single"/>
              </w:rPr>
              <w:instrText xml:space="preserve"> = 1 \* GB3 \* MERGEFORMAT </w:instrText>
            </w:r>
            <w:r>
              <w:rPr>
                <w:rFonts w:ascii="Times New Roman" w:eastAsia="黑体"/>
                <w:snapToGrid w:val="0"/>
                <w:color w:val="auto"/>
                <w:spacing w:val="-6"/>
                <w:kern w:val="21"/>
                <w:sz w:val="21"/>
                <w:szCs w:val="21"/>
                <w:u w:val="single"/>
              </w:rPr>
              <w:fldChar w:fldCharType="separate"/>
            </w:r>
            <w:r>
              <w:rPr>
                <w:rFonts w:hint="eastAsia" w:hAnsi="宋体" w:cs="宋体"/>
                <w:color w:val="auto"/>
                <w:kern w:val="2"/>
                <w:sz w:val="21"/>
                <w:szCs w:val="21"/>
                <w:u w:val="single"/>
              </w:rPr>
              <w:t>①</w:t>
            </w:r>
            <w:r>
              <w:rPr>
                <w:rFonts w:ascii="Times New Roman" w:eastAsia="黑体"/>
                <w:snapToGrid w:val="0"/>
                <w:color w:val="auto"/>
                <w:spacing w:val="-6"/>
                <w:kern w:val="21"/>
                <w:sz w:val="21"/>
                <w:szCs w:val="21"/>
                <w:u w:val="single"/>
              </w:rPr>
              <w:fldChar w:fldCharType="end"/>
            </w:r>
          </w:p>
        </w:tc>
        <w:tc>
          <w:tcPr>
            <w:tcW w:w="1276" w:type="dxa"/>
            <w:tcMar>
              <w:left w:w="28" w:type="dxa"/>
              <w:right w:w="28" w:type="dxa"/>
            </w:tcMar>
            <w:vAlign w:val="center"/>
          </w:tcPr>
          <w:p w14:paraId="4124DFC0">
            <w:pPr>
              <w:pStyle w:val="70"/>
              <w:spacing w:beforeLines="0" w:afterLines="0" w:line="240" w:lineRule="auto"/>
              <w:rPr>
                <w:rFonts w:ascii="Times New Roman" w:eastAsia="黑体"/>
                <w:snapToGrid w:val="0"/>
                <w:color w:val="auto"/>
                <w:spacing w:val="-6"/>
                <w:kern w:val="21"/>
                <w:sz w:val="21"/>
                <w:szCs w:val="21"/>
                <w:u w:val="single"/>
              </w:rPr>
            </w:pPr>
            <w:r>
              <w:rPr>
                <w:rFonts w:ascii="Times New Roman" w:eastAsia="黑体"/>
                <w:snapToGrid w:val="0"/>
                <w:color w:val="auto"/>
                <w:spacing w:val="-6"/>
                <w:kern w:val="21"/>
                <w:sz w:val="21"/>
                <w:szCs w:val="21"/>
                <w:u w:val="single"/>
              </w:rPr>
              <w:t>现有工程</w:t>
            </w:r>
          </w:p>
          <w:p w14:paraId="786E2802">
            <w:pPr>
              <w:pStyle w:val="70"/>
              <w:spacing w:beforeLines="0" w:afterLines="0" w:line="240" w:lineRule="auto"/>
              <w:rPr>
                <w:rFonts w:ascii="Times New Roman" w:eastAsia="黑体"/>
                <w:snapToGrid w:val="0"/>
                <w:color w:val="auto"/>
                <w:spacing w:val="-6"/>
                <w:kern w:val="21"/>
                <w:sz w:val="21"/>
                <w:szCs w:val="21"/>
                <w:u w:val="single"/>
              </w:rPr>
            </w:pPr>
            <w:r>
              <w:rPr>
                <w:rFonts w:ascii="Times New Roman" w:eastAsia="黑体"/>
                <w:snapToGrid w:val="0"/>
                <w:color w:val="auto"/>
                <w:spacing w:val="-6"/>
                <w:kern w:val="21"/>
                <w:sz w:val="21"/>
                <w:szCs w:val="21"/>
                <w:u w:val="single"/>
              </w:rPr>
              <w:t>许可排放量</w:t>
            </w:r>
          </w:p>
          <w:p w14:paraId="482579B1">
            <w:pPr>
              <w:pStyle w:val="70"/>
              <w:spacing w:beforeLines="0" w:afterLines="0"/>
              <w:rPr>
                <w:rFonts w:ascii="Times New Roman" w:eastAsia="黑体"/>
                <w:snapToGrid w:val="0"/>
                <w:color w:val="auto"/>
                <w:spacing w:val="-6"/>
                <w:kern w:val="21"/>
                <w:sz w:val="21"/>
                <w:szCs w:val="21"/>
                <w:u w:val="single"/>
              </w:rPr>
            </w:pPr>
            <w:r>
              <w:rPr>
                <w:rFonts w:ascii="Times New Roman" w:eastAsia="黑体"/>
                <w:snapToGrid w:val="0"/>
                <w:color w:val="auto"/>
                <w:spacing w:val="-6"/>
                <w:kern w:val="21"/>
                <w:sz w:val="21"/>
                <w:szCs w:val="21"/>
                <w:u w:val="single"/>
              </w:rPr>
              <w:fldChar w:fldCharType="begin"/>
            </w:r>
            <w:r>
              <w:rPr>
                <w:rFonts w:ascii="Times New Roman" w:eastAsia="黑体"/>
                <w:snapToGrid w:val="0"/>
                <w:color w:val="auto"/>
                <w:spacing w:val="-6"/>
                <w:kern w:val="21"/>
                <w:sz w:val="21"/>
                <w:szCs w:val="21"/>
                <w:u w:val="single"/>
              </w:rPr>
              <w:instrText xml:space="preserve"> = 2 \* GB3 \* MERGEFORMAT </w:instrText>
            </w:r>
            <w:r>
              <w:rPr>
                <w:rFonts w:ascii="Times New Roman" w:eastAsia="黑体"/>
                <w:snapToGrid w:val="0"/>
                <w:color w:val="auto"/>
                <w:spacing w:val="-6"/>
                <w:kern w:val="21"/>
                <w:sz w:val="21"/>
                <w:szCs w:val="21"/>
                <w:u w:val="single"/>
              </w:rPr>
              <w:fldChar w:fldCharType="separate"/>
            </w:r>
            <w:r>
              <w:rPr>
                <w:rFonts w:hint="eastAsia" w:hAnsi="宋体" w:cs="宋体"/>
                <w:snapToGrid w:val="0"/>
                <w:color w:val="auto"/>
                <w:spacing w:val="-6"/>
                <w:kern w:val="21"/>
                <w:sz w:val="21"/>
                <w:szCs w:val="21"/>
                <w:u w:val="single"/>
              </w:rPr>
              <w:t>②</w:t>
            </w:r>
            <w:r>
              <w:rPr>
                <w:rFonts w:ascii="Times New Roman" w:eastAsia="黑体"/>
                <w:snapToGrid w:val="0"/>
                <w:color w:val="auto"/>
                <w:spacing w:val="-6"/>
                <w:kern w:val="21"/>
                <w:sz w:val="21"/>
                <w:szCs w:val="21"/>
                <w:u w:val="single"/>
              </w:rPr>
              <w:fldChar w:fldCharType="end"/>
            </w:r>
          </w:p>
        </w:tc>
        <w:tc>
          <w:tcPr>
            <w:tcW w:w="1701" w:type="dxa"/>
            <w:tcMar>
              <w:left w:w="28" w:type="dxa"/>
              <w:right w:w="28" w:type="dxa"/>
            </w:tcMar>
            <w:vAlign w:val="center"/>
          </w:tcPr>
          <w:p w14:paraId="3D5758D9">
            <w:pPr>
              <w:pStyle w:val="70"/>
              <w:spacing w:beforeLines="0" w:afterLines="0" w:line="240" w:lineRule="auto"/>
              <w:rPr>
                <w:rFonts w:ascii="Times New Roman" w:eastAsia="黑体"/>
                <w:snapToGrid w:val="0"/>
                <w:color w:val="auto"/>
                <w:spacing w:val="-6"/>
                <w:kern w:val="21"/>
                <w:sz w:val="21"/>
                <w:szCs w:val="21"/>
                <w:u w:val="single"/>
              </w:rPr>
            </w:pPr>
            <w:r>
              <w:rPr>
                <w:rFonts w:ascii="Times New Roman" w:eastAsia="黑体"/>
                <w:snapToGrid w:val="0"/>
                <w:color w:val="auto"/>
                <w:spacing w:val="-6"/>
                <w:kern w:val="21"/>
                <w:sz w:val="21"/>
                <w:szCs w:val="21"/>
                <w:u w:val="single"/>
              </w:rPr>
              <w:t>在建工程</w:t>
            </w:r>
          </w:p>
          <w:p w14:paraId="30EB2875">
            <w:pPr>
              <w:pStyle w:val="70"/>
              <w:spacing w:beforeLines="0" w:afterLines="0" w:line="240" w:lineRule="auto"/>
              <w:rPr>
                <w:rFonts w:ascii="Times New Roman" w:eastAsia="黑体"/>
                <w:snapToGrid w:val="0"/>
                <w:color w:val="auto"/>
                <w:spacing w:val="-6"/>
                <w:kern w:val="21"/>
                <w:sz w:val="21"/>
                <w:szCs w:val="21"/>
                <w:u w:val="single"/>
              </w:rPr>
            </w:pPr>
            <w:r>
              <w:rPr>
                <w:rFonts w:ascii="Times New Roman" w:eastAsia="黑体"/>
                <w:snapToGrid w:val="0"/>
                <w:color w:val="auto"/>
                <w:spacing w:val="-6"/>
                <w:kern w:val="21"/>
                <w:sz w:val="21"/>
                <w:szCs w:val="21"/>
                <w:u w:val="single"/>
              </w:rPr>
              <w:t>排放量（固体废物产生量）</w:t>
            </w:r>
            <w:r>
              <w:rPr>
                <w:rFonts w:ascii="Times New Roman" w:eastAsia="黑体"/>
                <w:snapToGrid w:val="0"/>
                <w:color w:val="auto"/>
                <w:spacing w:val="-6"/>
                <w:kern w:val="21"/>
                <w:sz w:val="21"/>
                <w:szCs w:val="21"/>
                <w:u w:val="single"/>
              </w:rPr>
              <w:fldChar w:fldCharType="begin"/>
            </w:r>
            <w:r>
              <w:rPr>
                <w:rFonts w:ascii="Times New Roman" w:eastAsia="黑体"/>
                <w:snapToGrid w:val="0"/>
                <w:color w:val="auto"/>
                <w:spacing w:val="-6"/>
                <w:kern w:val="21"/>
                <w:sz w:val="21"/>
                <w:szCs w:val="21"/>
                <w:u w:val="single"/>
              </w:rPr>
              <w:instrText xml:space="preserve"> = 3 \* GB3 \* MERGEFORMAT </w:instrText>
            </w:r>
            <w:r>
              <w:rPr>
                <w:rFonts w:ascii="Times New Roman" w:eastAsia="黑体"/>
                <w:snapToGrid w:val="0"/>
                <w:color w:val="auto"/>
                <w:spacing w:val="-6"/>
                <w:kern w:val="21"/>
                <w:sz w:val="21"/>
                <w:szCs w:val="21"/>
                <w:u w:val="single"/>
              </w:rPr>
              <w:fldChar w:fldCharType="separate"/>
            </w:r>
            <w:r>
              <w:rPr>
                <w:rFonts w:hint="eastAsia" w:hAnsi="宋体" w:cs="宋体"/>
                <w:color w:val="auto"/>
                <w:kern w:val="2"/>
                <w:sz w:val="21"/>
                <w:szCs w:val="21"/>
                <w:u w:val="single"/>
              </w:rPr>
              <w:t>③</w:t>
            </w:r>
            <w:r>
              <w:rPr>
                <w:rFonts w:ascii="Times New Roman" w:eastAsia="黑体"/>
                <w:snapToGrid w:val="0"/>
                <w:color w:val="auto"/>
                <w:spacing w:val="-6"/>
                <w:kern w:val="21"/>
                <w:sz w:val="21"/>
                <w:szCs w:val="21"/>
                <w:u w:val="single"/>
              </w:rPr>
              <w:fldChar w:fldCharType="end"/>
            </w:r>
          </w:p>
        </w:tc>
        <w:tc>
          <w:tcPr>
            <w:tcW w:w="1559" w:type="dxa"/>
            <w:tcMar>
              <w:left w:w="28" w:type="dxa"/>
              <w:right w:w="28" w:type="dxa"/>
            </w:tcMar>
            <w:vAlign w:val="center"/>
          </w:tcPr>
          <w:p w14:paraId="736140D6">
            <w:pPr>
              <w:pStyle w:val="70"/>
              <w:spacing w:beforeLines="0" w:afterLines="0" w:line="240" w:lineRule="auto"/>
              <w:rPr>
                <w:rFonts w:ascii="Times New Roman" w:eastAsia="黑体"/>
                <w:snapToGrid w:val="0"/>
                <w:color w:val="auto"/>
                <w:spacing w:val="-6"/>
                <w:kern w:val="21"/>
                <w:sz w:val="21"/>
                <w:szCs w:val="21"/>
                <w:u w:val="single"/>
              </w:rPr>
            </w:pPr>
            <w:r>
              <w:rPr>
                <w:rFonts w:ascii="Times New Roman" w:eastAsia="黑体"/>
                <w:snapToGrid w:val="0"/>
                <w:color w:val="auto"/>
                <w:spacing w:val="-6"/>
                <w:kern w:val="21"/>
                <w:sz w:val="21"/>
                <w:szCs w:val="21"/>
                <w:u w:val="single"/>
              </w:rPr>
              <w:t>本项目</w:t>
            </w:r>
          </w:p>
          <w:p w14:paraId="11C90538">
            <w:pPr>
              <w:pStyle w:val="70"/>
              <w:spacing w:beforeLines="0" w:afterLines="0" w:line="240" w:lineRule="auto"/>
              <w:rPr>
                <w:rFonts w:ascii="Times New Roman" w:eastAsia="黑体"/>
                <w:snapToGrid w:val="0"/>
                <w:color w:val="auto"/>
                <w:spacing w:val="-6"/>
                <w:kern w:val="21"/>
                <w:sz w:val="21"/>
                <w:szCs w:val="21"/>
                <w:u w:val="single"/>
              </w:rPr>
            </w:pPr>
            <w:r>
              <w:rPr>
                <w:rFonts w:ascii="Times New Roman" w:eastAsia="黑体"/>
                <w:snapToGrid w:val="0"/>
                <w:color w:val="auto"/>
                <w:spacing w:val="-6"/>
                <w:kern w:val="21"/>
                <w:sz w:val="21"/>
                <w:szCs w:val="21"/>
                <w:u w:val="single"/>
              </w:rPr>
              <w:t>排放量（固体废物产生量）</w:t>
            </w:r>
            <w:r>
              <w:rPr>
                <w:rFonts w:ascii="Times New Roman" w:eastAsia="黑体"/>
                <w:snapToGrid w:val="0"/>
                <w:color w:val="auto"/>
                <w:spacing w:val="-6"/>
                <w:kern w:val="21"/>
                <w:sz w:val="21"/>
                <w:szCs w:val="21"/>
                <w:u w:val="single"/>
              </w:rPr>
              <w:fldChar w:fldCharType="begin"/>
            </w:r>
            <w:r>
              <w:rPr>
                <w:rFonts w:ascii="Times New Roman" w:eastAsia="黑体"/>
                <w:snapToGrid w:val="0"/>
                <w:color w:val="auto"/>
                <w:spacing w:val="-6"/>
                <w:kern w:val="21"/>
                <w:sz w:val="21"/>
                <w:szCs w:val="21"/>
                <w:u w:val="single"/>
              </w:rPr>
              <w:instrText xml:space="preserve"> = 4 \* GB3 \* MERGEFORMAT </w:instrText>
            </w:r>
            <w:r>
              <w:rPr>
                <w:rFonts w:ascii="Times New Roman" w:eastAsia="黑体"/>
                <w:snapToGrid w:val="0"/>
                <w:color w:val="auto"/>
                <w:spacing w:val="-6"/>
                <w:kern w:val="21"/>
                <w:sz w:val="21"/>
                <w:szCs w:val="21"/>
                <w:u w:val="single"/>
              </w:rPr>
              <w:fldChar w:fldCharType="separate"/>
            </w:r>
            <w:r>
              <w:rPr>
                <w:rFonts w:hint="eastAsia" w:hAnsi="宋体" w:cs="宋体"/>
                <w:color w:val="auto"/>
                <w:kern w:val="2"/>
                <w:sz w:val="21"/>
                <w:szCs w:val="21"/>
                <w:u w:val="single"/>
              </w:rPr>
              <w:t>④</w:t>
            </w:r>
            <w:r>
              <w:rPr>
                <w:rFonts w:ascii="Times New Roman" w:eastAsia="黑体"/>
                <w:snapToGrid w:val="0"/>
                <w:color w:val="auto"/>
                <w:spacing w:val="-6"/>
                <w:kern w:val="21"/>
                <w:sz w:val="21"/>
                <w:szCs w:val="21"/>
                <w:u w:val="single"/>
              </w:rPr>
              <w:fldChar w:fldCharType="end"/>
            </w:r>
          </w:p>
        </w:tc>
        <w:tc>
          <w:tcPr>
            <w:tcW w:w="1761" w:type="dxa"/>
            <w:tcMar>
              <w:left w:w="28" w:type="dxa"/>
              <w:right w:w="28" w:type="dxa"/>
            </w:tcMar>
            <w:vAlign w:val="center"/>
          </w:tcPr>
          <w:p w14:paraId="34BE08BF">
            <w:pPr>
              <w:pStyle w:val="70"/>
              <w:spacing w:beforeLines="0" w:afterLines="0" w:line="240" w:lineRule="auto"/>
              <w:rPr>
                <w:rFonts w:ascii="Times New Roman" w:eastAsia="黑体"/>
                <w:snapToGrid w:val="0"/>
                <w:color w:val="auto"/>
                <w:spacing w:val="-16"/>
                <w:kern w:val="21"/>
                <w:sz w:val="21"/>
                <w:szCs w:val="21"/>
                <w:u w:val="single"/>
              </w:rPr>
            </w:pPr>
            <w:r>
              <w:rPr>
                <w:rFonts w:ascii="Times New Roman" w:eastAsia="黑体"/>
                <w:snapToGrid w:val="0"/>
                <w:color w:val="auto"/>
                <w:spacing w:val="-16"/>
                <w:kern w:val="21"/>
                <w:sz w:val="21"/>
                <w:szCs w:val="21"/>
                <w:u w:val="single"/>
              </w:rPr>
              <w:t>以新带老削减量</w:t>
            </w:r>
          </w:p>
          <w:p w14:paraId="5D1106A7">
            <w:pPr>
              <w:pStyle w:val="70"/>
              <w:spacing w:beforeLines="0" w:afterLines="0" w:line="240" w:lineRule="auto"/>
              <w:rPr>
                <w:rFonts w:ascii="Times New Roman" w:eastAsia="黑体"/>
                <w:snapToGrid w:val="0"/>
                <w:color w:val="auto"/>
                <w:spacing w:val="-16"/>
                <w:kern w:val="21"/>
                <w:sz w:val="21"/>
                <w:szCs w:val="21"/>
                <w:u w:val="single"/>
              </w:rPr>
            </w:pPr>
            <w:r>
              <w:rPr>
                <w:rFonts w:ascii="Times New Roman" w:eastAsia="黑体"/>
                <w:snapToGrid w:val="0"/>
                <w:color w:val="auto"/>
                <w:spacing w:val="-16"/>
                <w:kern w:val="21"/>
                <w:sz w:val="21"/>
                <w:szCs w:val="21"/>
                <w:u w:val="single"/>
              </w:rPr>
              <w:t>（新建项目不填）</w:t>
            </w:r>
            <w:r>
              <w:rPr>
                <w:rFonts w:ascii="Times New Roman" w:eastAsia="黑体"/>
                <w:snapToGrid w:val="0"/>
                <w:color w:val="auto"/>
                <w:spacing w:val="-16"/>
                <w:kern w:val="21"/>
                <w:sz w:val="21"/>
                <w:szCs w:val="21"/>
                <w:u w:val="single"/>
              </w:rPr>
              <w:fldChar w:fldCharType="begin"/>
            </w:r>
            <w:r>
              <w:rPr>
                <w:rFonts w:ascii="Times New Roman" w:eastAsia="黑体"/>
                <w:snapToGrid w:val="0"/>
                <w:color w:val="auto"/>
                <w:spacing w:val="-16"/>
                <w:kern w:val="21"/>
                <w:sz w:val="21"/>
                <w:szCs w:val="21"/>
                <w:u w:val="single"/>
              </w:rPr>
              <w:instrText xml:space="preserve"> = 5 \* GB3 \* MERGEFORMAT </w:instrText>
            </w:r>
            <w:r>
              <w:rPr>
                <w:rFonts w:ascii="Times New Roman" w:eastAsia="黑体"/>
                <w:snapToGrid w:val="0"/>
                <w:color w:val="auto"/>
                <w:spacing w:val="-16"/>
                <w:kern w:val="21"/>
                <w:sz w:val="21"/>
                <w:szCs w:val="21"/>
                <w:u w:val="single"/>
              </w:rPr>
              <w:fldChar w:fldCharType="separate"/>
            </w:r>
            <w:r>
              <w:rPr>
                <w:rFonts w:hint="eastAsia" w:hAnsi="宋体" w:cs="宋体"/>
                <w:color w:val="auto"/>
                <w:kern w:val="2"/>
                <w:sz w:val="21"/>
                <w:szCs w:val="21"/>
                <w:u w:val="single"/>
              </w:rPr>
              <w:t>⑤</w:t>
            </w:r>
            <w:r>
              <w:rPr>
                <w:rFonts w:ascii="Times New Roman" w:eastAsia="黑体"/>
                <w:snapToGrid w:val="0"/>
                <w:color w:val="auto"/>
                <w:spacing w:val="-16"/>
                <w:kern w:val="21"/>
                <w:sz w:val="21"/>
                <w:szCs w:val="21"/>
                <w:u w:val="single"/>
              </w:rPr>
              <w:fldChar w:fldCharType="end"/>
            </w:r>
          </w:p>
        </w:tc>
        <w:tc>
          <w:tcPr>
            <w:tcW w:w="1562" w:type="dxa"/>
            <w:tcMar>
              <w:left w:w="28" w:type="dxa"/>
              <w:right w:w="28" w:type="dxa"/>
            </w:tcMar>
            <w:vAlign w:val="center"/>
          </w:tcPr>
          <w:p w14:paraId="1BD663A7">
            <w:pPr>
              <w:pStyle w:val="70"/>
              <w:spacing w:beforeLines="0" w:afterLines="0" w:line="240" w:lineRule="auto"/>
              <w:rPr>
                <w:rFonts w:ascii="Times New Roman" w:eastAsia="黑体"/>
                <w:snapToGrid w:val="0"/>
                <w:color w:val="auto"/>
                <w:spacing w:val="-16"/>
                <w:kern w:val="21"/>
                <w:sz w:val="21"/>
                <w:szCs w:val="21"/>
                <w:u w:val="single"/>
              </w:rPr>
            </w:pPr>
            <w:r>
              <w:rPr>
                <w:rFonts w:ascii="Times New Roman" w:eastAsia="黑体"/>
                <w:snapToGrid w:val="0"/>
                <w:color w:val="auto"/>
                <w:spacing w:val="-16"/>
                <w:kern w:val="21"/>
                <w:sz w:val="21"/>
                <w:szCs w:val="21"/>
                <w:u w:val="single"/>
              </w:rPr>
              <w:t>本项目建成后</w:t>
            </w:r>
          </w:p>
          <w:p w14:paraId="2B38D28E">
            <w:pPr>
              <w:pStyle w:val="70"/>
              <w:spacing w:beforeLines="0" w:afterLines="0" w:line="240" w:lineRule="auto"/>
              <w:rPr>
                <w:rFonts w:ascii="Times New Roman" w:eastAsia="黑体"/>
                <w:snapToGrid w:val="0"/>
                <w:color w:val="auto"/>
                <w:spacing w:val="-16"/>
                <w:kern w:val="21"/>
                <w:sz w:val="21"/>
                <w:szCs w:val="21"/>
                <w:u w:val="single"/>
              </w:rPr>
            </w:pPr>
            <w:r>
              <w:rPr>
                <w:rFonts w:ascii="Times New Roman" w:eastAsia="黑体"/>
                <w:snapToGrid w:val="0"/>
                <w:color w:val="auto"/>
                <w:spacing w:val="-16"/>
                <w:kern w:val="21"/>
                <w:sz w:val="21"/>
                <w:szCs w:val="21"/>
                <w:u w:val="single"/>
              </w:rPr>
              <w:t>全厂排放量（固体废物产生量）</w:t>
            </w:r>
            <w:r>
              <w:rPr>
                <w:rFonts w:ascii="Times New Roman" w:eastAsia="黑体"/>
                <w:snapToGrid w:val="0"/>
                <w:color w:val="auto"/>
                <w:spacing w:val="-16"/>
                <w:kern w:val="21"/>
                <w:sz w:val="21"/>
                <w:szCs w:val="21"/>
                <w:u w:val="single"/>
              </w:rPr>
              <w:fldChar w:fldCharType="begin"/>
            </w:r>
            <w:r>
              <w:rPr>
                <w:rFonts w:ascii="Times New Roman" w:eastAsia="黑体"/>
                <w:snapToGrid w:val="0"/>
                <w:color w:val="auto"/>
                <w:spacing w:val="-16"/>
                <w:kern w:val="21"/>
                <w:sz w:val="21"/>
                <w:szCs w:val="21"/>
                <w:u w:val="single"/>
              </w:rPr>
              <w:instrText xml:space="preserve"> = 6 \* GB3 \* MERGEFORMAT </w:instrText>
            </w:r>
            <w:r>
              <w:rPr>
                <w:rFonts w:ascii="Times New Roman" w:eastAsia="黑体"/>
                <w:snapToGrid w:val="0"/>
                <w:color w:val="auto"/>
                <w:spacing w:val="-16"/>
                <w:kern w:val="21"/>
                <w:sz w:val="21"/>
                <w:szCs w:val="21"/>
                <w:u w:val="single"/>
              </w:rPr>
              <w:fldChar w:fldCharType="separate"/>
            </w:r>
            <w:r>
              <w:rPr>
                <w:rFonts w:hint="eastAsia" w:hAnsi="宋体" w:cs="宋体"/>
                <w:color w:val="auto"/>
                <w:kern w:val="2"/>
                <w:sz w:val="21"/>
                <w:szCs w:val="21"/>
                <w:u w:val="single"/>
              </w:rPr>
              <w:t>⑥</w:t>
            </w:r>
            <w:r>
              <w:rPr>
                <w:rFonts w:ascii="Times New Roman" w:eastAsia="黑体"/>
                <w:snapToGrid w:val="0"/>
                <w:color w:val="auto"/>
                <w:spacing w:val="-16"/>
                <w:kern w:val="21"/>
                <w:sz w:val="21"/>
                <w:szCs w:val="21"/>
                <w:u w:val="single"/>
              </w:rPr>
              <w:fldChar w:fldCharType="end"/>
            </w:r>
          </w:p>
        </w:tc>
        <w:tc>
          <w:tcPr>
            <w:tcW w:w="1223" w:type="dxa"/>
            <w:tcMar>
              <w:left w:w="28" w:type="dxa"/>
              <w:right w:w="28" w:type="dxa"/>
            </w:tcMar>
            <w:vAlign w:val="center"/>
          </w:tcPr>
          <w:p w14:paraId="63B9E984">
            <w:pPr>
              <w:pStyle w:val="70"/>
              <w:spacing w:beforeLines="0" w:afterLines="0" w:line="240" w:lineRule="auto"/>
              <w:rPr>
                <w:rFonts w:ascii="Times New Roman" w:eastAsia="黑体"/>
                <w:snapToGrid w:val="0"/>
                <w:color w:val="auto"/>
                <w:spacing w:val="-6"/>
                <w:kern w:val="21"/>
                <w:sz w:val="21"/>
                <w:szCs w:val="21"/>
                <w:u w:val="single"/>
              </w:rPr>
            </w:pPr>
            <w:r>
              <w:rPr>
                <w:rFonts w:ascii="Times New Roman" w:eastAsia="黑体"/>
                <w:snapToGrid w:val="0"/>
                <w:color w:val="auto"/>
                <w:spacing w:val="-6"/>
                <w:kern w:val="21"/>
                <w:sz w:val="21"/>
                <w:szCs w:val="21"/>
                <w:u w:val="single"/>
              </w:rPr>
              <w:t>变化量</w:t>
            </w:r>
          </w:p>
          <w:p w14:paraId="2F1824E2">
            <w:pPr>
              <w:pStyle w:val="70"/>
              <w:spacing w:beforeLines="0" w:afterLines="0" w:line="240" w:lineRule="auto"/>
              <w:rPr>
                <w:rFonts w:ascii="Times New Roman" w:eastAsia="黑体"/>
                <w:snapToGrid w:val="0"/>
                <w:color w:val="auto"/>
                <w:spacing w:val="-6"/>
                <w:kern w:val="21"/>
                <w:sz w:val="21"/>
                <w:szCs w:val="21"/>
                <w:u w:val="single"/>
              </w:rPr>
            </w:pPr>
            <w:r>
              <w:rPr>
                <w:rFonts w:ascii="Times New Roman" w:eastAsia="黑体"/>
                <w:snapToGrid w:val="0"/>
                <w:color w:val="auto"/>
                <w:spacing w:val="-6"/>
                <w:kern w:val="21"/>
                <w:sz w:val="21"/>
                <w:szCs w:val="21"/>
                <w:u w:val="single"/>
              </w:rPr>
              <w:fldChar w:fldCharType="begin"/>
            </w:r>
            <w:r>
              <w:rPr>
                <w:rFonts w:ascii="Times New Roman" w:eastAsia="黑体"/>
                <w:snapToGrid w:val="0"/>
                <w:color w:val="auto"/>
                <w:spacing w:val="-6"/>
                <w:kern w:val="21"/>
                <w:sz w:val="21"/>
                <w:szCs w:val="21"/>
                <w:u w:val="single"/>
              </w:rPr>
              <w:instrText xml:space="preserve"> = 7 \* GB3 \* MERGEFORMAT </w:instrText>
            </w:r>
            <w:r>
              <w:rPr>
                <w:rFonts w:ascii="Times New Roman" w:eastAsia="黑体"/>
                <w:snapToGrid w:val="0"/>
                <w:color w:val="auto"/>
                <w:spacing w:val="-6"/>
                <w:kern w:val="21"/>
                <w:sz w:val="21"/>
                <w:szCs w:val="21"/>
                <w:u w:val="single"/>
              </w:rPr>
              <w:fldChar w:fldCharType="separate"/>
            </w:r>
            <w:r>
              <w:rPr>
                <w:rFonts w:hint="eastAsia" w:hAnsi="宋体" w:cs="宋体"/>
                <w:color w:val="auto"/>
                <w:kern w:val="2"/>
                <w:sz w:val="21"/>
                <w:szCs w:val="21"/>
                <w:u w:val="single"/>
              </w:rPr>
              <w:t>⑦</w:t>
            </w:r>
            <w:r>
              <w:rPr>
                <w:rFonts w:ascii="Times New Roman" w:eastAsia="黑体"/>
                <w:snapToGrid w:val="0"/>
                <w:color w:val="auto"/>
                <w:spacing w:val="-6"/>
                <w:kern w:val="21"/>
                <w:sz w:val="21"/>
                <w:szCs w:val="21"/>
                <w:u w:val="single"/>
              </w:rPr>
              <w:fldChar w:fldCharType="end"/>
            </w:r>
          </w:p>
        </w:tc>
      </w:tr>
      <w:tr w14:paraId="450DAC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1588" w:type="dxa"/>
            <w:vMerge w:val="restart"/>
            <w:vAlign w:val="center"/>
          </w:tcPr>
          <w:p w14:paraId="29CAD89F">
            <w:pPr>
              <w:pStyle w:val="70"/>
              <w:spacing w:beforeLines="0" w:afterLines="0" w:line="240" w:lineRule="auto"/>
              <w:rPr>
                <w:rFonts w:ascii="Times New Roman"/>
                <w:snapToGrid w:val="0"/>
                <w:color w:val="auto"/>
                <w:kern w:val="21"/>
                <w:sz w:val="21"/>
                <w:szCs w:val="21"/>
                <w:u w:val="single"/>
              </w:rPr>
            </w:pPr>
            <w:r>
              <w:rPr>
                <w:rFonts w:ascii="Times New Roman"/>
                <w:snapToGrid w:val="0"/>
                <w:color w:val="auto"/>
                <w:kern w:val="21"/>
                <w:sz w:val="21"/>
                <w:szCs w:val="21"/>
                <w:u w:val="single"/>
              </w:rPr>
              <w:t>废气</w:t>
            </w:r>
          </w:p>
        </w:tc>
        <w:tc>
          <w:tcPr>
            <w:tcW w:w="1417" w:type="dxa"/>
            <w:vAlign w:val="center"/>
          </w:tcPr>
          <w:p w14:paraId="506DB5F9">
            <w:pPr>
              <w:pStyle w:val="83"/>
              <w:ind w:left="-105" w:leftChars="-50" w:right="-105" w:rightChars="-50"/>
              <w:rPr>
                <w:rFonts w:hint="default" w:eastAsia="宋体"/>
                <w:snapToGrid w:val="0"/>
                <w:color w:val="auto"/>
                <w:kern w:val="21"/>
                <w:sz w:val="21"/>
                <w:szCs w:val="21"/>
                <w:u w:val="single"/>
                <w:lang w:val="en-US" w:eastAsia="zh-CN"/>
              </w:rPr>
            </w:pPr>
            <w:r>
              <w:rPr>
                <w:rFonts w:hint="eastAsia"/>
                <w:color w:val="auto"/>
                <w:sz w:val="21"/>
                <w:szCs w:val="21"/>
                <w:u w:val="single"/>
                <w:lang w:val="en-US" w:eastAsia="zh-CN"/>
              </w:rPr>
              <w:t>氨气</w:t>
            </w:r>
          </w:p>
        </w:tc>
        <w:tc>
          <w:tcPr>
            <w:tcW w:w="1701" w:type="dxa"/>
            <w:vAlign w:val="center"/>
          </w:tcPr>
          <w:p w14:paraId="3A35788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napToGrid w:val="0"/>
                <w:color w:val="auto"/>
                <w:kern w:val="21"/>
                <w:sz w:val="21"/>
                <w:szCs w:val="21"/>
                <w:u w:val="single"/>
                <w:lang w:val="en-US" w:eastAsia="zh-CN"/>
              </w:rPr>
            </w:pPr>
          </w:p>
        </w:tc>
        <w:tc>
          <w:tcPr>
            <w:tcW w:w="1276" w:type="dxa"/>
            <w:vAlign w:val="center"/>
          </w:tcPr>
          <w:p w14:paraId="582BBDE6">
            <w:pPr>
              <w:pStyle w:val="70"/>
              <w:spacing w:beforeLines="0" w:afterLines="0" w:line="240" w:lineRule="auto"/>
              <w:rPr>
                <w:rFonts w:hint="eastAsia" w:ascii="Times New Roman" w:eastAsia="宋体"/>
                <w:snapToGrid w:val="0"/>
                <w:color w:val="auto"/>
                <w:kern w:val="21"/>
                <w:sz w:val="21"/>
                <w:szCs w:val="21"/>
                <w:u w:val="single"/>
                <w:lang w:val="en-US" w:eastAsia="zh-CN"/>
              </w:rPr>
            </w:pPr>
            <w:r>
              <w:rPr>
                <w:rFonts w:hint="eastAsia" w:ascii="Times New Roman"/>
                <w:snapToGrid w:val="0"/>
                <w:color w:val="auto"/>
                <w:kern w:val="21"/>
                <w:sz w:val="21"/>
                <w:szCs w:val="21"/>
                <w:u w:val="single"/>
                <w:lang w:val="en-US" w:eastAsia="zh-CN"/>
              </w:rPr>
              <w:t>0</w:t>
            </w:r>
          </w:p>
        </w:tc>
        <w:tc>
          <w:tcPr>
            <w:tcW w:w="1701" w:type="dxa"/>
            <w:vAlign w:val="center"/>
          </w:tcPr>
          <w:p w14:paraId="3294010A">
            <w:pPr>
              <w:pStyle w:val="70"/>
              <w:spacing w:beforeLines="0" w:afterLines="0" w:line="240" w:lineRule="auto"/>
              <w:rPr>
                <w:rFonts w:hint="eastAsia" w:ascii="Times New Roman" w:eastAsia="宋体"/>
                <w:snapToGrid w:val="0"/>
                <w:color w:val="auto"/>
                <w:kern w:val="21"/>
                <w:sz w:val="21"/>
                <w:szCs w:val="21"/>
                <w:u w:val="single"/>
                <w:lang w:val="en-US" w:eastAsia="zh-CN"/>
              </w:rPr>
            </w:pPr>
            <w:r>
              <w:rPr>
                <w:rFonts w:hint="eastAsia" w:ascii="Times New Roman"/>
                <w:snapToGrid w:val="0"/>
                <w:color w:val="auto"/>
                <w:kern w:val="21"/>
                <w:sz w:val="21"/>
                <w:szCs w:val="21"/>
                <w:u w:val="single"/>
                <w:lang w:val="en-US" w:eastAsia="zh-CN"/>
              </w:rPr>
              <w:t>0</w:t>
            </w:r>
          </w:p>
        </w:tc>
        <w:tc>
          <w:tcPr>
            <w:tcW w:w="1559" w:type="dxa"/>
            <w:vAlign w:val="center"/>
          </w:tcPr>
          <w:p w14:paraId="6607362B">
            <w:pPr>
              <w:pStyle w:val="78"/>
              <w:keepNext w:val="0"/>
              <w:keepLines w:val="0"/>
              <w:pageBreakBefore w:val="0"/>
              <w:widowControl/>
              <w:kinsoku/>
              <w:wordWrap/>
              <w:overflowPunct/>
              <w:topLinePunct w:val="0"/>
              <w:autoSpaceDE/>
              <w:autoSpaceDN/>
              <w:bidi w:val="0"/>
              <w:adjustRightInd/>
              <w:snapToGrid/>
              <w:spacing w:before="0" w:beforeLines="0" w:after="0" w:afterLines="0" w:line="240" w:lineRule="auto"/>
              <w:ind w:left="0" w:leftChars="0" w:right="0" w:rightChars="0" w:firstLine="0" w:firstLineChars="0"/>
              <w:jc w:val="center"/>
              <w:textAlignment w:val="auto"/>
              <w:rPr>
                <w:rFonts w:hint="default" w:ascii="Times New Roman" w:hAnsi="Times New Roman" w:eastAsia="宋体"/>
                <w:color w:val="auto"/>
                <w:sz w:val="21"/>
                <w:szCs w:val="21"/>
                <w:highlight w:val="green"/>
                <w:u w:val="single"/>
                <w:lang w:val="en-US" w:eastAsia="zh-CN"/>
              </w:rPr>
            </w:pPr>
            <w:r>
              <w:rPr>
                <w:rFonts w:hint="eastAsia" w:ascii="Times New Roman" w:hAnsi="Times New Roman" w:eastAsia="宋体" w:cs="Times New Roman"/>
                <w:color w:val="auto"/>
                <w:sz w:val="21"/>
                <w:szCs w:val="21"/>
                <w:u w:val="single"/>
                <w:lang w:val="en-US" w:eastAsia="zh-CN"/>
              </w:rPr>
              <w:t>13.58</w:t>
            </w:r>
            <w:r>
              <w:rPr>
                <w:rFonts w:hint="eastAsia" w:ascii="Times New Roman" w:hAnsi="Times New Roman" w:eastAsia="宋体"/>
                <w:color w:val="auto"/>
                <w:sz w:val="21"/>
                <w:szCs w:val="21"/>
                <w:u w:val="single"/>
                <w:lang w:val="en-US" w:eastAsia="zh-CN"/>
              </w:rPr>
              <w:t>kg/a</w:t>
            </w:r>
          </w:p>
        </w:tc>
        <w:tc>
          <w:tcPr>
            <w:tcW w:w="1761" w:type="dxa"/>
            <w:vAlign w:val="center"/>
          </w:tcPr>
          <w:p w14:paraId="37F67E6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snapToGrid w:val="0"/>
                <w:color w:val="auto"/>
                <w:kern w:val="21"/>
                <w:sz w:val="21"/>
                <w:szCs w:val="21"/>
                <w:u w:val="single"/>
                <w:lang w:val="en-US" w:eastAsia="zh-CN"/>
              </w:rPr>
            </w:pPr>
          </w:p>
        </w:tc>
        <w:tc>
          <w:tcPr>
            <w:tcW w:w="1562" w:type="dxa"/>
            <w:vAlign w:val="center"/>
          </w:tcPr>
          <w:p w14:paraId="0604C95D">
            <w:pPr>
              <w:pStyle w:val="78"/>
              <w:keepNext w:val="0"/>
              <w:keepLines w:val="0"/>
              <w:pageBreakBefore w:val="0"/>
              <w:widowControl/>
              <w:kinsoku/>
              <w:wordWrap/>
              <w:overflowPunct/>
              <w:topLinePunct w:val="0"/>
              <w:autoSpaceDE/>
              <w:autoSpaceDN/>
              <w:bidi w:val="0"/>
              <w:adjustRightInd/>
              <w:snapToGrid/>
              <w:spacing w:before="0" w:beforeLines="0" w:after="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u w:val="single"/>
                <w:lang w:val="en-US" w:eastAsia="zh-CN"/>
              </w:rPr>
            </w:pPr>
            <w:r>
              <w:rPr>
                <w:rFonts w:hint="eastAsia" w:ascii="Times New Roman" w:hAnsi="Times New Roman" w:eastAsia="宋体" w:cs="Times New Roman"/>
                <w:color w:val="auto"/>
                <w:sz w:val="21"/>
                <w:szCs w:val="21"/>
                <w:u w:val="single"/>
                <w:lang w:val="en-US" w:eastAsia="zh-CN"/>
              </w:rPr>
              <w:t>13.58</w:t>
            </w:r>
            <w:r>
              <w:rPr>
                <w:rFonts w:hint="eastAsia" w:ascii="Times New Roman" w:hAnsi="Times New Roman" w:eastAsia="宋体"/>
                <w:color w:val="auto"/>
                <w:sz w:val="21"/>
                <w:szCs w:val="21"/>
                <w:u w:val="single"/>
                <w:lang w:val="en-US" w:eastAsia="zh-CN"/>
              </w:rPr>
              <w:t>kg/a</w:t>
            </w:r>
          </w:p>
        </w:tc>
        <w:tc>
          <w:tcPr>
            <w:tcW w:w="1223" w:type="dxa"/>
            <w:vAlign w:val="center"/>
          </w:tcPr>
          <w:p w14:paraId="0065EA35">
            <w:pPr>
              <w:pStyle w:val="78"/>
              <w:keepNext w:val="0"/>
              <w:keepLines w:val="0"/>
              <w:pageBreakBefore w:val="0"/>
              <w:widowControl/>
              <w:kinsoku/>
              <w:wordWrap/>
              <w:overflowPunct/>
              <w:topLinePunct w:val="0"/>
              <w:autoSpaceDE/>
              <w:autoSpaceDN/>
              <w:bidi w:val="0"/>
              <w:adjustRightInd/>
              <w:snapToGrid/>
              <w:spacing w:before="0" w:beforeLines="0" w:after="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u w:val="single"/>
                <w:lang w:val="en-US" w:eastAsia="zh-CN"/>
              </w:rPr>
            </w:pPr>
            <w:r>
              <w:rPr>
                <w:rFonts w:hint="eastAsia" w:ascii="Times New Roman" w:hAnsi="Times New Roman" w:eastAsia="宋体" w:cs="Times New Roman"/>
                <w:color w:val="auto"/>
                <w:sz w:val="21"/>
                <w:szCs w:val="21"/>
                <w:u w:val="single"/>
                <w:lang w:val="en-US" w:eastAsia="zh-CN"/>
              </w:rPr>
              <w:t>13.58</w:t>
            </w:r>
            <w:r>
              <w:rPr>
                <w:rFonts w:hint="eastAsia" w:ascii="Times New Roman" w:hAnsi="Times New Roman" w:eastAsia="宋体"/>
                <w:color w:val="auto"/>
                <w:sz w:val="21"/>
                <w:szCs w:val="21"/>
                <w:u w:val="single"/>
                <w:lang w:val="en-US" w:eastAsia="zh-CN"/>
              </w:rPr>
              <w:t>kg/a</w:t>
            </w:r>
          </w:p>
        </w:tc>
      </w:tr>
      <w:tr w14:paraId="011A89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8" w:hRule="atLeast"/>
        </w:trPr>
        <w:tc>
          <w:tcPr>
            <w:tcW w:w="1588" w:type="dxa"/>
            <w:vMerge w:val="continue"/>
            <w:vAlign w:val="center"/>
          </w:tcPr>
          <w:p w14:paraId="5E806E51">
            <w:pPr>
              <w:pStyle w:val="70"/>
              <w:spacing w:beforeLines="0" w:afterLines="0" w:line="240" w:lineRule="auto"/>
              <w:rPr>
                <w:rFonts w:ascii="Times New Roman"/>
                <w:snapToGrid w:val="0"/>
                <w:color w:val="auto"/>
                <w:kern w:val="21"/>
                <w:sz w:val="21"/>
                <w:szCs w:val="21"/>
                <w:u w:val="single"/>
              </w:rPr>
            </w:pPr>
          </w:p>
        </w:tc>
        <w:tc>
          <w:tcPr>
            <w:tcW w:w="1417" w:type="dxa"/>
            <w:vAlign w:val="center"/>
          </w:tcPr>
          <w:p w14:paraId="5CB292E2">
            <w:pPr>
              <w:pStyle w:val="83"/>
              <w:ind w:left="-105" w:leftChars="-50" w:right="-105" w:rightChars="-50"/>
              <w:rPr>
                <w:rFonts w:hint="default" w:eastAsia="宋体"/>
                <w:snapToGrid w:val="0"/>
                <w:color w:val="auto"/>
                <w:kern w:val="21"/>
                <w:sz w:val="21"/>
                <w:szCs w:val="21"/>
                <w:u w:val="single"/>
                <w:lang w:val="en-US" w:eastAsia="zh-CN"/>
              </w:rPr>
            </w:pPr>
            <w:r>
              <w:rPr>
                <w:rFonts w:hint="eastAsia"/>
                <w:snapToGrid w:val="0"/>
                <w:color w:val="auto"/>
                <w:kern w:val="21"/>
                <w:sz w:val="21"/>
                <w:szCs w:val="21"/>
                <w:u w:val="single"/>
                <w:lang w:val="en-US" w:eastAsia="zh-CN"/>
              </w:rPr>
              <w:t>硫化氢</w:t>
            </w:r>
          </w:p>
        </w:tc>
        <w:tc>
          <w:tcPr>
            <w:tcW w:w="1701" w:type="dxa"/>
            <w:vAlign w:val="center"/>
          </w:tcPr>
          <w:p w14:paraId="18585F3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napToGrid w:val="0"/>
                <w:color w:val="auto"/>
                <w:kern w:val="21"/>
                <w:sz w:val="21"/>
                <w:szCs w:val="21"/>
                <w:u w:val="single"/>
                <w:lang w:val="en-US" w:eastAsia="zh-CN"/>
              </w:rPr>
            </w:pPr>
          </w:p>
        </w:tc>
        <w:tc>
          <w:tcPr>
            <w:tcW w:w="1276" w:type="dxa"/>
            <w:vAlign w:val="center"/>
          </w:tcPr>
          <w:p w14:paraId="6B5DF828">
            <w:pPr>
              <w:pStyle w:val="70"/>
              <w:spacing w:beforeLines="0" w:afterLines="0" w:line="240" w:lineRule="auto"/>
              <w:rPr>
                <w:rFonts w:hint="eastAsia" w:ascii="Times New Roman" w:eastAsia="宋体"/>
                <w:snapToGrid w:val="0"/>
                <w:color w:val="auto"/>
                <w:kern w:val="21"/>
                <w:sz w:val="21"/>
                <w:szCs w:val="21"/>
                <w:u w:val="single"/>
                <w:lang w:val="en-US" w:eastAsia="zh-CN"/>
              </w:rPr>
            </w:pPr>
            <w:r>
              <w:rPr>
                <w:rFonts w:hint="eastAsia" w:ascii="Times New Roman"/>
                <w:snapToGrid w:val="0"/>
                <w:color w:val="auto"/>
                <w:kern w:val="21"/>
                <w:sz w:val="21"/>
                <w:szCs w:val="21"/>
                <w:u w:val="single"/>
                <w:lang w:val="en-US" w:eastAsia="zh-CN"/>
              </w:rPr>
              <w:t>0</w:t>
            </w:r>
          </w:p>
        </w:tc>
        <w:tc>
          <w:tcPr>
            <w:tcW w:w="1701" w:type="dxa"/>
            <w:vAlign w:val="center"/>
          </w:tcPr>
          <w:p w14:paraId="3429B52C">
            <w:pPr>
              <w:pStyle w:val="70"/>
              <w:spacing w:beforeLines="0" w:afterLines="0" w:line="240" w:lineRule="auto"/>
              <w:rPr>
                <w:rFonts w:hint="eastAsia" w:ascii="Times New Roman" w:eastAsia="宋体"/>
                <w:snapToGrid w:val="0"/>
                <w:color w:val="auto"/>
                <w:kern w:val="21"/>
                <w:sz w:val="21"/>
                <w:szCs w:val="21"/>
                <w:u w:val="single"/>
                <w:lang w:val="en-US" w:eastAsia="zh-CN"/>
              </w:rPr>
            </w:pPr>
            <w:r>
              <w:rPr>
                <w:rFonts w:hint="eastAsia" w:ascii="Times New Roman"/>
                <w:snapToGrid w:val="0"/>
                <w:color w:val="auto"/>
                <w:kern w:val="21"/>
                <w:sz w:val="21"/>
                <w:szCs w:val="21"/>
                <w:u w:val="single"/>
                <w:lang w:val="en-US" w:eastAsia="zh-CN"/>
              </w:rPr>
              <w:t>0</w:t>
            </w:r>
          </w:p>
        </w:tc>
        <w:tc>
          <w:tcPr>
            <w:tcW w:w="1559" w:type="dxa"/>
            <w:vAlign w:val="center"/>
          </w:tcPr>
          <w:p w14:paraId="3C33A62B">
            <w:pPr>
              <w:pStyle w:val="78"/>
              <w:keepNext w:val="0"/>
              <w:keepLines w:val="0"/>
              <w:pageBreakBefore w:val="0"/>
              <w:widowControl/>
              <w:kinsoku/>
              <w:wordWrap/>
              <w:overflowPunct/>
              <w:topLinePunct w:val="0"/>
              <w:autoSpaceDE/>
              <w:autoSpaceDN/>
              <w:bidi w:val="0"/>
              <w:adjustRightInd/>
              <w:snapToGrid/>
              <w:spacing w:before="0" w:beforeLines="0" w:after="0" w:afterLines="0" w:line="240" w:lineRule="auto"/>
              <w:ind w:left="0" w:leftChars="0" w:right="0" w:rightChars="0" w:firstLine="0" w:firstLineChars="0"/>
              <w:jc w:val="center"/>
              <w:textAlignment w:val="auto"/>
              <w:rPr>
                <w:rFonts w:hint="default" w:ascii="Times New Roman" w:hAnsi="Times New Roman" w:eastAsia="宋体"/>
                <w:color w:val="auto"/>
                <w:sz w:val="21"/>
                <w:szCs w:val="21"/>
                <w:highlight w:val="green"/>
                <w:u w:val="single"/>
                <w:lang w:val="en-US" w:eastAsia="zh-CN"/>
              </w:rPr>
            </w:pPr>
            <w:r>
              <w:rPr>
                <w:rFonts w:hint="eastAsia" w:ascii="Times New Roman" w:hAnsi="Times New Roman" w:eastAsia="宋体" w:cs="Times New Roman"/>
                <w:color w:val="auto"/>
                <w:sz w:val="21"/>
                <w:szCs w:val="21"/>
                <w:u w:val="single"/>
                <w:lang w:val="en-US" w:eastAsia="zh-CN"/>
              </w:rPr>
              <w:t>0.53</w:t>
            </w:r>
            <w:r>
              <w:rPr>
                <w:rFonts w:hint="eastAsia" w:ascii="Times New Roman" w:hAnsi="Times New Roman" w:eastAsia="宋体"/>
                <w:color w:val="auto"/>
                <w:sz w:val="21"/>
                <w:szCs w:val="21"/>
                <w:u w:val="single"/>
                <w:lang w:val="en-US" w:eastAsia="zh-CN"/>
              </w:rPr>
              <w:t>kg/a</w:t>
            </w:r>
          </w:p>
        </w:tc>
        <w:tc>
          <w:tcPr>
            <w:tcW w:w="1761" w:type="dxa"/>
            <w:vAlign w:val="center"/>
          </w:tcPr>
          <w:p w14:paraId="7D55E1A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snapToGrid w:val="0"/>
                <w:color w:val="auto"/>
                <w:kern w:val="21"/>
                <w:sz w:val="21"/>
                <w:szCs w:val="21"/>
                <w:u w:val="single"/>
                <w:lang w:val="en-US" w:eastAsia="zh-CN"/>
              </w:rPr>
            </w:pPr>
          </w:p>
        </w:tc>
        <w:tc>
          <w:tcPr>
            <w:tcW w:w="1562" w:type="dxa"/>
            <w:vAlign w:val="center"/>
          </w:tcPr>
          <w:p w14:paraId="13865E13">
            <w:pPr>
              <w:pStyle w:val="78"/>
              <w:keepNext w:val="0"/>
              <w:keepLines w:val="0"/>
              <w:pageBreakBefore w:val="0"/>
              <w:widowControl/>
              <w:kinsoku/>
              <w:wordWrap/>
              <w:overflowPunct/>
              <w:topLinePunct w:val="0"/>
              <w:autoSpaceDE/>
              <w:autoSpaceDN/>
              <w:bidi w:val="0"/>
              <w:adjustRightInd/>
              <w:snapToGrid/>
              <w:spacing w:before="0" w:beforeLines="0" w:after="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u w:val="single"/>
                <w:lang w:val="en-US" w:eastAsia="zh-CN"/>
              </w:rPr>
            </w:pPr>
            <w:r>
              <w:rPr>
                <w:rFonts w:hint="eastAsia" w:ascii="Times New Roman" w:hAnsi="Times New Roman" w:eastAsia="宋体" w:cs="Times New Roman"/>
                <w:color w:val="auto"/>
                <w:sz w:val="21"/>
                <w:szCs w:val="21"/>
                <w:u w:val="single"/>
                <w:lang w:val="en-US" w:eastAsia="zh-CN"/>
              </w:rPr>
              <w:t>0.53</w:t>
            </w:r>
            <w:r>
              <w:rPr>
                <w:rFonts w:hint="eastAsia" w:ascii="Times New Roman" w:hAnsi="Times New Roman" w:eastAsia="宋体"/>
                <w:color w:val="auto"/>
                <w:sz w:val="21"/>
                <w:szCs w:val="21"/>
                <w:u w:val="single"/>
                <w:lang w:val="en-US" w:eastAsia="zh-CN"/>
              </w:rPr>
              <w:t>kg/a</w:t>
            </w:r>
          </w:p>
        </w:tc>
        <w:tc>
          <w:tcPr>
            <w:tcW w:w="1223" w:type="dxa"/>
            <w:vAlign w:val="center"/>
          </w:tcPr>
          <w:p w14:paraId="4F90E902">
            <w:pPr>
              <w:pStyle w:val="78"/>
              <w:keepNext w:val="0"/>
              <w:keepLines w:val="0"/>
              <w:pageBreakBefore w:val="0"/>
              <w:widowControl/>
              <w:kinsoku/>
              <w:wordWrap/>
              <w:overflowPunct/>
              <w:topLinePunct w:val="0"/>
              <w:autoSpaceDE/>
              <w:autoSpaceDN/>
              <w:bidi w:val="0"/>
              <w:adjustRightInd/>
              <w:snapToGrid/>
              <w:spacing w:before="0" w:beforeLines="0" w:after="0" w:afterLines="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u w:val="single"/>
                <w:lang w:val="en-US" w:eastAsia="zh-CN"/>
              </w:rPr>
            </w:pPr>
            <w:r>
              <w:rPr>
                <w:rFonts w:hint="eastAsia" w:ascii="Times New Roman" w:hAnsi="Times New Roman" w:eastAsia="宋体" w:cs="Times New Roman"/>
                <w:color w:val="auto"/>
                <w:sz w:val="21"/>
                <w:szCs w:val="21"/>
                <w:u w:val="single"/>
                <w:lang w:val="en-US" w:eastAsia="zh-CN"/>
              </w:rPr>
              <w:t>0.53</w:t>
            </w:r>
            <w:r>
              <w:rPr>
                <w:rFonts w:hint="eastAsia" w:ascii="Times New Roman" w:hAnsi="Times New Roman" w:eastAsia="宋体"/>
                <w:color w:val="auto"/>
                <w:sz w:val="21"/>
                <w:szCs w:val="21"/>
                <w:u w:val="single"/>
                <w:lang w:val="en-US" w:eastAsia="zh-CN"/>
              </w:rPr>
              <w:t>kg/a</w:t>
            </w:r>
          </w:p>
        </w:tc>
      </w:tr>
      <w:tr w14:paraId="624421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1588" w:type="dxa"/>
            <w:vMerge w:val="restart"/>
            <w:vAlign w:val="center"/>
          </w:tcPr>
          <w:p w14:paraId="36990333">
            <w:pPr>
              <w:pStyle w:val="70"/>
              <w:spacing w:beforeLines="0" w:afterLines="0" w:line="240" w:lineRule="auto"/>
              <w:rPr>
                <w:rFonts w:ascii="Times New Roman"/>
                <w:snapToGrid w:val="0"/>
                <w:color w:val="auto"/>
                <w:kern w:val="21"/>
                <w:sz w:val="21"/>
                <w:szCs w:val="21"/>
                <w:u w:val="single"/>
              </w:rPr>
            </w:pPr>
            <w:r>
              <w:rPr>
                <w:rFonts w:ascii="Times New Roman"/>
                <w:snapToGrid w:val="0"/>
                <w:color w:val="auto"/>
                <w:kern w:val="21"/>
                <w:sz w:val="21"/>
                <w:szCs w:val="21"/>
                <w:u w:val="single"/>
              </w:rPr>
              <w:t>废水</w:t>
            </w:r>
          </w:p>
        </w:tc>
        <w:tc>
          <w:tcPr>
            <w:tcW w:w="1417" w:type="dxa"/>
            <w:vAlign w:val="center"/>
          </w:tcPr>
          <w:p w14:paraId="5064C982">
            <w:pPr>
              <w:pStyle w:val="70"/>
              <w:spacing w:beforeLines="0" w:afterLines="0" w:line="240" w:lineRule="auto"/>
              <w:rPr>
                <w:rFonts w:ascii="Times New Roman"/>
                <w:snapToGrid w:val="0"/>
                <w:color w:val="auto"/>
                <w:kern w:val="21"/>
                <w:sz w:val="21"/>
                <w:szCs w:val="21"/>
                <w:u w:val="single"/>
              </w:rPr>
            </w:pPr>
            <w:r>
              <w:rPr>
                <w:rFonts w:ascii="Times New Roman"/>
                <w:snapToGrid w:val="0"/>
                <w:color w:val="auto"/>
                <w:kern w:val="21"/>
                <w:sz w:val="21"/>
                <w:szCs w:val="21"/>
                <w:u w:val="single"/>
              </w:rPr>
              <w:t>COD</w:t>
            </w:r>
          </w:p>
        </w:tc>
        <w:tc>
          <w:tcPr>
            <w:tcW w:w="1701" w:type="dxa"/>
            <w:vAlign w:val="center"/>
          </w:tcPr>
          <w:p w14:paraId="55B61C17">
            <w:pPr>
              <w:jc w:val="center"/>
              <w:rPr>
                <w:rFonts w:hint="eastAsia" w:ascii="Times New Roman" w:eastAsia="宋体"/>
                <w:snapToGrid w:val="0"/>
                <w:color w:val="auto"/>
                <w:kern w:val="21"/>
                <w:sz w:val="21"/>
                <w:szCs w:val="21"/>
                <w:u w:val="single"/>
                <w:lang w:val="en-US" w:eastAsia="zh-CN"/>
              </w:rPr>
            </w:pPr>
          </w:p>
        </w:tc>
        <w:tc>
          <w:tcPr>
            <w:tcW w:w="1276" w:type="dxa"/>
            <w:vAlign w:val="center"/>
          </w:tcPr>
          <w:p w14:paraId="214ABE0D">
            <w:pPr>
              <w:pStyle w:val="70"/>
              <w:spacing w:beforeLines="0" w:afterLines="0" w:line="240" w:lineRule="auto"/>
              <w:rPr>
                <w:rFonts w:hint="eastAsia" w:ascii="Times New Roman" w:eastAsia="宋体"/>
                <w:snapToGrid w:val="0"/>
                <w:color w:val="auto"/>
                <w:kern w:val="21"/>
                <w:sz w:val="21"/>
                <w:szCs w:val="21"/>
                <w:u w:val="single"/>
                <w:lang w:val="en-US" w:eastAsia="zh-CN"/>
              </w:rPr>
            </w:pPr>
            <w:r>
              <w:rPr>
                <w:rFonts w:hint="eastAsia" w:ascii="Times New Roman"/>
                <w:snapToGrid w:val="0"/>
                <w:color w:val="auto"/>
                <w:kern w:val="21"/>
                <w:sz w:val="21"/>
                <w:szCs w:val="21"/>
                <w:u w:val="single"/>
                <w:lang w:val="en-US" w:eastAsia="zh-CN"/>
              </w:rPr>
              <w:t>0</w:t>
            </w:r>
          </w:p>
        </w:tc>
        <w:tc>
          <w:tcPr>
            <w:tcW w:w="1701" w:type="dxa"/>
            <w:vAlign w:val="center"/>
          </w:tcPr>
          <w:p w14:paraId="646E2C64">
            <w:pPr>
              <w:pStyle w:val="70"/>
              <w:spacing w:beforeLines="0" w:afterLines="0" w:line="240" w:lineRule="auto"/>
              <w:rPr>
                <w:rFonts w:hint="eastAsia" w:ascii="Times New Roman" w:eastAsia="宋体"/>
                <w:snapToGrid w:val="0"/>
                <w:color w:val="auto"/>
                <w:kern w:val="21"/>
                <w:sz w:val="21"/>
                <w:szCs w:val="21"/>
                <w:u w:val="single"/>
                <w:lang w:val="en-US" w:eastAsia="zh-CN"/>
              </w:rPr>
            </w:pPr>
            <w:r>
              <w:rPr>
                <w:rFonts w:hint="eastAsia" w:ascii="Times New Roman"/>
                <w:snapToGrid w:val="0"/>
                <w:color w:val="auto"/>
                <w:kern w:val="21"/>
                <w:sz w:val="21"/>
                <w:szCs w:val="21"/>
                <w:u w:val="single"/>
                <w:lang w:val="en-US" w:eastAsia="zh-CN"/>
              </w:rPr>
              <w:t>0</w:t>
            </w:r>
          </w:p>
        </w:tc>
        <w:tc>
          <w:tcPr>
            <w:tcW w:w="1559" w:type="dxa"/>
            <w:vAlign w:val="center"/>
          </w:tcPr>
          <w:p w14:paraId="2CEB6FFB">
            <w:pPr>
              <w:jc w:val="center"/>
              <w:rPr>
                <w:rFonts w:hint="default" w:eastAsia="宋体"/>
                <w:snapToGrid w:val="0"/>
                <w:color w:val="FF0000"/>
                <w:kern w:val="21"/>
                <w:sz w:val="21"/>
                <w:szCs w:val="21"/>
                <w:highlight w:val="none"/>
                <w:u w:val="single"/>
                <w:lang w:val="en-US" w:eastAsia="zh-CN"/>
              </w:rPr>
            </w:pPr>
            <w:r>
              <w:rPr>
                <w:rFonts w:hint="eastAsia"/>
                <w:color w:val="auto"/>
                <w:sz w:val="21"/>
                <w:szCs w:val="21"/>
                <w:highlight w:val="none"/>
                <w:u w:val="single"/>
                <w:lang w:val="en-US" w:eastAsia="zh-CN"/>
              </w:rPr>
              <w:t>219t/a</w:t>
            </w:r>
          </w:p>
        </w:tc>
        <w:tc>
          <w:tcPr>
            <w:tcW w:w="1761" w:type="dxa"/>
            <w:vAlign w:val="center"/>
          </w:tcPr>
          <w:p w14:paraId="037FBC01">
            <w:pPr>
              <w:jc w:val="center"/>
              <w:rPr>
                <w:rFonts w:hint="eastAsia" w:ascii="Times New Roman" w:eastAsia="宋体"/>
                <w:snapToGrid w:val="0"/>
                <w:color w:val="auto"/>
                <w:kern w:val="21"/>
                <w:sz w:val="21"/>
                <w:szCs w:val="21"/>
                <w:u w:val="single"/>
                <w:lang w:val="en-US" w:eastAsia="zh-CN"/>
              </w:rPr>
            </w:pPr>
          </w:p>
        </w:tc>
        <w:tc>
          <w:tcPr>
            <w:tcW w:w="1562" w:type="dxa"/>
            <w:vAlign w:val="center"/>
          </w:tcPr>
          <w:p w14:paraId="4E52EA05">
            <w:pPr>
              <w:jc w:val="center"/>
              <w:rPr>
                <w:snapToGrid w:val="0"/>
                <w:color w:val="auto"/>
                <w:kern w:val="21"/>
                <w:sz w:val="21"/>
                <w:szCs w:val="21"/>
                <w:u w:val="single"/>
              </w:rPr>
            </w:pPr>
            <w:r>
              <w:rPr>
                <w:rFonts w:hint="eastAsia"/>
                <w:color w:val="auto"/>
                <w:sz w:val="21"/>
                <w:szCs w:val="21"/>
                <w:highlight w:val="none"/>
                <w:u w:val="single"/>
                <w:lang w:val="en-US" w:eastAsia="zh-CN"/>
              </w:rPr>
              <w:t>219t/a</w:t>
            </w:r>
          </w:p>
        </w:tc>
        <w:tc>
          <w:tcPr>
            <w:tcW w:w="1223" w:type="dxa"/>
            <w:vAlign w:val="center"/>
          </w:tcPr>
          <w:p w14:paraId="44A0822A">
            <w:pPr>
              <w:jc w:val="center"/>
              <w:rPr>
                <w:snapToGrid w:val="0"/>
                <w:color w:val="auto"/>
                <w:kern w:val="21"/>
                <w:sz w:val="21"/>
                <w:szCs w:val="21"/>
                <w:u w:val="single"/>
              </w:rPr>
            </w:pPr>
            <w:r>
              <w:rPr>
                <w:rFonts w:hint="eastAsia"/>
                <w:color w:val="auto"/>
                <w:sz w:val="21"/>
                <w:szCs w:val="21"/>
                <w:highlight w:val="none"/>
                <w:u w:val="single"/>
                <w:lang w:val="en-US" w:eastAsia="zh-CN"/>
              </w:rPr>
              <w:t>219t/a</w:t>
            </w:r>
          </w:p>
        </w:tc>
      </w:tr>
      <w:tr w14:paraId="5F968E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1588" w:type="dxa"/>
            <w:vMerge w:val="continue"/>
            <w:vAlign w:val="center"/>
          </w:tcPr>
          <w:p w14:paraId="3F691A16">
            <w:pPr>
              <w:pStyle w:val="70"/>
              <w:spacing w:beforeLines="0" w:afterLines="0" w:line="240" w:lineRule="auto"/>
              <w:rPr>
                <w:rFonts w:ascii="Times New Roman"/>
                <w:snapToGrid w:val="0"/>
                <w:color w:val="auto"/>
                <w:kern w:val="21"/>
                <w:sz w:val="21"/>
                <w:szCs w:val="21"/>
                <w:u w:val="single"/>
              </w:rPr>
            </w:pPr>
          </w:p>
        </w:tc>
        <w:tc>
          <w:tcPr>
            <w:tcW w:w="1417" w:type="dxa"/>
            <w:vAlign w:val="center"/>
          </w:tcPr>
          <w:p w14:paraId="6845CB24">
            <w:pPr>
              <w:pStyle w:val="70"/>
              <w:spacing w:beforeLines="0" w:afterLines="0" w:line="240" w:lineRule="auto"/>
              <w:rPr>
                <w:rFonts w:ascii="Times New Roman"/>
                <w:snapToGrid w:val="0"/>
                <w:color w:val="auto"/>
                <w:kern w:val="21"/>
                <w:sz w:val="21"/>
                <w:szCs w:val="21"/>
                <w:u w:val="single"/>
              </w:rPr>
            </w:pPr>
            <w:r>
              <w:rPr>
                <w:rFonts w:ascii="Times New Roman"/>
                <w:snapToGrid w:val="0"/>
                <w:color w:val="auto"/>
                <w:kern w:val="21"/>
                <w:sz w:val="21"/>
                <w:szCs w:val="21"/>
                <w:u w:val="single"/>
              </w:rPr>
              <w:t>NH</w:t>
            </w:r>
            <w:r>
              <w:rPr>
                <w:rFonts w:ascii="Times New Roman"/>
                <w:snapToGrid w:val="0"/>
                <w:color w:val="auto"/>
                <w:kern w:val="21"/>
                <w:sz w:val="21"/>
                <w:szCs w:val="21"/>
                <w:u w:val="single"/>
                <w:vertAlign w:val="subscript"/>
              </w:rPr>
              <w:t>3</w:t>
            </w:r>
            <w:r>
              <w:rPr>
                <w:rFonts w:ascii="Times New Roman"/>
                <w:snapToGrid w:val="0"/>
                <w:color w:val="auto"/>
                <w:kern w:val="21"/>
                <w:sz w:val="21"/>
                <w:szCs w:val="21"/>
                <w:u w:val="single"/>
              </w:rPr>
              <w:t>-N</w:t>
            </w:r>
          </w:p>
        </w:tc>
        <w:tc>
          <w:tcPr>
            <w:tcW w:w="1701" w:type="dxa"/>
            <w:vAlign w:val="center"/>
          </w:tcPr>
          <w:p w14:paraId="10AED18C">
            <w:pPr>
              <w:jc w:val="center"/>
              <w:rPr>
                <w:rFonts w:hint="eastAsia" w:ascii="Times New Roman" w:eastAsia="宋体"/>
                <w:snapToGrid w:val="0"/>
                <w:color w:val="auto"/>
                <w:kern w:val="21"/>
                <w:sz w:val="21"/>
                <w:szCs w:val="21"/>
                <w:u w:val="single"/>
                <w:lang w:val="en-US" w:eastAsia="zh-CN"/>
              </w:rPr>
            </w:pPr>
          </w:p>
        </w:tc>
        <w:tc>
          <w:tcPr>
            <w:tcW w:w="1276" w:type="dxa"/>
            <w:vAlign w:val="center"/>
          </w:tcPr>
          <w:p w14:paraId="4E098650">
            <w:pPr>
              <w:pStyle w:val="70"/>
              <w:spacing w:beforeLines="0" w:afterLines="0" w:line="240" w:lineRule="auto"/>
              <w:rPr>
                <w:rFonts w:hint="eastAsia" w:ascii="Times New Roman" w:eastAsia="宋体"/>
                <w:snapToGrid w:val="0"/>
                <w:color w:val="auto"/>
                <w:kern w:val="21"/>
                <w:sz w:val="21"/>
                <w:szCs w:val="21"/>
                <w:u w:val="single"/>
                <w:lang w:val="en-US" w:eastAsia="zh-CN"/>
              </w:rPr>
            </w:pPr>
            <w:r>
              <w:rPr>
                <w:rFonts w:hint="eastAsia" w:ascii="Times New Roman"/>
                <w:snapToGrid w:val="0"/>
                <w:color w:val="auto"/>
                <w:kern w:val="21"/>
                <w:sz w:val="21"/>
                <w:szCs w:val="21"/>
                <w:u w:val="single"/>
                <w:lang w:val="en-US" w:eastAsia="zh-CN"/>
              </w:rPr>
              <w:t>0</w:t>
            </w:r>
          </w:p>
        </w:tc>
        <w:tc>
          <w:tcPr>
            <w:tcW w:w="1701" w:type="dxa"/>
            <w:vAlign w:val="center"/>
          </w:tcPr>
          <w:p w14:paraId="62D537B9">
            <w:pPr>
              <w:pStyle w:val="70"/>
              <w:spacing w:beforeLines="0" w:afterLines="0" w:line="240" w:lineRule="auto"/>
              <w:rPr>
                <w:rFonts w:hint="eastAsia" w:ascii="Times New Roman" w:eastAsia="宋体"/>
                <w:snapToGrid w:val="0"/>
                <w:color w:val="auto"/>
                <w:kern w:val="21"/>
                <w:sz w:val="21"/>
                <w:szCs w:val="21"/>
                <w:u w:val="single"/>
                <w:lang w:val="en-US" w:eastAsia="zh-CN"/>
              </w:rPr>
            </w:pPr>
            <w:r>
              <w:rPr>
                <w:rFonts w:hint="eastAsia" w:ascii="Times New Roman"/>
                <w:snapToGrid w:val="0"/>
                <w:color w:val="auto"/>
                <w:kern w:val="21"/>
                <w:sz w:val="21"/>
                <w:szCs w:val="21"/>
                <w:u w:val="single"/>
                <w:lang w:val="en-US" w:eastAsia="zh-CN"/>
              </w:rPr>
              <w:t>0</w:t>
            </w:r>
          </w:p>
        </w:tc>
        <w:tc>
          <w:tcPr>
            <w:tcW w:w="1559" w:type="dxa"/>
            <w:vAlign w:val="center"/>
          </w:tcPr>
          <w:p w14:paraId="7A032CF7">
            <w:pPr>
              <w:jc w:val="center"/>
              <w:rPr>
                <w:rFonts w:hint="default" w:eastAsia="宋体"/>
                <w:snapToGrid w:val="0"/>
                <w:color w:val="FF0000"/>
                <w:kern w:val="21"/>
                <w:sz w:val="21"/>
                <w:szCs w:val="21"/>
                <w:highlight w:val="none"/>
                <w:u w:val="single"/>
                <w:lang w:val="en-US" w:eastAsia="zh-CN"/>
              </w:rPr>
            </w:pPr>
            <w:r>
              <w:rPr>
                <w:rFonts w:hint="eastAsia"/>
                <w:color w:val="auto"/>
                <w:sz w:val="21"/>
                <w:szCs w:val="21"/>
                <w:highlight w:val="none"/>
                <w:u w:val="single"/>
                <w:lang w:val="en-US" w:eastAsia="zh-CN"/>
              </w:rPr>
              <w:t>16.425t/a</w:t>
            </w:r>
          </w:p>
        </w:tc>
        <w:tc>
          <w:tcPr>
            <w:tcW w:w="1761" w:type="dxa"/>
            <w:vAlign w:val="center"/>
          </w:tcPr>
          <w:p w14:paraId="1852AF3C">
            <w:pPr>
              <w:jc w:val="center"/>
              <w:rPr>
                <w:rFonts w:hint="eastAsia" w:ascii="Times New Roman" w:eastAsia="宋体"/>
                <w:snapToGrid w:val="0"/>
                <w:color w:val="auto"/>
                <w:kern w:val="21"/>
                <w:sz w:val="21"/>
                <w:szCs w:val="21"/>
                <w:u w:val="single"/>
                <w:lang w:val="en-US" w:eastAsia="zh-CN"/>
              </w:rPr>
            </w:pPr>
          </w:p>
        </w:tc>
        <w:tc>
          <w:tcPr>
            <w:tcW w:w="1562" w:type="dxa"/>
            <w:vAlign w:val="center"/>
          </w:tcPr>
          <w:p w14:paraId="3AD9A189">
            <w:pPr>
              <w:jc w:val="center"/>
              <w:rPr>
                <w:snapToGrid w:val="0"/>
                <w:color w:val="auto"/>
                <w:kern w:val="21"/>
                <w:sz w:val="21"/>
                <w:szCs w:val="21"/>
                <w:u w:val="single"/>
              </w:rPr>
            </w:pPr>
            <w:r>
              <w:rPr>
                <w:rFonts w:hint="eastAsia"/>
                <w:color w:val="auto"/>
                <w:sz w:val="21"/>
                <w:szCs w:val="21"/>
                <w:highlight w:val="none"/>
                <w:u w:val="single"/>
                <w:lang w:val="en-US" w:eastAsia="zh-CN"/>
              </w:rPr>
              <w:t>16.425t/a</w:t>
            </w:r>
          </w:p>
        </w:tc>
        <w:tc>
          <w:tcPr>
            <w:tcW w:w="1223" w:type="dxa"/>
            <w:vAlign w:val="center"/>
          </w:tcPr>
          <w:p w14:paraId="366A6965">
            <w:pPr>
              <w:jc w:val="center"/>
              <w:rPr>
                <w:snapToGrid w:val="0"/>
                <w:color w:val="auto"/>
                <w:kern w:val="21"/>
                <w:sz w:val="21"/>
                <w:szCs w:val="21"/>
                <w:u w:val="single"/>
              </w:rPr>
            </w:pPr>
            <w:r>
              <w:rPr>
                <w:rFonts w:hint="eastAsia"/>
                <w:color w:val="auto"/>
                <w:sz w:val="21"/>
                <w:szCs w:val="21"/>
                <w:highlight w:val="none"/>
                <w:u w:val="single"/>
                <w:lang w:val="en-US" w:eastAsia="zh-CN"/>
              </w:rPr>
              <w:t>16.425t/a</w:t>
            </w:r>
          </w:p>
        </w:tc>
      </w:tr>
      <w:tr w14:paraId="1F3F14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9" w:hRule="atLeast"/>
        </w:trPr>
        <w:tc>
          <w:tcPr>
            <w:tcW w:w="1588" w:type="dxa"/>
            <w:vMerge w:val="restart"/>
            <w:vAlign w:val="center"/>
          </w:tcPr>
          <w:p w14:paraId="13006BB6">
            <w:pPr>
              <w:pStyle w:val="70"/>
              <w:spacing w:beforeLines="0" w:afterLines="0" w:line="240" w:lineRule="auto"/>
              <w:rPr>
                <w:rFonts w:ascii="Times New Roman"/>
                <w:snapToGrid w:val="0"/>
                <w:color w:val="auto"/>
                <w:kern w:val="21"/>
                <w:sz w:val="21"/>
                <w:szCs w:val="21"/>
                <w:u w:val="single"/>
              </w:rPr>
            </w:pPr>
            <w:r>
              <w:rPr>
                <w:rFonts w:ascii="Times New Roman"/>
                <w:snapToGrid w:val="0"/>
                <w:color w:val="auto"/>
                <w:kern w:val="21"/>
                <w:sz w:val="21"/>
                <w:szCs w:val="21"/>
                <w:u w:val="single"/>
              </w:rPr>
              <w:t>一般工业</w:t>
            </w:r>
          </w:p>
          <w:p w14:paraId="4C4AF5BD">
            <w:pPr>
              <w:pStyle w:val="70"/>
              <w:spacing w:beforeLines="0" w:afterLines="0" w:line="240" w:lineRule="auto"/>
              <w:rPr>
                <w:rFonts w:ascii="Times New Roman"/>
                <w:snapToGrid w:val="0"/>
                <w:color w:val="auto"/>
                <w:kern w:val="21"/>
                <w:sz w:val="21"/>
                <w:szCs w:val="21"/>
                <w:u w:val="single"/>
              </w:rPr>
            </w:pPr>
            <w:r>
              <w:rPr>
                <w:rFonts w:ascii="Times New Roman"/>
                <w:snapToGrid w:val="0"/>
                <w:color w:val="auto"/>
                <w:kern w:val="21"/>
                <w:sz w:val="21"/>
                <w:szCs w:val="21"/>
                <w:u w:val="single"/>
              </w:rPr>
              <w:t>固体废物</w:t>
            </w:r>
          </w:p>
        </w:tc>
        <w:tc>
          <w:tcPr>
            <w:tcW w:w="1417" w:type="dxa"/>
            <w:vAlign w:val="center"/>
          </w:tcPr>
          <w:p w14:paraId="5343080B">
            <w:pPr>
              <w:jc w:val="center"/>
              <w:rPr>
                <w:rFonts w:ascii="Times New Roman"/>
                <w:snapToGrid w:val="0"/>
                <w:color w:val="auto"/>
                <w:kern w:val="21"/>
                <w:sz w:val="21"/>
                <w:szCs w:val="21"/>
                <w:u w:val="single"/>
              </w:rPr>
            </w:pPr>
            <w:r>
              <w:rPr>
                <w:rFonts w:hint="eastAsia" w:ascii="Times New Roman" w:hAnsi="Times New Roman" w:eastAsia="宋体"/>
                <w:color w:val="auto"/>
                <w:sz w:val="21"/>
                <w:szCs w:val="21"/>
                <w:highlight w:val="none"/>
                <w:u w:val="single"/>
                <w:lang w:val="en-US" w:eastAsia="zh-CN"/>
              </w:rPr>
              <w:t>栅渣</w:t>
            </w:r>
          </w:p>
        </w:tc>
        <w:tc>
          <w:tcPr>
            <w:tcW w:w="1701" w:type="dxa"/>
            <w:vAlign w:val="center"/>
          </w:tcPr>
          <w:p w14:paraId="528B7E6A">
            <w:pPr>
              <w:jc w:val="center"/>
              <w:rPr>
                <w:rFonts w:hint="default"/>
                <w:color w:val="auto"/>
                <w:sz w:val="21"/>
                <w:szCs w:val="21"/>
                <w:u w:val="single"/>
                <w:lang w:val="en-US" w:eastAsia="zh-CN"/>
              </w:rPr>
            </w:pPr>
          </w:p>
        </w:tc>
        <w:tc>
          <w:tcPr>
            <w:tcW w:w="1276" w:type="dxa"/>
            <w:vAlign w:val="center"/>
          </w:tcPr>
          <w:p w14:paraId="50C69733">
            <w:pPr>
              <w:jc w:val="center"/>
              <w:rPr>
                <w:rFonts w:hint="eastAsia"/>
                <w:color w:val="auto"/>
                <w:sz w:val="21"/>
                <w:szCs w:val="21"/>
                <w:u w:val="single"/>
                <w:lang w:val="en-US" w:eastAsia="zh-CN"/>
              </w:rPr>
            </w:pPr>
            <w:r>
              <w:rPr>
                <w:rFonts w:hint="eastAsia"/>
                <w:color w:val="auto"/>
                <w:sz w:val="21"/>
                <w:szCs w:val="21"/>
                <w:u w:val="single"/>
                <w:lang w:val="en-US" w:eastAsia="zh-CN"/>
              </w:rPr>
              <w:t>0</w:t>
            </w:r>
          </w:p>
        </w:tc>
        <w:tc>
          <w:tcPr>
            <w:tcW w:w="1701" w:type="dxa"/>
            <w:vAlign w:val="center"/>
          </w:tcPr>
          <w:p w14:paraId="72E8D551">
            <w:pPr>
              <w:jc w:val="center"/>
              <w:rPr>
                <w:rFonts w:hint="eastAsia"/>
                <w:color w:val="auto"/>
                <w:sz w:val="21"/>
                <w:szCs w:val="21"/>
                <w:u w:val="single"/>
                <w:lang w:val="en-US" w:eastAsia="zh-CN"/>
              </w:rPr>
            </w:pPr>
            <w:r>
              <w:rPr>
                <w:rFonts w:hint="eastAsia"/>
                <w:color w:val="auto"/>
                <w:sz w:val="21"/>
                <w:szCs w:val="21"/>
                <w:u w:val="single"/>
                <w:lang w:val="en-US" w:eastAsia="zh-CN"/>
              </w:rPr>
              <w:t>0</w:t>
            </w:r>
          </w:p>
        </w:tc>
        <w:tc>
          <w:tcPr>
            <w:tcW w:w="1559" w:type="dxa"/>
            <w:vAlign w:val="center"/>
          </w:tcPr>
          <w:p w14:paraId="734A7014">
            <w:pPr>
              <w:jc w:val="center"/>
              <w:rPr>
                <w:rFonts w:hint="eastAsia"/>
                <w:color w:val="auto"/>
                <w:sz w:val="21"/>
                <w:szCs w:val="21"/>
                <w:highlight w:val="none"/>
                <w:u w:val="single"/>
                <w:lang w:val="en-US" w:eastAsia="zh-CN"/>
              </w:rPr>
            </w:pPr>
            <w:r>
              <w:rPr>
                <w:rFonts w:hint="eastAsia"/>
                <w:color w:val="auto"/>
                <w:sz w:val="21"/>
                <w:szCs w:val="21"/>
                <w:highlight w:val="none"/>
                <w:u w:val="single"/>
                <w:lang w:val="en-US" w:eastAsia="zh-CN"/>
              </w:rPr>
              <w:t>547.5t/a</w:t>
            </w:r>
          </w:p>
        </w:tc>
        <w:tc>
          <w:tcPr>
            <w:tcW w:w="1761" w:type="dxa"/>
            <w:vAlign w:val="center"/>
          </w:tcPr>
          <w:p w14:paraId="5D31BD32">
            <w:pPr>
              <w:jc w:val="center"/>
              <w:rPr>
                <w:rFonts w:hint="eastAsia"/>
                <w:color w:val="auto"/>
                <w:sz w:val="21"/>
                <w:szCs w:val="21"/>
                <w:u w:val="single"/>
                <w:lang w:val="en-US" w:eastAsia="zh-CN"/>
              </w:rPr>
            </w:pPr>
          </w:p>
        </w:tc>
        <w:tc>
          <w:tcPr>
            <w:tcW w:w="1562" w:type="dxa"/>
            <w:vAlign w:val="center"/>
          </w:tcPr>
          <w:p w14:paraId="6BD740F4">
            <w:pPr>
              <w:jc w:val="center"/>
              <w:rPr>
                <w:rFonts w:ascii="Times New Roman"/>
                <w:snapToGrid w:val="0"/>
                <w:color w:val="auto"/>
                <w:kern w:val="21"/>
                <w:sz w:val="21"/>
                <w:szCs w:val="21"/>
                <w:u w:val="single"/>
              </w:rPr>
            </w:pPr>
            <w:r>
              <w:rPr>
                <w:rFonts w:hint="eastAsia"/>
                <w:color w:val="auto"/>
                <w:sz w:val="21"/>
                <w:szCs w:val="21"/>
                <w:highlight w:val="none"/>
                <w:u w:val="single"/>
                <w:lang w:val="en-US" w:eastAsia="zh-CN"/>
              </w:rPr>
              <w:t>547.5t/a</w:t>
            </w:r>
          </w:p>
        </w:tc>
        <w:tc>
          <w:tcPr>
            <w:tcW w:w="1223" w:type="dxa"/>
            <w:vAlign w:val="center"/>
          </w:tcPr>
          <w:p w14:paraId="36EF5775">
            <w:pPr>
              <w:jc w:val="center"/>
              <w:rPr>
                <w:rFonts w:ascii="Times New Roman"/>
                <w:snapToGrid w:val="0"/>
                <w:color w:val="auto"/>
                <w:kern w:val="21"/>
                <w:sz w:val="21"/>
                <w:szCs w:val="21"/>
                <w:u w:val="single"/>
              </w:rPr>
            </w:pPr>
            <w:r>
              <w:rPr>
                <w:rFonts w:hint="eastAsia"/>
                <w:color w:val="auto"/>
                <w:sz w:val="21"/>
                <w:szCs w:val="21"/>
                <w:highlight w:val="none"/>
                <w:u w:val="single"/>
                <w:lang w:val="en-US" w:eastAsia="zh-CN"/>
              </w:rPr>
              <w:t>547.5t/a</w:t>
            </w:r>
          </w:p>
        </w:tc>
      </w:tr>
      <w:tr w14:paraId="549CD1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1588" w:type="dxa"/>
            <w:vMerge w:val="continue"/>
            <w:vAlign w:val="center"/>
          </w:tcPr>
          <w:p w14:paraId="6E99CBAD">
            <w:pPr>
              <w:pStyle w:val="70"/>
              <w:spacing w:beforeLines="0" w:afterLines="0" w:line="240" w:lineRule="auto"/>
              <w:rPr>
                <w:rFonts w:ascii="Times New Roman"/>
                <w:snapToGrid w:val="0"/>
                <w:color w:val="auto"/>
                <w:kern w:val="21"/>
                <w:sz w:val="21"/>
                <w:szCs w:val="21"/>
                <w:u w:val="single"/>
              </w:rPr>
            </w:pPr>
          </w:p>
        </w:tc>
        <w:tc>
          <w:tcPr>
            <w:tcW w:w="1417" w:type="dxa"/>
            <w:vAlign w:val="center"/>
          </w:tcPr>
          <w:p w14:paraId="4F00C9EE">
            <w:pPr>
              <w:jc w:val="center"/>
              <w:rPr>
                <w:rFonts w:ascii="Times New Roman"/>
                <w:snapToGrid w:val="0"/>
                <w:color w:val="auto"/>
                <w:kern w:val="21"/>
                <w:sz w:val="21"/>
                <w:szCs w:val="21"/>
                <w:u w:val="single"/>
              </w:rPr>
            </w:pPr>
            <w:r>
              <w:rPr>
                <w:rFonts w:hint="eastAsia" w:ascii="Times New Roman" w:hAnsi="Times New Roman" w:eastAsia="宋体"/>
                <w:color w:val="auto"/>
                <w:sz w:val="21"/>
                <w:szCs w:val="21"/>
                <w:highlight w:val="none"/>
                <w:u w:val="single"/>
                <w:lang w:val="en-US" w:eastAsia="zh-CN"/>
              </w:rPr>
              <w:t>沉砂</w:t>
            </w:r>
          </w:p>
        </w:tc>
        <w:tc>
          <w:tcPr>
            <w:tcW w:w="1701" w:type="dxa"/>
            <w:vAlign w:val="center"/>
          </w:tcPr>
          <w:p w14:paraId="6DF6FB31">
            <w:pPr>
              <w:jc w:val="center"/>
              <w:rPr>
                <w:rFonts w:hint="default"/>
                <w:color w:val="auto"/>
                <w:sz w:val="21"/>
                <w:szCs w:val="21"/>
                <w:u w:val="single"/>
                <w:lang w:val="en-US" w:eastAsia="zh-CN"/>
              </w:rPr>
            </w:pPr>
          </w:p>
        </w:tc>
        <w:tc>
          <w:tcPr>
            <w:tcW w:w="1276" w:type="dxa"/>
            <w:vAlign w:val="center"/>
          </w:tcPr>
          <w:p w14:paraId="460E692A">
            <w:pPr>
              <w:jc w:val="center"/>
              <w:rPr>
                <w:rFonts w:hint="eastAsia"/>
                <w:color w:val="auto"/>
                <w:sz w:val="21"/>
                <w:szCs w:val="21"/>
                <w:u w:val="single"/>
                <w:lang w:val="en-US" w:eastAsia="zh-CN"/>
              </w:rPr>
            </w:pPr>
            <w:r>
              <w:rPr>
                <w:rFonts w:hint="eastAsia"/>
                <w:color w:val="auto"/>
                <w:sz w:val="21"/>
                <w:szCs w:val="21"/>
                <w:u w:val="single"/>
                <w:lang w:val="en-US" w:eastAsia="zh-CN"/>
              </w:rPr>
              <w:t>0</w:t>
            </w:r>
          </w:p>
        </w:tc>
        <w:tc>
          <w:tcPr>
            <w:tcW w:w="1701" w:type="dxa"/>
            <w:vAlign w:val="center"/>
          </w:tcPr>
          <w:p w14:paraId="6774DF0B">
            <w:pPr>
              <w:jc w:val="center"/>
              <w:rPr>
                <w:rFonts w:hint="eastAsia"/>
                <w:color w:val="auto"/>
                <w:sz w:val="21"/>
                <w:szCs w:val="21"/>
                <w:u w:val="single"/>
                <w:lang w:val="en-US" w:eastAsia="zh-CN"/>
              </w:rPr>
            </w:pPr>
            <w:r>
              <w:rPr>
                <w:rFonts w:hint="eastAsia"/>
                <w:color w:val="auto"/>
                <w:sz w:val="21"/>
                <w:szCs w:val="21"/>
                <w:u w:val="single"/>
                <w:lang w:val="en-US" w:eastAsia="zh-CN"/>
              </w:rPr>
              <w:t>0</w:t>
            </w:r>
          </w:p>
        </w:tc>
        <w:tc>
          <w:tcPr>
            <w:tcW w:w="1559" w:type="dxa"/>
            <w:vAlign w:val="center"/>
          </w:tcPr>
          <w:p w14:paraId="0EA97233">
            <w:pPr>
              <w:jc w:val="center"/>
              <w:rPr>
                <w:rFonts w:hint="eastAsia"/>
                <w:color w:val="auto"/>
                <w:sz w:val="21"/>
                <w:szCs w:val="21"/>
                <w:highlight w:val="none"/>
                <w:u w:val="single"/>
                <w:lang w:val="en-US" w:eastAsia="zh-CN"/>
              </w:rPr>
            </w:pPr>
            <w:r>
              <w:rPr>
                <w:rFonts w:hint="eastAsia"/>
                <w:color w:val="auto"/>
                <w:sz w:val="21"/>
                <w:szCs w:val="21"/>
                <w:highlight w:val="none"/>
                <w:u w:val="single"/>
                <w:lang w:val="en-US" w:eastAsia="zh-CN"/>
              </w:rPr>
              <w:t>164.25t/a</w:t>
            </w:r>
          </w:p>
        </w:tc>
        <w:tc>
          <w:tcPr>
            <w:tcW w:w="1761" w:type="dxa"/>
            <w:vAlign w:val="center"/>
          </w:tcPr>
          <w:p w14:paraId="1DC11F3E">
            <w:pPr>
              <w:jc w:val="center"/>
              <w:rPr>
                <w:rFonts w:hint="eastAsia"/>
                <w:color w:val="auto"/>
                <w:sz w:val="21"/>
                <w:szCs w:val="21"/>
                <w:u w:val="single"/>
                <w:lang w:val="en-US" w:eastAsia="zh-CN"/>
              </w:rPr>
            </w:pPr>
          </w:p>
        </w:tc>
        <w:tc>
          <w:tcPr>
            <w:tcW w:w="1562" w:type="dxa"/>
            <w:vAlign w:val="center"/>
          </w:tcPr>
          <w:p w14:paraId="6F94B6FE">
            <w:pPr>
              <w:jc w:val="center"/>
              <w:rPr>
                <w:rFonts w:ascii="Times New Roman"/>
                <w:snapToGrid w:val="0"/>
                <w:color w:val="auto"/>
                <w:kern w:val="21"/>
                <w:sz w:val="21"/>
                <w:szCs w:val="21"/>
                <w:u w:val="single"/>
              </w:rPr>
            </w:pPr>
            <w:r>
              <w:rPr>
                <w:rFonts w:hint="eastAsia"/>
                <w:color w:val="auto"/>
                <w:sz w:val="21"/>
                <w:szCs w:val="21"/>
                <w:highlight w:val="none"/>
                <w:u w:val="single"/>
                <w:lang w:val="en-US" w:eastAsia="zh-CN"/>
              </w:rPr>
              <w:t>164.25t/a</w:t>
            </w:r>
          </w:p>
        </w:tc>
        <w:tc>
          <w:tcPr>
            <w:tcW w:w="1223" w:type="dxa"/>
            <w:vAlign w:val="center"/>
          </w:tcPr>
          <w:p w14:paraId="775DD4C8">
            <w:pPr>
              <w:jc w:val="center"/>
              <w:rPr>
                <w:rFonts w:ascii="Times New Roman"/>
                <w:snapToGrid w:val="0"/>
                <w:color w:val="auto"/>
                <w:kern w:val="21"/>
                <w:sz w:val="21"/>
                <w:szCs w:val="21"/>
                <w:u w:val="single"/>
              </w:rPr>
            </w:pPr>
            <w:r>
              <w:rPr>
                <w:rFonts w:hint="eastAsia"/>
                <w:color w:val="auto"/>
                <w:sz w:val="21"/>
                <w:szCs w:val="21"/>
                <w:highlight w:val="none"/>
                <w:u w:val="single"/>
                <w:lang w:val="en-US" w:eastAsia="zh-CN"/>
              </w:rPr>
              <w:t>164.25t/a</w:t>
            </w:r>
          </w:p>
        </w:tc>
      </w:tr>
      <w:tr w14:paraId="15C444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1588" w:type="dxa"/>
            <w:vMerge w:val="continue"/>
            <w:vAlign w:val="center"/>
          </w:tcPr>
          <w:p w14:paraId="70AC26D4">
            <w:pPr>
              <w:pStyle w:val="70"/>
              <w:spacing w:beforeLines="0" w:afterLines="0" w:line="240" w:lineRule="auto"/>
              <w:rPr>
                <w:rFonts w:ascii="Times New Roman"/>
                <w:snapToGrid w:val="0"/>
                <w:color w:val="auto"/>
                <w:kern w:val="21"/>
                <w:sz w:val="21"/>
                <w:szCs w:val="21"/>
                <w:u w:val="single"/>
              </w:rPr>
            </w:pPr>
          </w:p>
        </w:tc>
        <w:tc>
          <w:tcPr>
            <w:tcW w:w="1417" w:type="dxa"/>
            <w:vAlign w:val="center"/>
          </w:tcPr>
          <w:p w14:paraId="1ED6B333">
            <w:pPr>
              <w:jc w:val="center"/>
              <w:rPr>
                <w:rFonts w:ascii="Times New Roman"/>
                <w:snapToGrid w:val="0"/>
                <w:color w:val="auto"/>
                <w:kern w:val="21"/>
                <w:sz w:val="21"/>
                <w:szCs w:val="21"/>
                <w:u w:val="single"/>
              </w:rPr>
            </w:pPr>
            <w:r>
              <w:rPr>
                <w:rFonts w:hint="eastAsia" w:ascii="Times New Roman" w:hAnsi="Times New Roman" w:eastAsia="宋体"/>
                <w:color w:val="auto"/>
                <w:sz w:val="21"/>
                <w:szCs w:val="21"/>
                <w:highlight w:val="none"/>
                <w:u w:val="single"/>
                <w:lang w:val="en-US" w:eastAsia="zh-CN"/>
              </w:rPr>
              <w:t>污泥</w:t>
            </w:r>
          </w:p>
        </w:tc>
        <w:tc>
          <w:tcPr>
            <w:tcW w:w="1701" w:type="dxa"/>
            <w:vAlign w:val="center"/>
          </w:tcPr>
          <w:p w14:paraId="0D0F7DBF">
            <w:pPr>
              <w:jc w:val="center"/>
              <w:rPr>
                <w:rFonts w:hint="default"/>
                <w:color w:val="auto"/>
                <w:sz w:val="21"/>
                <w:szCs w:val="21"/>
                <w:u w:val="single"/>
                <w:lang w:val="en-US" w:eastAsia="zh-CN"/>
              </w:rPr>
            </w:pPr>
          </w:p>
        </w:tc>
        <w:tc>
          <w:tcPr>
            <w:tcW w:w="1276" w:type="dxa"/>
            <w:vAlign w:val="center"/>
          </w:tcPr>
          <w:p w14:paraId="690AE6BF">
            <w:pPr>
              <w:jc w:val="center"/>
              <w:rPr>
                <w:rFonts w:hint="eastAsia"/>
                <w:color w:val="auto"/>
                <w:sz w:val="21"/>
                <w:szCs w:val="21"/>
                <w:u w:val="single"/>
                <w:lang w:val="en-US" w:eastAsia="zh-CN"/>
              </w:rPr>
            </w:pPr>
            <w:r>
              <w:rPr>
                <w:rFonts w:hint="eastAsia"/>
                <w:color w:val="auto"/>
                <w:sz w:val="21"/>
                <w:szCs w:val="21"/>
                <w:u w:val="single"/>
                <w:lang w:val="en-US" w:eastAsia="zh-CN"/>
              </w:rPr>
              <w:t>0</w:t>
            </w:r>
          </w:p>
        </w:tc>
        <w:tc>
          <w:tcPr>
            <w:tcW w:w="1701" w:type="dxa"/>
            <w:vAlign w:val="center"/>
          </w:tcPr>
          <w:p w14:paraId="55421E21">
            <w:pPr>
              <w:jc w:val="center"/>
              <w:rPr>
                <w:rFonts w:hint="eastAsia"/>
                <w:color w:val="auto"/>
                <w:sz w:val="21"/>
                <w:szCs w:val="21"/>
                <w:u w:val="single"/>
                <w:lang w:val="en-US" w:eastAsia="zh-CN"/>
              </w:rPr>
            </w:pPr>
            <w:r>
              <w:rPr>
                <w:rFonts w:hint="eastAsia"/>
                <w:color w:val="auto"/>
                <w:sz w:val="21"/>
                <w:szCs w:val="21"/>
                <w:u w:val="single"/>
                <w:lang w:val="en-US" w:eastAsia="zh-CN"/>
              </w:rPr>
              <w:t>0</w:t>
            </w:r>
          </w:p>
        </w:tc>
        <w:tc>
          <w:tcPr>
            <w:tcW w:w="1559" w:type="dxa"/>
            <w:vAlign w:val="center"/>
          </w:tcPr>
          <w:p w14:paraId="77C26BA5">
            <w:pPr>
              <w:jc w:val="center"/>
              <w:rPr>
                <w:rFonts w:hint="eastAsia"/>
                <w:color w:val="auto"/>
                <w:sz w:val="21"/>
                <w:szCs w:val="21"/>
                <w:u w:val="single"/>
                <w:lang w:val="en-US" w:eastAsia="zh-CN"/>
              </w:rPr>
            </w:pPr>
            <w:r>
              <w:rPr>
                <w:rFonts w:hint="eastAsia"/>
                <w:color w:val="auto"/>
                <w:sz w:val="21"/>
                <w:szCs w:val="21"/>
                <w:highlight w:val="none"/>
                <w:u w:val="single"/>
                <w:lang w:val="en-US" w:eastAsia="zh-CN"/>
              </w:rPr>
              <w:t>978.2</w:t>
            </w:r>
            <w:r>
              <w:rPr>
                <w:rFonts w:hint="eastAsia"/>
                <w:color w:val="auto"/>
                <w:sz w:val="21"/>
                <w:szCs w:val="21"/>
                <w:u w:val="single"/>
                <w:lang w:val="en-US" w:eastAsia="zh-CN"/>
              </w:rPr>
              <w:t>t/a</w:t>
            </w:r>
          </w:p>
        </w:tc>
        <w:tc>
          <w:tcPr>
            <w:tcW w:w="1761" w:type="dxa"/>
            <w:vAlign w:val="center"/>
          </w:tcPr>
          <w:p w14:paraId="6331EE75">
            <w:pPr>
              <w:jc w:val="center"/>
              <w:rPr>
                <w:rFonts w:hint="eastAsia"/>
                <w:color w:val="auto"/>
                <w:sz w:val="21"/>
                <w:szCs w:val="21"/>
                <w:u w:val="single"/>
                <w:lang w:val="en-US" w:eastAsia="zh-CN"/>
              </w:rPr>
            </w:pPr>
          </w:p>
        </w:tc>
        <w:tc>
          <w:tcPr>
            <w:tcW w:w="1562" w:type="dxa"/>
            <w:vAlign w:val="center"/>
          </w:tcPr>
          <w:p w14:paraId="2CD71220">
            <w:pPr>
              <w:jc w:val="center"/>
              <w:rPr>
                <w:rFonts w:ascii="Times New Roman"/>
                <w:snapToGrid w:val="0"/>
                <w:color w:val="auto"/>
                <w:kern w:val="21"/>
                <w:sz w:val="21"/>
                <w:szCs w:val="21"/>
                <w:u w:val="single"/>
              </w:rPr>
            </w:pPr>
            <w:r>
              <w:rPr>
                <w:rFonts w:hint="eastAsia"/>
                <w:color w:val="auto"/>
                <w:sz w:val="21"/>
                <w:szCs w:val="21"/>
                <w:highlight w:val="none"/>
                <w:u w:val="single"/>
                <w:lang w:val="en-US" w:eastAsia="zh-CN"/>
              </w:rPr>
              <w:t>978.2</w:t>
            </w:r>
            <w:r>
              <w:rPr>
                <w:rFonts w:hint="eastAsia"/>
                <w:color w:val="auto"/>
                <w:sz w:val="21"/>
                <w:szCs w:val="21"/>
                <w:u w:val="single"/>
                <w:lang w:val="en-US" w:eastAsia="zh-CN"/>
              </w:rPr>
              <w:t>t/a</w:t>
            </w:r>
          </w:p>
        </w:tc>
        <w:tc>
          <w:tcPr>
            <w:tcW w:w="1223" w:type="dxa"/>
            <w:vAlign w:val="center"/>
          </w:tcPr>
          <w:p w14:paraId="0528BA17">
            <w:pPr>
              <w:jc w:val="center"/>
              <w:rPr>
                <w:rFonts w:ascii="Times New Roman"/>
                <w:snapToGrid w:val="0"/>
                <w:color w:val="auto"/>
                <w:kern w:val="21"/>
                <w:sz w:val="21"/>
                <w:szCs w:val="21"/>
                <w:u w:val="single"/>
              </w:rPr>
            </w:pPr>
            <w:r>
              <w:rPr>
                <w:rFonts w:hint="eastAsia"/>
                <w:color w:val="auto"/>
                <w:sz w:val="21"/>
                <w:szCs w:val="21"/>
                <w:highlight w:val="none"/>
                <w:u w:val="single"/>
                <w:lang w:val="en-US" w:eastAsia="zh-CN"/>
              </w:rPr>
              <w:t>978.2</w:t>
            </w:r>
            <w:r>
              <w:rPr>
                <w:rFonts w:hint="eastAsia"/>
                <w:color w:val="auto"/>
                <w:sz w:val="21"/>
                <w:szCs w:val="21"/>
                <w:u w:val="single"/>
                <w:lang w:val="en-US" w:eastAsia="zh-CN"/>
              </w:rPr>
              <w:t>t/a</w:t>
            </w:r>
          </w:p>
        </w:tc>
      </w:tr>
      <w:tr w14:paraId="5CC7D0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 w:hRule="atLeast"/>
        </w:trPr>
        <w:tc>
          <w:tcPr>
            <w:tcW w:w="1588" w:type="dxa"/>
            <w:vMerge w:val="restart"/>
            <w:vAlign w:val="center"/>
          </w:tcPr>
          <w:p w14:paraId="1FA34AF9">
            <w:pPr>
              <w:pStyle w:val="70"/>
              <w:spacing w:beforeLines="0" w:afterLines="0" w:line="240" w:lineRule="auto"/>
              <w:rPr>
                <w:rFonts w:ascii="Times New Roman"/>
                <w:snapToGrid w:val="0"/>
                <w:color w:val="auto"/>
                <w:kern w:val="21"/>
                <w:sz w:val="21"/>
                <w:szCs w:val="21"/>
                <w:highlight w:val="none"/>
                <w:u w:val="single"/>
              </w:rPr>
            </w:pPr>
            <w:r>
              <w:rPr>
                <w:rFonts w:ascii="Times New Roman"/>
                <w:snapToGrid w:val="0"/>
                <w:color w:val="auto"/>
                <w:kern w:val="21"/>
                <w:sz w:val="21"/>
                <w:szCs w:val="21"/>
                <w:highlight w:val="none"/>
                <w:u w:val="single"/>
              </w:rPr>
              <w:t>危险废物</w:t>
            </w:r>
          </w:p>
        </w:tc>
        <w:tc>
          <w:tcPr>
            <w:tcW w:w="1417" w:type="dxa"/>
            <w:vAlign w:val="center"/>
          </w:tcPr>
          <w:p w14:paraId="42954813">
            <w:pPr>
              <w:jc w:val="center"/>
              <w:rPr>
                <w:rFonts w:hint="eastAsia" w:ascii="Times New Roman"/>
                <w:snapToGrid w:val="0"/>
                <w:color w:val="auto"/>
                <w:kern w:val="21"/>
                <w:sz w:val="21"/>
                <w:szCs w:val="21"/>
                <w:highlight w:val="none"/>
                <w:u w:val="single"/>
              </w:rPr>
            </w:pPr>
            <w:r>
              <w:rPr>
                <w:rFonts w:hint="eastAsia" w:ascii="Times New Roman" w:hAnsi="Times New Roman" w:eastAsia="宋体"/>
                <w:color w:val="auto"/>
                <w:sz w:val="21"/>
                <w:szCs w:val="21"/>
                <w:highlight w:val="none"/>
                <w:u w:val="single"/>
                <w:lang w:val="en-US" w:eastAsia="zh-CN"/>
              </w:rPr>
              <w:t>废灯管</w:t>
            </w:r>
          </w:p>
        </w:tc>
        <w:tc>
          <w:tcPr>
            <w:tcW w:w="1701" w:type="dxa"/>
            <w:vAlign w:val="center"/>
          </w:tcPr>
          <w:p w14:paraId="6B819DD0">
            <w:pPr>
              <w:keepNext w:val="0"/>
              <w:keepLines w:val="0"/>
              <w:widowControl/>
              <w:suppressLineNumbers w:val="0"/>
              <w:jc w:val="center"/>
              <w:textAlignment w:val="center"/>
              <w:rPr>
                <w:rFonts w:hint="default" w:ascii="Times New Roman" w:eastAsia="黑体"/>
                <w:snapToGrid w:val="0"/>
                <w:color w:val="auto"/>
                <w:kern w:val="21"/>
                <w:sz w:val="21"/>
                <w:szCs w:val="21"/>
                <w:highlight w:val="none"/>
                <w:u w:val="single"/>
                <w:lang w:val="en-US" w:eastAsia="zh-CN"/>
              </w:rPr>
            </w:pPr>
          </w:p>
        </w:tc>
        <w:tc>
          <w:tcPr>
            <w:tcW w:w="1276" w:type="dxa"/>
            <w:vAlign w:val="center"/>
          </w:tcPr>
          <w:p w14:paraId="30B5C5A8">
            <w:pPr>
              <w:pStyle w:val="70"/>
              <w:spacing w:beforeLines="0" w:afterLines="0" w:line="240" w:lineRule="auto"/>
              <w:rPr>
                <w:rFonts w:ascii="Times New Roman"/>
                <w:snapToGrid w:val="0"/>
                <w:color w:val="auto"/>
                <w:kern w:val="21"/>
                <w:sz w:val="21"/>
                <w:szCs w:val="21"/>
                <w:highlight w:val="none"/>
                <w:u w:val="single"/>
              </w:rPr>
            </w:pPr>
            <w:r>
              <w:rPr>
                <w:rFonts w:hint="eastAsia" w:ascii="Times New Roman"/>
                <w:snapToGrid w:val="0"/>
                <w:color w:val="auto"/>
                <w:kern w:val="21"/>
                <w:sz w:val="21"/>
                <w:szCs w:val="21"/>
                <w:highlight w:val="none"/>
                <w:u w:val="single"/>
              </w:rPr>
              <w:t>0</w:t>
            </w:r>
          </w:p>
        </w:tc>
        <w:tc>
          <w:tcPr>
            <w:tcW w:w="1701" w:type="dxa"/>
            <w:vAlign w:val="center"/>
          </w:tcPr>
          <w:p w14:paraId="3554303E">
            <w:pPr>
              <w:pStyle w:val="70"/>
              <w:spacing w:beforeLines="0" w:afterLines="0" w:line="240" w:lineRule="auto"/>
              <w:rPr>
                <w:rFonts w:ascii="Times New Roman"/>
                <w:snapToGrid w:val="0"/>
                <w:color w:val="auto"/>
                <w:kern w:val="21"/>
                <w:sz w:val="21"/>
                <w:szCs w:val="21"/>
                <w:highlight w:val="none"/>
                <w:u w:val="single"/>
              </w:rPr>
            </w:pPr>
            <w:r>
              <w:rPr>
                <w:rFonts w:ascii="Times New Roman"/>
                <w:snapToGrid w:val="0"/>
                <w:color w:val="auto"/>
                <w:kern w:val="21"/>
                <w:sz w:val="21"/>
                <w:szCs w:val="21"/>
                <w:highlight w:val="none"/>
                <w:u w:val="single"/>
              </w:rPr>
              <w:t>0</w:t>
            </w:r>
          </w:p>
        </w:tc>
        <w:tc>
          <w:tcPr>
            <w:tcW w:w="1559" w:type="dxa"/>
            <w:vAlign w:val="center"/>
          </w:tcPr>
          <w:p w14:paraId="3AE82155">
            <w:pPr>
              <w:keepNext w:val="0"/>
              <w:keepLines w:val="0"/>
              <w:widowControl/>
              <w:suppressLineNumbers w:val="0"/>
              <w:jc w:val="center"/>
              <w:textAlignment w:val="center"/>
              <w:rPr>
                <w:rFonts w:ascii="Times New Roman"/>
                <w:b/>
                <w:bCs/>
                <w:snapToGrid w:val="0"/>
                <w:color w:val="auto"/>
                <w:kern w:val="21"/>
                <w:sz w:val="21"/>
                <w:szCs w:val="21"/>
                <w:highlight w:val="none"/>
                <w:u w:val="single"/>
              </w:rPr>
            </w:pPr>
            <w:r>
              <w:rPr>
                <w:rFonts w:hint="default" w:ascii="Times New Roman" w:hAnsi="Times New Roman" w:eastAsia="宋体" w:cs="Times New Roman"/>
                <w:i w:val="0"/>
                <w:iCs w:val="0"/>
                <w:color w:val="auto"/>
                <w:kern w:val="0"/>
                <w:sz w:val="21"/>
                <w:szCs w:val="21"/>
                <w:highlight w:val="none"/>
                <w:u w:val="single"/>
                <w:lang w:val="en-US" w:eastAsia="zh-CN" w:bidi="ar"/>
              </w:rPr>
              <w:t>0.00</w:t>
            </w:r>
            <w:r>
              <w:rPr>
                <w:rFonts w:hint="eastAsia" w:cs="Times New Roman"/>
                <w:i w:val="0"/>
                <w:iCs w:val="0"/>
                <w:color w:val="auto"/>
                <w:kern w:val="0"/>
                <w:sz w:val="21"/>
                <w:szCs w:val="21"/>
                <w:highlight w:val="none"/>
                <w:u w:val="single"/>
                <w:lang w:val="en-US" w:eastAsia="zh-CN" w:bidi="ar"/>
              </w:rPr>
              <w:t>2</w:t>
            </w:r>
            <w:r>
              <w:rPr>
                <w:rFonts w:hint="default" w:ascii="Times New Roman" w:hAnsi="Times New Roman" w:eastAsia="宋体" w:cs="Times New Roman"/>
                <w:i w:val="0"/>
                <w:iCs w:val="0"/>
                <w:color w:val="auto"/>
                <w:kern w:val="0"/>
                <w:sz w:val="21"/>
                <w:szCs w:val="21"/>
                <w:highlight w:val="none"/>
                <w:u w:val="single"/>
                <w:lang w:val="en-US" w:eastAsia="zh-CN" w:bidi="ar"/>
              </w:rPr>
              <w:t>4</w:t>
            </w:r>
            <w:r>
              <w:rPr>
                <w:rFonts w:hint="eastAsia"/>
                <w:color w:val="auto"/>
                <w:sz w:val="21"/>
                <w:szCs w:val="21"/>
                <w:highlight w:val="none"/>
                <w:u w:val="single"/>
                <w:lang w:val="en-US" w:eastAsia="zh-CN"/>
              </w:rPr>
              <w:t>t/a</w:t>
            </w:r>
          </w:p>
        </w:tc>
        <w:tc>
          <w:tcPr>
            <w:tcW w:w="1761" w:type="dxa"/>
            <w:vAlign w:val="center"/>
          </w:tcPr>
          <w:p w14:paraId="38556E61">
            <w:pPr>
              <w:keepNext w:val="0"/>
              <w:keepLines w:val="0"/>
              <w:widowControl/>
              <w:suppressLineNumbers w:val="0"/>
              <w:jc w:val="center"/>
              <w:textAlignment w:val="center"/>
              <w:rPr>
                <w:rFonts w:ascii="Times New Roman"/>
                <w:snapToGrid w:val="0"/>
                <w:color w:val="auto"/>
                <w:kern w:val="21"/>
                <w:sz w:val="21"/>
                <w:szCs w:val="21"/>
                <w:highlight w:val="none"/>
                <w:u w:val="single"/>
              </w:rPr>
            </w:pPr>
          </w:p>
        </w:tc>
        <w:tc>
          <w:tcPr>
            <w:tcW w:w="1562" w:type="dxa"/>
            <w:vAlign w:val="center"/>
          </w:tcPr>
          <w:p w14:paraId="1E70BE22">
            <w:pPr>
              <w:keepNext w:val="0"/>
              <w:keepLines w:val="0"/>
              <w:widowControl/>
              <w:suppressLineNumbers w:val="0"/>
              <w:jc w:val="center"/>
              <w:textAlignment w:val="center"/>
              <w:rPr>
                <w:rFonts w:ascii="Times New Roman"/>
                <w:b/>
                <w:bCs/>
                <w:snapToGrid w:val="0"/>
                <w:color w:val="auto"/>
                <w:kern w:val="21"/>
                <w:sz w:val="21"/>
                <w:szCs w:val="21"/>
                <w:highlight w:val="none"/>
                <w:u w:val="single"/>
              </w:rPr>
            </w:pPr>
            <w:r>
              <w:rPr>
                <w:rFonts w:hint="default" w:ascii="Times New Roman" w:hAnsi="Times New Roman" w:eastAsia="宋体" w:cs="Times New Roman"/>
                <w:i w:val="0"/>
                <w:iCs w:val="0"/>
                <w:color w:val="auto"/>
                <w:kern w:val="0"/>
                <w:sz w:val="21"/>
                <w:szCs w:val="21"/>
                <w:highlight w:val="none"/>
                <w:u w:val="single"/>
                <w:lang w:val="en-US" w:eastAsia="zh-CN" w:bidi="ar"/>
              </w:rPr>
              <w:t>0.00</w:t>
            </w:r>
            <w:r>
              <w:rPr>
                <w:rFonts w:hint="eastAsia" w:cs="Times New Roman"/>
                <w:i w:val="0"/>
                <w:iCs w:val="0"/>
                <w:color w:val="auto"/>
                <w:kern w:val="0"/>
                <w:sz w:val="21"/>
                <w:szCs w:val="21"/>
                <w:highlight w:val="none"/>
                <w:u w:val="single"/>
                <w:lang w:val="en-US" w:eastAsia="zh-CN" w:bidi="ar"/>
              </w:rPr>
              <w:t>2</w:t>
            </w:r>
            <w:r>
              <w:rPr>
                <w:rFonts w:hint="default" w:ascii="Times New Roman" w:hAnsi="Times New Roman" w:eastAsia="宋体" w:cs="Times New Roman"/>
                <w:i w:val="0"/>
                <w:iCs w:val="0"/>
                <w:color w:val="auto"/>
                <w:kern w:val="0"/>
                <w:sz w:val="21"/>
                <w:szCs w:val="21"/>
                <w:highlight w:val="none"/>
                <w:u w:val="single"/>
                <w:lang w:val="en-US" w:eastAsia="zh-CN" w:bidi="ar"/>
              </w:rPr>
              <w:t>4</w:t>
            </w:r>
            <w:r>
              <w:rPr>
                <w:rFonts w:hint="eastAsia"/>
                <w:color w:val="auto"/>
                <w:sz w:val="21"/>
                <w:szCs w:val="21"/>
                <w:highlight w:val="none"/>
                <w:u w:val="single"/>
                <w:lang w:val="en-US" w:eastAsia="zh-CN"/>
              </w:rPr>
              <w:t>t/a</w:t>
            </w:r>
          </w:p>
        </w:tc>
        <w:tc>
          <w:tcPr>
            <w:tcW w:w="1223" w:type="dxa"/>
            <w:vAlign w:val="center"/>
          </w:tcPr>
          <w:p w14:paraId="4891EFBB">
            <w:pPr>
              <w:keepNext w:val="0"/>
              <w:keepLines w:val="0"/>
              <w:widowControl/>
              <w:suppressLineNumbers w:val="0"/>
              <w:jc w:val="center"/>
              <w:textAlignment w:val="center"/>
              <w:rPr>
                <w:rFonts w:hint="default" w:ascii="Times New Roman" w:eastAsia="宋体"/>
                <w:snapToGrid w:val="0"/>
                <w:color w:val="auto"/>
                <w:kern w:val="21"/>
                <w:sz w:val="21"/>
                <w:szCs w:val="21"/>
                <w:highlight w:val="none"/>
                <w:u w:val="single"/>
                <w:lang w:val="en-US" w:eastAsia="zh-CN"/>
              </w:rPr>
            </w:pPr>
            <w:r>
              <w:rPr>
                <w:rFonts w:hint="default" w:ascii="Times New Roman" w:hAnsi="Times New Roman" w:eastAsia="宋体" w:cs="Times New Roman"/>
                <w:i w:val="0"/>
                <w:iCs w:val="0"/>
                <w:color w:val="auto"/>
                <w:kern w:val="0"/>
                <w:sz w:val="21"/>
                <w:szCs w:val="21"/>
                <w:highlight w:val="none"/>
                <w:u w:val="single"/>
                <w:lang w:val="en-US" w:eastAsia="zh-CN" w:bidi="ar"/>
              </w:rPr>
              <w:t>0.00</w:t>
            </w:r>
            <w:r>
              <w:rPr>
                <w:rFonts w:hint="eastAsia" w:cs="Times New Roman"/>
                <w:i w:val="0"/>
                <w:iCs w:val="0"/>
                <w:color w:val="auto"/>
                <w:kern w:val="0"/>
                <w:sz w:val="21"/>
                <w:szCs w:val="21"/>
                <w:highlight w:val="none"/>
                <w:u w:val="single"/>
                <w:lang w:val="en-US" w:eastAsia="zh-CN" w:bidi="ar"/>
              </w:rPr>
              <w:t>2</w:t>
            </w:r>
            <w:r>
              <w:rPr>
                <w:rFonts w:hint="default" w:ascii="Times New Roman" w:hAnsi="Times New Roman" w:eastAsia="宋体" w:cs="Times New Roman"/>
                <w:i w:val="0"/>
                <w:iCs w:val="0"/>
                <w:color w:val="auto"/>
                <w:kern w:val="0"/>
                <w:sz w:val="21"/>
                <w:szCs w:val="21"/>
                <w:highlight w:val="none"/>
                <w:u w:val="single"/>
                <w:lang w:val="en-US" w:eastAsia="zh-CN" w:bidi="ar"/>
              </w:rPr>
              <w:t>4</w:t>
            </w:r>
            <w:r>
              <w:rPr>
                <w:rFonts w:hint="eastAsia"/>
                <w:color w:val="auto"/>
                <w:sz w:val="21"/>
                <w:szCs w:val="21"/>
                <w:highlight w:val="none"/>
                <w:u w:val="single"/>
                <w:lang w:val="en-US" w:eastAsia="zh-CN"/>
              </w:rPr>
              <w:t>t/a</w:t>
            </w:r>
          </w:p>
        </w:tc>
      </w:tr>
      <w:tr w14:paraId="6B04C0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1588" w:type="dxa"/>
            <w:vMerge w:val="continue"/>
            <w:vAlign w:val="center"/>
          </w:tcPr>
          <w:p w14:paraId="11F26FA2">
            <w:pPr>
              <w:pStyle w:val="70"/>
              <w:spacing w:beforeLines="0" w:afterLines="0" w:line="240" w:lineRule="auto"/>
              <w:rPr>
                <w:rFonts w:ascii="Times New Roman"/>
                <w:snapToGrid w:val="0"/>
                <w:color w:val="auto"/>
                <w:kern w:val="21"/>
                <w:sz w:val="21"/>
                <w:szCs w:val="21"/>
                <w:highlight w:val="none"/>
                <w:u w:val="single"/>
              </w:rPr>
            </w:pPr>
          </w:p>
        </w:tc>
        <w:tc>
          <w:tcPr>
            <w:tcW w:w="1417" w:type="dxa"/>
            <w:vAlign w:val="center"/>
          </w:tcPr>
          <w:p w14:paraId="2ED2E611">
            <w:pPr>
              <w:jc w:val="center"/>
              <w:rPr>
                <w:color w:val="auto"/>
                <w:sz w:val="21"/>
                <w:szCs w:val="21"/>
                <w:highlight w:val="none"/>
                <w:u w:val="single"/>
              </w:rPr>
            </w:pPr>
            <w:r>
              <w:rPr>
                <w:rFonts w:hint="eastAsia" w:ascii="Times New Roman" w:hAnsi="Times New Roman" w:eastAsia="宋体"/>
                <w:color w:val="auto"/>
                <w:sz w:val="21"/>
                <w:szCs w:val="21"/>
                <w:highlight w:val="none"/>
                <w:u w:val="single"/>
                <w:lang w:val="en-US" w:eastAsia="zh-CN"/>
              </w:rPr>
              <w:t>废机油</w:t>
            </w:r>
          </w:p>
        </w:tc>
        <w:tc>
          <w:tcPr>
            <w:tcW w:w="1701" w:type="dxa"/>
            <w:vAlign w:val="center"/>
          </w:tcPr>
          <w:p w14:paraId="777A14EB">
            <w:pPr>
              <w:keepNext w:val="0"/>
              <w:keepLines w:val="0"/>
              <w:widowControl/>
              <w:suppressLineNumbers w:val="0"/>
              <w:jc w:val="center"/>
              <w:textAlignment w:val="center"/>
              <w:rPr>
                <w:rFonts w:hint="default" w:ascii="Times New Roman" w:eastAsia="黑体"/>
                <w:snapToGrid w:val="0"/>
                <w:color w:val="auto"/>
                <w:kern w:val="21"/>
                <w:sz w:val="21"/>
                <w:szCs w:val="21"/>
                <w:highlight w:val="none"/>
                <w:u w:val="single"/>
                <w:lang w:val="en-US" w:eastAsia="zh-CN"/>
              </w:rPr>
            </w:pPr>
          </w:p>
        </w:tc>
        <w:tc>
          <w:tcPr>
            <w:tcW w:w="1276" w:type="dxa"/>
            <w:vAlign w:val="center"/>
          </w:tcPr>
          <w:p w14:paraId="6C114E38">
            <w:pPr>
              <w:pStyle w:val="70"/>
              <w:spacing w:beforeLines="0" w:afterLines="0" w:line="240" w:lineRule="auto"/>
              <w:rPr>
                <w:rFonts w:ascii="Times New Roman"/>
                <w:snapToGrid w:val="0"/>
                <w:color w:val="auto"/>
                <w:kern w:val="21"/>
                <w:sz w:val="21"/>
                <w:szCs w:val="21"/>
                <w:highlight w:val="none"/>
                <w:u w:val="single"/>
              </w:rPr>
            </w:pPr>
            <w:r>
              <w:rPr>
                <w:rFonts w:hint="eastAsia" w:ascii="Times New Roman"/>
                <w:snapToGrid w:val="0"/>
                <w:color w:val="auto"/>
                <w:kern w:val="21"/>
                <w:sz w:val="21"/>
                <w:szCs w:val="21"/>
                <w:highlight w:val="none"/>
                <w:u w:val="single"/>
              </w:rPr>
              <w:t>0</w:t>
            </w:r>
          </w:p>
        </w:tc>
        <w:tc>
          <w:tcPr>
            <w:tcW w:w="1701" w:type="dxa"/>
            <w:vAlign w:val="center"/>
          </w:tcPr>
          <w:p w14:paraId="33F95DD1">
            <w:pPr>
              <w:pStyle w:val="70"/>
              <w:spacing w:beforeLines="0" w:afterLines="0" w:line="240" w:lineRule="auto"/>
              <w:rPr>
                <w:rFonts w:ascii="Times New Roman"/>
                <w:snapToGrid w:val="0"/>
                <w:color w:val="auto"/>
                <w:kern w:val="21"/>
                <w:sz w:val="21"/>
                <w:szCs w:val="21"/>
                <w:highlight w:val="none"/>
                <w:u w:val="single"/>
              </w:rPr>
            </w:pPr>
            <w:r>
              <w:rPr>
                <w:rFonts w:ascii="Times New Roman"/>
                <w:snapToGrid w:val="0"/>
                <w:color w:val="auto"/>
                <w:kern w:val="21"/>
                <w:sz w:val="21"/>
                <w:szCs w:val="21"/>
                <w:highlight w:val="none"/>
                <w:u w:val="single"/>
              </w:rPr>
              <w:t>0</w:t>
            </w:r>
          </w:p>
        </w:tc>
        <w:tc>
          <w:tcPr>
            <w:tcW w:w="1559" w:type="dxa"/>
            <w:vAlign w:val="center"/>
          </w:tcPr>
          <w:p w14:paraId="0E01D22E">
            <w:pPr>
              <w:keepNext w:val="0"/>
              <w:keepLines w:val="0"/>
              <w:widowControl/>
              <w:suppressLineNumbers w:val="0"/>
              <w:jc w:val="center"/>
              <w:textAlignment w:val="center"/>
              <w:rPr>
                <w:color w:val="auto"/>
                <w:sz w:val="21"/>
                <w:szCs w:val="21"/>
                <w:highlight w:val="none"/>
                <w:u w:val="single"/>
              </w:rPr>
            </w:pPr>
            <w:r>
              <w:rPr>
                <w:rFonts w:hint="default" w:ascii="Times New Roman" w:hAnsi="Times New Roman" w:eastAsia="宋体" w:cs="Times New Roman"/>
                <w:i w:val="0"/>
                <w:iCs w:val="0"/>
                <w:color w:val="auto"/>
                <w:kern w:val="0"/>
                <w:sz w:val="21"/>
                <w:szCs w:val="21"/>
                <w:highlight w:val="none"/>
                <w:u w:val="single"/>
                <w:lang w:val="en-US" w:eastAsia="zh-CN" w:bidi="ar"/>
              </w:rPr>
              <w:t>0.0</w:t>
            </w:r>
            <w:r>
              <w:rPr>
                <w:rFonts w:hint="eastAsia" w:cs="Times New Roman"/>
                <w:i w:val="0"/>
                <w:iCs w:val="0"/>
                <w:color w:val="auto"/>
                <w:kern w:val="0"/>
                <w:sz w:val="21"/>
                <w:szCs w:val="21"/>
                <w:highlight w:val="none"/>
                <w:u w:val="single"/>
                <w:lang w:val="en-US" w:eastAsia="zh-CN" w:bidi="ar"/>
              </w:rPr>
              <w:t>1</w:t>
            </w:r>
            <w:r>
              <w:rPr>
                <w:rFonts w:hint="eastAsia"/>
                <w:color w:val="auto"/>
                <w:sz w:val="21"/>
                <w:szCs w:val="21"/>
                <w:highlight w:val="none"/>
                <w:u w:val="single"/>
                <w:lang w:val="en-US" w:eastAsia="zh-CN"/>
              </w:rPr>
              <w:t>t/a</w:t>
            </w:r>
          </w:p>
        </w:tc>
        <w:tc>
          <w:tcPr>
            <w:tcW w:w="1761" w:type="dxa"/>
            <w:vAlign w:val="center"/>
          </w:tcPr>
          <w:p w14:paraId="3EE70094">
            <w:pPr>
              <w:keepNext w:val="0"/>
              <w:keepLines w:val="0"/>
              <w:widowControl/>
              <w:suppressLineNumbers w:val="0"/>
              <w:jc w:val="center"/>
              <w:textAlignment w:val="center"/>
              <w:rPr>
                <w:rFonts w:ascii="Times New Roman"/>
                <w:snapToGrid w:val="0"/>
                <w:color w:val="auto"/>
                <w:kern w:val="21"/>
                <w:sz w:val="21"/>
                <w:szCs w:val="21"/>
                <w:highlight w:val="none"/>
                <w:u w:val="single"/>
              </w:rPr>
            </w:pPr>
          </w:p>
        </w:tc>
        <w:tc>
          <w:tcPr>
            <w:tcW w:w="1562" w:type="dxa"/>
            <w:vAlign w:val="center"/>
          </w:tcPr>
          <w:p w14:paraId="3EAF0841">
            <w:pPr>
              <w:keepNext w:val="0"/>
              <w:keepLines w:val="0"/>
              <w:widowControl/>
              <w:suppressLineNumbers w:val="0"/>
              <w:jc w:val="center"/>
              <w:textAlignment w:val="center"/>
              <w:rPr>
                <w:color w:val="auto"/>
                <w:sz w:val="21"/>
                <w:szCs w:val="21"/>
                <w:highlight w:val="none"/>
                <w:u w:val="single"/>
              </w:rPr>
            </w:pPr>
            <w:r>
              <w:rPr>
                <w:rFonts w:hint="default" w:ascii="Times New Roman" w:hAnsi="Times New Roman" w:eastAsia="宋体" w:cs="Times New Roman"/>
                <w:i w:val="0"/>
                <w:iCs w:val="0"/>
                <w:color w:val="auto"/>
                <w:kern w:val="0"/>
                <w:sz w:val="21"/>
                <w:szCs w:val="21"/>
                <w:highlight w:val="none"/>
                <w:u w:val="single"/>
                <w:lang w:val="en-US" w:eastAsia="zh-CN" w:bidi="ar"/>
              </w:rPr>
              <w:t>0.0</w:t>
            </w:r>
            <w:r>
              <w:rPr>
                <w:rFonts w:hint="eastAsia" w:cs="Times New Roman"/>
                <w:i w:val="0"/>
                <w:iCs w:val="0"/>
                <w:color w:val="auto"/>
                <w:kern w:val="0"/>
                <w:sz w:val="21"/>
                <w:szCs w:val="21"/>
                <w:highlight w:val="none"/>
                <w:u w:val="single"/>
                <w:lang w:val="en-US" w:eastAsia="zh-CN" w:bidi="ar"/>
              </w:rPr>
              <w:t>1</w:t>
            </w:r>
            <w:r>
              <w:rPr>
                <w:rFonts w:hint="eastAsia"/>
                <w:color w:val="auto"/>
                <w:sz w:val="21"/>
                <w:szCs w:val="21"/>
                <w:highlight w:val="none"/>
                <w:u w:val="single"/>
                <w:lang w:val="en-US" w:eastAsia="zh-CN"/>
              </w:rPr>
              <w:t>t/a</w:t>
            </w:r>
          </w:p>
        </w:tc>
        <w:tc>
          <w:tcPr>
            <w:tcW w:w="1223" w:type="dxa"/>
            <w:vAlign w:val="center"/>
          </w:tcPr>
          <w:p w14:paraId="2E12ABFB">
            <w:pPr>
              <w:keepNext w:val="0"/>
              <w:keepLines w:val="0"/>
              <w:widowControl/>
              <w:suppressLineNumbers w:val="0"/>
              <w:jc w:val="center"/>
              <w:textAlignment w:val="center"/>
              <w:rPr>
                <w:rFonts w:hint="default" w:eastAsia="宋体"/>
                <w:color w:val="auto"/>
                <w:sz w:val="21"/>
                <w:szCs w:val="21"/>
                <w:highlight w:val="none"/>
                <w:u w:val="single"/>
                <w:lang w:val="en-US" w:eastAsia="zh-CN"/>
              </w:rPr>
            </w:pPr>
            <w:r>
              <w:rPr>
                <w:rFonts w:hint="default" w:ascii="Times New Roman" w:hAnsi="Times New Roman" w:eastAsia="宋体" w:cs="Times New Roman"/>
                <w:i w:val="0"/>
                <w:iCs w:val="0"/>
                <w:color w:val="auto"/>
                <w:kern w:val="0"/>
                <w:sz w:val="21"/>
                <w:szCs w:val="21"/>
                <w:highlight w:val="none"/>
                <w:u w:val="single"/>
                <w:lang w:val="en-US" w:eastAsia="zh-CN" w:bidi="ar"/>
              </w:rPr>
              <w:t>0.0</w:t>
            </w:r>
            <w:r>
              <w:rPr>
                <w:rFonts w:hint="eastAsia" w:cs="Times New Roman"/>
                <w:i w:val="0"/>
                <w:iCs w:val="0"/>
                <w:color w:val="auto"/>
                <w:kern w:val="0"/>
                <w:sz w:val="21"/>
                <w:szCs w:val="21"/>
                <w:highlight w:val="none"/>
                <w:u w:val="single"/>
                <w:lang w:val="en-US" w:eastAsia="zh-CN" w:bidi="ar"/>
              </w:rPr>
              <w:t>1</w:t>
            </w:r>
            <w:r>
              <w:rPr>
                <w:rFonts w:hint="eastAsia"/>
                <w:color w:val="auto"/>
                <w:sz w:val="21"/>
                <w:szCs w:val="21"/>
                <w:highlight w:val="none"/>
                <w:u w:val="single"/>
                <w:lang w:val="en-US" w:eastAsia="zh-CN"/>
              </w:rPr>
              <w:t>t/a</w:t>
            </w:r>
          </w:p>
        </w:tc>
      </w:tr>
      <w:tr w14:paraId="01B9CB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1588" w:type="dxa"/>
            <w:vMerge w:val="continue"/>
            <w:vAlign w:val="center"/>
          </w:tcPr>
          <w:p w14:paraId="156D0F94">
            <w:pPr>
              <w:pStyle w:val="70"/>
              <w:spacing w:beforeLines="0" w:afterLines="0" w:line="240" w:lineRule="auto"/>
              <w:rPr>
                <w:rFonts w:ascii="Times New Roman"/>
                <w:snapToGrid w:val="0"/>
                <w:color w:val="auto"/>
                <w:kern w:val="21"/>
                <w:sz w:val="21"/>
                <w:szCs w:val="21"/>
                <w:highlight w:val="none"/>
                <w:u w:val="single"/>
              </w:rPr>
            </w:pPr>
          </w:p>
        </w:tc>
        <w:tc>
          <w:tcPr>
            <w:tcW w:w="1417" w:type="dxa"/>
            <w:vAlign w:val="center"/>
          </w:tcPr>
          <w:p w14:paraId="40272307">
            <w:pPr>
              <w:jc w:val="center"/>
              <w:rPr>
                <w:rFonts w:hint="eastAsia" w:ascii="Times New Roman" w:hAnsi="Times New Roman" w:eastAsia="宋体"/>
                <w:color w:val="auto"/>
                <w:sz w:val="21"/>
                <w:szCs w:val="21"/>
                <w:highlight w:val="none"/>
                <w:u w:val="single"/>
                <w:lang w:val="en-US" w:eastAsia="zh-CN"/>
              </w:rPr>
            </w:pPr>
            <w:r>
              <w:rPr>
                <w:rFonts w:hint="eastAsia"/>
                <w:color w:val="auto"/>
                <w:sz w:val="21"/>
                <w:szCs w:val="21"/>
                <w:highlight w:val="none"/>
                <w:u w:val="single"/>
                <w:lang w:val="en-US" w:eastAsia="zh-CN"/>
              </w:rPr>
              <w:t>废检测液</w:t>
            </w:r>
          </w:p>
        </w:tc>
        <w:tc>
          <w:tcPr>
            <w:tcW w:w="1701" w:type="dxa"/>
            <w:vAlign w:val="center"/>
          </w:tcPr>
          <w:p w14:paraId="05649874">
            <w:pPr>
              <w:keepNext w:val="0"/>
              <w:keepLines w:val="0"/>
              <w:widowControl/>
              <w:suppressLineNumbers w:val="0"/>
              <w:jc w:val="center"/>
              <w:textAlignment w:val="center"/>
              <w:rPr>
                <w:rFonts w:hint="default" w:ascii="Times New Roman" w:eastAsia="黑体"/>
                <w:snapToGrid w:val="0"/>
                <w:color w:val="auto"/>
                <w:kern w:val="21"/>
                <w:sz w:val="21"/>
                <w:szCs w:val="21"/>
                <w:highlight w:val="none"/>
                <w:u w:val="single"/>
                <w:lang w:val="en-US" w:eastAsia="zh-CN"/>
              </w:rPr>
            </w:pPr>
          </w:p>
        </w:tc>
        <w:tc>
          <w:tcPr>
            <w:tcW w:w="1276" w:type="dxa"/>
            <w:vAlign w:val="center"/>
          </w:tcPr>
          <w:p w14:paraId="3CE22E61">
            <w:pPr>
              <w:pStyle w:val="70"/>
              <w:spacing w:beforeLines="0" w:afterLines="0" w:line="240" w:lineRule="auto"/>
              <w:rPr>
                <w:rFonts w:hint="eastAsia" w:ascii="Times New Roman"/>
                <w:snapToGrid w:val="0"/>
                <w:color w:val="auto"/>
                <w:kern w:val="21"/>
                <w:sz w:val="21"/>
                <w:szCs w:val="21"/>
                <w:highlight w:val="none"/>
                <w:u w:val="single"/>
              </w:rPr>
            </w:pPr>
            <w:r>
              <w:rPr>
                <w:rFonts w:hint="eastAsia" w:ascii="Times New Roman"/>
                <w:snapToGrid w:val="0"/>
                <w:color w:val="auto"/>
                <w:kern w:val="21"/>
                <w:sz w:val="21"/>
                <w:szCs w:val="21"/>
                <w:highlight w:val="none"/>
                <w:u w:val="single"/>
              </w:rPr>
              <w:t>0</w:t>
            </w:r>
          </w:p>
        </w:tc>
        <w:tc>
          <w:tcPr>
            <w:tcW w:w="1701" w:type="dxa"/>
            <w:vAlign w:val="center"/>
          </w:tcPr>
          <w:p w14:paraId="5F576DD4">
            <w:pPr>
              <w:pStyle w:val="70"/>
              <w:spacing w:beforeLines="0" w:afterLines="0" w:line="240" w:lineRule="auto"/>
              <w:rPr>
                <w:rFonts w:ascii="Times New Roman"/>
                <w:snapToGrid w:val="0"/>
                <w:color w:val="auto"/>
                <w:kern w:val="21"/>
                <w:sz w:val="21"/>
                <w:szCs w:val="21"/>
                <w:highlight w:val="none"/>
                <w:u w:val="single"/>
              </w:rPr>
            </w:pPr>
            <w:r>
              <w:rPr>
                <w:rFonts w:ascii="Times New Roman"/>
                <w:snapToGrid w:val="0"/>
                <w:color w:val="auto"/>
                <w:kern w:val="21"/>
                <w:sz w:val="21"/>
                <w:szCs w:val="21"/>
                <w:highlight w:val="none"/>
                <w:u w:val="single"/>
              </w:rPr>
              <w:t>0</w:t>
            </w:r>
          </w:p>
        </w:tc>
        <w:tc>
          <w:tcPr>
            <w:tcW w:w="1559" w:type="dxa"/>
            <w:vAlign w:val="center"/>
          </w:tcPr>
          <w:p w14:paraId="4E7ECE5E">
            <w:pPr>
              <w:keepNext w:val="0"/>
              <w:keepLines w:val="0"/>
              <w:widowControl/>
              <w:suppressLineNumbers w:val="0"/>
              <w:jc w:val="center"/>
              <w:textAlignment w:val="center"/>
              <w:rPr>
                <w:rFonts w:hint="default"/>
                <w:color w:val="auto"/>
                <w:sz w:val="21"/>
                <w:szCs w:val="21"/>
                <w:highlight w:val="none"/>
                <w:u w:val="single"/>
                <w:lang w:val="en-US" w:eastAsia="zh-CN"/>
              </w:rPr>
            </w:pPr>
            <w:r>
              <w:rPr>
                <w:rFonts w:hint="default" w:ascii="Times New Roman" w:hAnsi="Times New Roman" w:eastAsia="宋体" w:cs="Times New Roman"/>
                <w:i w:val="0"/>
                <w:iCs w:val="0"/>
                <w:color w:val="auto"/>
                <w:kern w:val="0"/>
                <w:sz w:val="21"/>
                <w:szCs w:val="21"/>
                <w:highlight w:val="none"/>
                <w:u w:val="single"/>
                <w:lang w:val="en-US" w:eastAsia="zh-CN" w:bidi="ar"/>
              </w:rPr>
              <w:t>0.0</w:t>
            </w:r>
            <w:r>
              <w:rPr>
                <w:rFonts w:hint="eastAsia" w:cs="Times New Roman"/>
                <w:i w:val="0"/>
                <w:iCs w:val="0"/>
                <w:color w:val="auto"/>
                <w:kern w:val="0"/>
                <w:sz w:val="21"/>
                <w:szCs w:val="21"/>
                <w:highlight w:val="none"/>
                <w:u w:val="single"/>
                <w:lang w:val="en-US" w:eastAsia="zh-CN" w:bidi="ar"/>
              </w:rPr>
              <w:t>4</w:t>
            </w:r>
            <w:r>
              <w:rPr>
                <w:rFonts w:hint="eastAsia"/>
                <w:color w:val="auto"/>
                <w:sz w:val="21"/>
                <w:szCs w:val="21"/>
                <w:highlight w:val="none"/>
                <w:u w:val="single"/>
                <w:lang w:val="en-US" w:eastAsia="zh-CN"/>
              </w:rPr>
              <w:t>t/a</w:t>
            </w:r>
          </w:p>
        </w:tc>
        <w:tc>
          <w:tcPr>
            <w:tcW w:w="1761" w:type="dxa"/>
            <w:vAlign w:val="center"/>
          </w:tcPr>
          <w:p w14:paraId="0B753A9E">
            <w:pPr>
              <w:keepNext w:val="0"/>
              <w:keepLines w:val="0"/>
              <w:widowControl/>
              <w:suppressLineNumbers w:val="0"/>
              <w:jc w:val="center"/>
              <w:textAlignment w:val="center"/>
              <w:rPr>
                <w:rFonts w:hint="eastAsia" w:ascii="Times New Roman"/>
                <w:snapToGrid w:val="0"/>
                <w:color w:val="auto"/>
                <w:kern w:val="21"/>
                <w:sz w:val="21"/>
                <w:szCs w:val="21"/>
                <w:highlight w:val="none"/>
                <w:u w:val="single"/>
              </w:rPr>
            </w:pPr>
          </w:p>
        </w:tc>
        <w:tc>
          <w:tcPr>
            <w:tcW w:w="1562" w:type="dxa"/>
            <w:vAlign w:val="center"/>
          </w:tcPr>
          <w:p w14:paraId="3C7C64CE">
            <w:pPr>
              <w:keepNext w:val="0"/>
              <w:keepLines w:val="0"/>
              <w:widowControl/>
              <w:suppressLineNumbers w:val="0"/>
              <w:jc w:val="center"/>
              <w:textAlignment w:val="center"/>
              <w:rPr>
                <w:rFonts w:hint="eastAsia"/>
                <w:color w:val="auto"/>
                <w:sz w:val="21"/>
                <w:szCs w:val="21"/>
                <w:highlight w:val="none"/>
                <w:u w:val="single"/>
                <w:lang w:val="en-US" w:eastAsia="zh-CN"/>
              </w:rPr>
            </w:pPr>
            <w:r>
              <w:rPr>
                <w:rFonts w:hint="default" w:ascii="Times New Roman" w:hAnsi="Times New Roman" w:eastAsia="宋体" w:cs="Times New Roman"/>
                <w:i w:val="0"/>
                <w:iCs w:val="0"/>
                <w:color w:val="auto"/>
                <w:kern w:val="0"/>
                <w:sz w:val="21"/>
                <w:szCs w:val="21"/>
                <w:highlight w:val="none"/>
                <w:u w:val="single"/>
                <w:lang w:val="en-US" w:eastAsia="zh-CN" w:bidi="ar"/>
              </w:rPr>
              <w:t>0.0</w:t>
            </w:r>
            <w:r>
              <w:rPr>
                <w:rFonts w:hint="eastAsia" w:cs="Times New Roman"/>
                <w:i w:val="0"/>
                <w:iCs w:val="0"/>
                <w:color w:val="auto"/>
                <w:kern w:val="0"/>
                <w:sz w:val="21"/>
                <w:szCs w:val="21"/>
                <w:highlight w:val="none"/>
                <w:u w:val="single"/>
                <w:lang w:val="en-US" w:eastAsia="zh-CN" w:bidi="ar"/>
              </w:rPr>
              <w:t>4</w:t>
            </w:r>
            <w:r>
              <w:rPr>
                <w:rFonts w:hint="eastAsia"/>
                <w:color w:val="auto"/>
                <w:sz w:val="21"/>
                <w:szCs w:val="21"/>
                <w:highlight w:val="none"/>
                <w:u w:val="single"/>
                <w:lang w:val="en-US" w:eastAsia="zh-CN"/>
              </w:rPr>
              <w:t>t/a</w:t>
            </w:r>
          </w:p>
        </w:tc>
        <w:tc>
          <w:tcPr>
            <w:tcW w:w="1223" w:type="dxa"/>
            <w:vAlign w:val="center"/>
          </w:tcPr>
          <w:p w14:paraId="2CCF266F">
            <w:pPr>
              <w:keepNext w:val="0"/>
              <w:keepLines w:val="0"/>
              <w:widowControl/>
              <w:suppressLineNumbers w:val="0"/>
              <w:jc w:val="center"/>
              <w:textAlignment w:val="center"/>
              <w:rPr>
                <w:rFonts w:hint="default"/>
                <w:color w:val="auto"/>
                <w:sz w:val="21"/>
                <w:szCs w:val="21"/>
                <w:highlight w:val="none"/>
                <w:u w:val="single"/>
                <w:lang w:val="en-US" w:eastAsia="zh-CN"/>
              </w:rPr>
            </w:pPr>
            <w:r>
              <w:rPr>
                <w:rFonts w:hint="default" w:ascii="Times New Roman" w:hAnsi="Times New Roman" w:eastAsia="宋体" w:cs="Times New Roman"/>
                <w:i w:val="0"/>
                <w:iCs w:val="0"/>
                <w:color w:val="auto"/>
                <w:kern w:val="0"/>
                <w:sz w:val="21"/>
                <w:szCs w:val="21"/>
                <w:highlight w:val="none"/>
                <w:u w:val="single"/>
                <w:lang w:val="en-US" w:eastAsia="zh-CN" w:bidi="ar"/>
              </w:rPr>
              <w:t>0.0</w:t>
            </w:r>
            <w:r>
              <w:rPr>
                <w:rFonts w:hint="eastAsia" w:cs="Times New Roman"/>
                <w:i w:val="0"/>
                <w:iCs w:val="0"/>
                <w:color w:val="auto"/>
                <w:kern w:val="0"/>
                <w:sz w:val="21"/>
                <w:szCs w:val="21"/>
                <w:highlight w:val="none"/>
                <w:u w:val="single"/>
                <w:lang w:val="en-US" w:eastAsia="zh-CN" w:bidi="ar"/>
              </w:rPr>
              <w:t>4</w:t>
            </w:r>
            <w:r>
              <w:rPr>
                <w:rFonts w:hint="eastAsia"/>
                <w:color w:val="auto"/>
                <w:sz w:val="21"/>
                <w:szCs w:val="21"/>
                <w:highlight w:val="none"/>
                <w:u w:val="single"/>
                <w:lang w:val="en-US" w:eastAsia="zh-CN"/>
              </w:rPr>
              <w:t>t/a</w:t>
            </w:r>
          </w:p>
        </w:tc>
      </w:tr>
      <w:tr w14:paraId="142B12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1588" w:type="dxa"/>
            <w:vMerge w:val="continue"/>
            <w:vAlign w:val="center"/>
          </w:tcPr>
          <w:p w14:paraId="2E8D09C1">
            <w:pPr>
              <w:pStyle w:val="70"/>
              <w:spacing w:beforeLines="0" w:afterLines="0" w:line="240" w:lineRule="auto"/>
              <w:rPr>
                <w:rFonts w:ascii="Times New Roman"/>
                <w:snapToGrid w:val="0"/>
                <w:color w:val="auto"/>
                <w:kern w:val="21"/>
                <w:sz w:val="21"/>
                <w:szCs w:val="21"/>
                <w:highlight w:val="none"/>
                <w:u w:val="single"/>
              </w:rPr>
            </w:pPr>
          </w:p>
        </w:tc>
        <w:tc>
          <w:tcPr>
            <w:tcW w:w="1417" w:type="dxa"/>
            <w:vAlign w:val="center"/>
          </w:tcPr>
          <w:p w14:paraId="2E9531D2">
            <w:pPr>
              <w:jc w:val="center"/>
              <w:rPr>
                <w:rFonts w:hint="eastAsia"/>
                <w:color w:val="auto"/>
                <w:sz w:val="21"/>
                <w:szCs w:val="21"/>
                <w:highlight w:val="none"/>
                <w:u w:val="single"/>
                <w:lang w:val="en-US" w:eastAsia="zh-CN"/>
              </w:rPr>
            </w:pPr>
            <w:r>
              <w:rPr>
                <w:rFonts w:hint="eastAsia"/>
                <w:color w:val="auto"/>
                <w:sz w:val="21"/>
                <w:szCs w:val="21"/>
                <w:highlight w:val="none"/>
                <w:u w:val="single"/>
                <w:lang w:val="en-US" w:eastAsia="zh-CN"/>
              </w:rPr>
              <w:t>废试剂瓶</w:t>
            </w:r>
          </w:p>
        </w:tc>
        <w:tc>
          <w:tcPr>
            <w:tcW w:w="1701" w:type="dxa"/>
            <w:vAlign w:val="center"/>
          </w:tcPr>
          <w:p w14:paraId="06A8661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single"/>
                <w:lang w:val="en-US" w:eastAsia="zh-CN" w:bidi="ar"/>
              </w:rPr>
            </w:pPr>
          </w:p>
        </w:tc>
        <w:tc>
          <w:tcPr>
            <w:tcW w:w="1276" w:type="dxa"/>
            <w:vAlign w:val="center"/>
          </w:tcPr>
          <w:p w14:paraId="7F59D99B">
            <w:pPr>
              <w:pStyle w:val="70"/>
              <w:spacing w:beforeLines="0" w:afterLines="0" w:line="240" w:lineRule="auto"/>
              <w:rPr>
                <w:rFonts w:hint="eastAsia" w:ascii="Times New Roman" w:eastAsia="黑体"/>
                <w:snapToGrid w:val="0"/>
                <w:color w:val="auto"/>
                <w:kern w:val="21"/>
                <w:sz w:val="21"/>
                <w:szCs w:val="21"/>
                <w:highlight w:val="none"/>
                <w:u w:val="single"/>
                <w:lang w:val="en-US" w:eastAsia="zh-CN"/>
              </w:rPr>
            </w:pPr>
            <w:r>
              <w:rPr>
                <w:rFonts w:hint="eastAsia" w:ascii="Times New Roman"/>
                <w:snapToGrid w:val="0"/>
                <w:color w:val="auto"/>
                <w:kern w:val="21"/>
                <w:sz w:val="21"/>
                <w:szCs w:val="21"/>
                <w:highlight w:val="none"/>
                <w:u w:val="single"/>
                <w:lang w:val="en-US" w:eastAsia="zh-CN"/>
              </w:rPr>
              <w:t>0</w:t>
            </w:r>
          </w:p>
        </w:tc>
        <w:tc>
          <w:tcPr>
            <w:tcW w:w="1701" w:type="dxa"/>
            <w:vAlign w:val="center"/>
          </w:tcPr>
          <w:p w14:paraId="3C103648">
            <w:pPr>
              <w:pStyle w:val="70"/>
              <w:spacing w:beforeLines="0" w:afterLines="0" w:line="240" w:lineRule="auto"/>
              <w:rPr>
                <w:rFonts w:hint="eastAsia" w:ascii="Times New Roman" w:eastAsia="黑体"/>
                <w:snapToGrid w:val="0"/>
                <w:color w:val="auto"/>
                <w:kern w:val="21"/>
                <w:sz w:val="21"/>
                <w:szCs w:val="21"/>
                <w:highlight w:val="none"/>
                <w:u w:val="single"/>
                <w:lang w:val="en-US" w:eastAsia="zh-CN"/>
              </w:rPr>
            </w:pPr>
            <w:r>
              <w:rPr>
                <w:rFonts w:hint="eastAsia" w:ascii="Times New Roman"/>
                <w:snapToGrid w:val="0"/>
                <w:color w:val="auto"/>
                <w:kern w:val="21"/>
                <w:sz w:val="21"/>
                <w:szCs w:val="21"/>
                <w:highlight w:val="none"/>
                <w:u w:val="single"/>
                <w:lang w:val="en-US" w:eastAsia="zh-CN"/>
              </w:rPr>
              <w:t>0</w:t>
            </w:r>
          </w:p>
        </w:tc>
        <w:tc>
          <w:tcPr>
            <w:tcW w:w="1559" w:type="dxa"/>
            <w:vAlign w:val="center"/>
          </w:tcPr>
          <w:p w14:paraId="0545256E">
            <w:pPr>
              <w:keepNext w:val="0"/>
              <w:keepLines w:val="0"/>
              <w:widowControl/>
              <w:suppressLineNumbers w:val="0"/>
              <w:jc w:val="center"/>
              <w:textAlignment w:val="center"/>
              <w:rPr>
                <w:rFonts w:hint="default"/>
                <w:color w:val="auto"/>
                <w:sz w:val="21"/>
                <w:szCs w:val="21"/>
                <w:highlight w:val="none"/>
                <w:u w:val="single"/>
                <w:lang w:val="en-US" w:eastAsia="zh-CN"/>
              </w:rPr>
            </w:pPr>
            <w:r>
              <w:rPr>
                <w:rFonts w:hint="eastAsia" w:cs="Times New Roman"/>
                <w:i w:val="0"/>
                <w:iCs w:val="0"/>
                <w:color w:val="auto"/>
                <w:kern w:val="0"/>
                <w:sz w:val="21"/>
                <w:szCs w:val="21"/>
                <w:highlight w:val="none"/>
                <w:u w:val="single"/>
                <w:lang w:val="en-US" w:eastAsia="zh-CN" w:bidi="ar"/>
              </w:rPr>
              <w:t>0.01</w:t>
            </w:r>
            <w:r>
              <w:rPr>
                <w:rFonts w:hint="eastAsia"/>
                <w:color w:val="auto"/>
                <w:sz w:val="21"/>
                <w:szCs w:val="21"/>
                <w:highlight w:val="none"/>
                <w:u w:val="single"/>
                <w:lang w:val="en-US" w:eastAsia="zh-CN"/>
              </w:rPr>
              <w:t>t/a</w:t>
            </w:r>
          </w:p>
        </w:tc>
        <w:tc>
          <w:tcPr>
            <w:tcW w:w="1761" w:type="dxa"/>
            <w:vAlign w:val="center"/>
          </w:tcPr>
          <w:p w14:paraId="6FD62B9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single"/>
                <w:lang w:val="en-US" w:eastAsia="zh-CN" w:bidi="ar"/>
              </w:rPr>
            </w:pPr>
          </w:p>
        </w:tc>
        <w:tc>
          <w:tcPr>
            <w:tcW w:w="1562" w:type="dxa"/>
            <w:vAlign w:val="center"/>
          </w:tcPr>
          <w:p w14:paraId="526F7586">
            <w:pPr>
              <w:keepNext w:val="0"/>
              <w:keepLines w:val="0"/>
              <w:widowControl/>
              <w:suppressLineNumbers w:val="0"/>
              <w:jc w:val="center"/>
              <w:textAlignment w:val="center"/>
              <w:rPr>
                <w:rFonts w:hint="default"/>
                <w:color w:val="auto"/>
                <w:sz w:val="21"/>
                <w:szCs w:val="21"/>
                <w:highlight w:val="none"/>
                <w:u w:val="single"/>
                <w:lang w:val="en-US" w:eastAsia="zh-CN"/>
              </w:rPr>
            </w:pPr>
            <w:r>
              <w:rPr>
                <w:rFonts w:hint="eastAsia" w:cs="Times New Roman"/>
                <w:i w:val="0"/>
                <w:iCs w:val="0"/>
                <w:color w:val="auto"/>
                <w:kern w:val="0"/>
                <w:sz w:val="21"/>
                <w:szCs w:val="21"/>
                <w:highlight w:val="none"/>
                <w:u w:val="single"/>
                <w:lang w:val="en-US" w:eastAsia="zh-CN" w:bidi="ar"/>
              </w:rPr>
              <w:t>0.01</w:t>
            </w:r>
            <w:r>
              <w:rPr>
                <w:rFonts w:hint="eastAsia"/>
                <w:color w:val="auto"/>
                <w:sz w:val="21"/>
                <w:szCs w:val="21"/>
                <w:highlight w:val="none"/>
                <w:u w:val="single"/>
                <w:lang w:val="en-US" w:eastAsia="zh-CN"/>
              </w:rPr>
              <w:t>t/a</w:t>
            </w:r>
          </w:p>
        </w:tc>
        <w:tc>
          <w:tcPr>
            <w:tcW w:w="1223" w:type="dxa"/>
            <w:vAlign w:val="center"/>
          </w:tcPr>
          <w:p w14:paraId="31CBB4B4">
            <w:pPr>
              <w:keepNext w:val="0"/>
              <w:keepLines w:val="0"/>
              <w:widowControl/>
              <w:suppressLineNumbers w:val="0"/>
              <w:jc w:val="center"/>
              <w:textAlignment w:val="center"/>
              <w:rPr>
                <w:rFonts w:hint="default" w:ascii="Times New Roman" w:hAnsi="Times New Roman" w:cs="Times New Roman"/>
                <w:color w:val="auto"/>
                <w:sz w:val="21"/>
                <w:szCs w:val="21"/>
                <w:highlight w:val="none"/>
                <w:u w:val="single"/>
                <w:lang w:val="en-US" w:eastAsia="zh-CN"/>
              </w:rPr>
            </w:pPr>
            <w:r>
              <w:rPr>
                <w:rFonts w:hint="eastAsia" w:cs="Times New Roman"/>
                <w:i w:val="0"/>
                <w:iCs w:val="0"/>
                <w:color w:val="auto"/>
                <w:kern w:val="0"/>
                <w:sz w:val="21"/>
                <w:szCs w:val="21"/>
                <w:highlight w:val="none"/>
                <w:u w:val="single"/>
                <w:lang w:val="en-US" w:eastAsia="zh-CN" w:bidi="ar"/>
              </w:rPr>
              <w:t>0.01</w:t>
            </w:r>
            <w:r>
              <w:rPr>
                <w:rFonts w:hint="eastAsia"/>
                <w:color w:val="auto"/>
                <w:sz w:val="21"/>
                <w:szCs w:val="21"/>
                <w:highlight w:val="none"/>
                <w:u w:val="single"/>
                <w:lang w:val="en-US" w:eastAsia="zh-CN"/>
              </w:rPr>
              <w:t>t/a</w:t>
            </w:r>
          </w:p>
        </w:tc>
      </w:tr>
      <w:tr w14:paraId="052997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1588" w:type="dxa"/>
            <w:vMerge w:val="continue"/>
            <w:vAlign w:val="center"/>
          </w:tcPr>
          <w:p w14:paraId="2DBE80E1">
            <w:pPr>
              <w:pStyle w:val="70"/>
              <w:spacing w:beforeLines="0" w:afterLines="0" w:line="240" w:lineRule="auto"/>
              <w:rPr>
                <w:rFonts w:ascii="Times New Roman"/>
                <w:snapToGrid w:val="0"/>
                <w:color w:val="auto"/>
                <w:kern w:val="21"/>
                <w:sz w:val="21"/>
                <w:szCs w:val="21"/>
                <w:highlight w:val="none"/>
                <w:u w:val="single"/>
              </w:rPr>
            </w:pPr>
          </w:p>
        </w:tc>
        <w:tc>
          <w:tcPr>
            <w:tcW w:w="1417" w:type="dxa"/>
            <w:vAlign w:val="center"/>
          </w:tcPr>
          <w:p w14:paraId="31D79282">
            <w:pPr>
              <w:jc w:val="center"/>
              <w:rPr>
                <w:rFonts w:hint="eastAsia" w:ascii="Times New Roman" w:hAnsi="Times New Roman" w:eastAsia="宋体"/>
                <w:color w:val="auto"/>
                <w:sz w:val="21"/>
                <w:szCs w:val="21"/>
                <w:highlight w:val="none"/>
                <w:u w:val="single"/>
                <w:lang w:val="en-US" w:eastAsia="zh-CN"/>
              </w:rPr>
            </w:pPr>
            <w:r>
              <w:rPr>
                <w:rFonts w:hint="eastAsia"/>
                <w:color w:val="auto"/>
                <w:sz w:val="21"/>
                <w:szCs w:val="21"/>
                <w:highlight w:val="none"/>
                <w:u w:val="single"/>
                <w:lang w:val="en-US" w:eastAsia="zh-CN"/>
              </w:rPr>
              <w:t>废化学品包装袋</w:t>
            </w:r>
          </w:p>
        </w:tc>
        <w:tc>
          <w:tcPr>
            <w:tcW w:w="1701" w:type="dxa"/>
            <w:vAlign w:val="center"/>
          </w:tcPr>
          <w:p w14:paraId="1927A4E4">
            <w:pPr>
              <w:keepNext w:val="0"/>
              <w:keepLines w:val="0"/>
              <w:widowControl/>
              <w:suppressLineNumbers w:val="0"/>
              <w:jc w:val="center"/>
              <w:textAlignment w:val="center"/>
              <w:rPr>
                <w:rFonts w:hint="default" w:ascii="Times New Roman" w:eastAsia="黑体"/>
                <w:snapToGrid w:val="0"/>
                <w:color w:val="auto"/>
                <w:kern w:val="21"/>
                <w:sz w:val="21"/>
                <w:szCs w:val="21"/>
                <w:highlight w:val="none"/>
                <w:u w:val="single"/>
                <w:lang w:val="en-US" w:eastAsia="zh-CN"/>
              </w:rPr>
            </w:pPr>
          </w:p>
        </w:tc>
        <w:tc>
          <w:tcPr>
            <w:tcW w:w="1276" w:type="dxa"/>
            <w:vAlign w:val="center"/>
          </w:tcPr>
          <w:p w14:paraId="1C54FE9E">
            <w:pPr>
              <w:pStyle w:val="70"/>
              <w:spacing w:beforeLines="0" w:afterLines="0" w:line="240" w:lineRule="auto"/>
              <w:rPr>
                <w:rFonts w:hint="eastAsia" w:ascii="Times New Roman"/>
                <w:snapToGrid w:val="0"/>
                <w:color w:val="auto"/>
                <w:kern w:val="21"/>
                <w:sz w:val="21"/>
                <w:szCs w:val="21"/>
                <w:highlight w:val="none"/>
                <w:u w:val="single"/>
              </w:rPr>
            </w:pPr>
            <w:r>
              <w:rPr>
                <w:rFonts w:hint="eastAsia" w:ascii="Times New Roman"/>
                <w:snapToGrid w:val="0"/>
                <w:color w:val="auto"/>
                <w:kern w:val="21"/>
                <w:sz w:val="21"/>
                <w:szCs w:val="21"/>
                <w:highlight w:val="none"/>
                <w:u w:val="single"/>
              </w:rPr>
              <w:t>0</w:t>
            </w:r>
          </w:p>
        </w:tc>
        <w:tc>
          <w:tcPr>
            <w:tcW w:w="1701" w:type="dxa"/>
            <w:vAlign w:val="center"/>
          </w:tcPr>
          <w:p w14:paraId="60E679EA">
            <w:pPr>
              <w:pStyle w:val="70"/>
              <w:spacing w:beforeLines="0" w:afterLines="0" w:line="240" w:lineRule="auto"/>
              <w:rPr>
                <w:rFonts w:ascii="Times New Roman"/>
                <w:snapToGrid w:val="0"/>
                <w:color w:val="auto"/>
                <w:kern w:val="21"/>
                <w:sz w:val="21"/>
                <w:szCs w:val="21"/>
                <w:highlight w:val="none"/>
                <w:u w:val="single"/>
              </w:rPr>
            </w:pPr>
            <w:r>
              <w:rPr>
                <w:rFonts w:ascii="Times New Roman"/>
                <w:snapToGrid w:val="0"/>
                <w:color w:val="auto"/>
                <w:kern w:val="21"/>
                <w:sz w:val="21"/>
                <w:szCs w:val="21"/>
                <w:highlight w:val="none"/>
                <w:u w:val="single"/>
              </w:rPr>
              <w:t>0</w:t>
            </w:r>
          </w:p>
        </w:tc>
        <w:tc>
          <w:tcPr>
            <w:tcW w:w="1559" w:type="dxa"/>
            <w:vAlign w:val="center"/>
          </w:tcPr>
          <w:p w14:paraId="1991D2EA">
            <w:pPr>
              <w:keepNext w:val="0"/>
              <w:keepLines w:val="0"/>
              <w:widowControl/>
              <w:suppressLineNumbers w:val="0"/>
              <w:jc w:val="center"/>
              <w:textAlignment w:val="center"/>
              <w:rPr>
                <w:rFonts w:hint="default"/>
                <w:color w:val="auto"/>
                <w:sz w:val="21"/>
                <w:szCs w:val="21"/>
                <w:highlight w:val="none"/>
                <w:u w:val="single"/>
                <w:lang w:val="en-US" w:eastAsia="zh-CN"/>
              </w:rPr>
            </w:pPr>
            <w:r>
              <w:rPr>
                <w:rFonts w:hint="default" w:ascii="Times New Roman" w:hAnsi="Times New Roman" w:eastAsia="宋体" w:cs="Times New Roman"/>
                <w:i w:val="0"/>
                <w:iCs w:val="0"/>
                <w:color w:val="auto"/>
                <w:kern w:val="0"/>
                <w:sz w:val="21"/>
                <w:szCs w:val="21"/>
                <w:highlight w:val="none"/>
                <w:u w:val="single"/>
                <w:lang w:val="en-US" w:eastAsia="zh-CN" w:bidi="ar"/>
              </w:rPr>
              <w:t>0.01</w:t>
            </w:r>
            <w:r>
              <w:rPr>
                <w:rFonts w:hint="eastAsia"/>
                <w:color w:val="auto"/>
                <w:sz w:val="21"/>
                <w:szCs w:val="21"/>
                <w:highlight w:val="none"/>
                <w:u w:val="single"/>
                <w:lang w:val="en-US" w:eastAsia="zh-CN"/>
              </w:rPr>
              <w:t>t/a</w:t>
            </w:r>
          </w:p>
        </w:tc>
        <w:tc>
          <w:tcPr>
            <w:tcW w:w="1761" w:type="dxa"/>
            <w:vAlign w:val="center"/>
          </w:tcPr>
          <w:p w14:paraId="32F30DF6">
            <w:pPr>
              <w:keepNext w:val="0"/>
              <w:keepLines w:val="0"/>
              <w:widowControl/>
              <w:suppressLineNumbers w:val="0"/>
              <w:jc w:val="center"/>
              <w:textAlignment w:val="center"/>
              <w:rPr>
                <w:rFonts w:hint="eastAsia" w:ascii="Times New Roman"/>
                <w:snapToGrid w:val="0"/>
                <w:color w:val="auto"/>
                <w:kern w:val="21"/>
                <w:sz w:val="21"/>
                <w:szCs w:val="21"/>
                <w:highlight w:val="none"/>
                <w:u w:val="single"/>
              </w:rPr>
            </w:pPr>
          </w:p>
        </w:tc>
        <w:tc>
          <w:tcPr>
            <w:tcW w:w="1562" w:type="dxa"/>
            <w:vAlign w:val="center"/>
          </w:tcPr>
          <w:p w14:paraId="4A25026C">
            <w:pPr>
              <w:keepNext w:val="0"/>
              <w:keepLines w:val="0"/>
              <w:widowControl/>
              <w:suppressLineNumbers w:val="0"/>
              <w:jc w:val="center"/>
              <w:textAlignment w:val="center"/>
              <w:rPr>
                <w:rFonts w:hint="eastAsia"/>
                <w:color w:val="auto"/>
                <w:sz w:val="21"/>
                <w:szCs w:val="21"/>
                <w:highlight w:val="none"/>
                <w:u w:val="single"/>
                <w:lang w:val="en-US" w:eastAsia="zh-CN"/>
              </w:rPr>
            </w:pPr>
            <w:r>
              <w:rPr>
                <w:rFonts w:hint="default" w:ascii="Times New Roman" w:hAnsi="Times New Roman" w:eastAsia="宋体" w:cs="Times New Roman"/>
                <w:i w:val="0"/>
                <w:iCs w:val="0"/>
                <w:color w:val="auto"/>
                <w:kern w:val="0"/>
                <w:sz w:val="21"/>
                <w:szCs w:val="21"/>
                <w:highlight w:val="none"/>
                <w:u w:val="single"/>
                <w:lang w:val="en-US" w:eastAsia="zh-CN" w:bidi="ar"/>
              </w:rPr>
              <w:t>0.01</w:t>
            </w:r>
            <w:r>
              <w:rPr>
                <w:rFonts w:hint="eastAsia"/>
                <w:color w:val="auto"/>
                <w:sz w:val="21"/>
                <w:szCs w:val="21"/>
                <w:highlight w:val="none"/>
                <w:u w:val="single"/>
                <w:lang w:val="en-US" w:eastAsia="zh-CN"/>
              </w:rPr>
              <w:t>t/a</w:t>
            </w:r>
          </w:p>
        </w:tc>
        <w:tc>
          <w:tcPr>
            <w:tcW w:w="1223" w:type="dxa"/>
            <w:vAlign w:val="center"/>
          </w:tcPr>
          <w:p w14:paraId="5CD8B939">
            <w:pPr>
              <w:keepNext w:val="0"/>
              <w:keepLines w:val="0"/>
              <w:widowControl/>
              <w:suppressLineNumbers w:val="0"/>
              <w:jc w:val="center"/>
              <w:textAlignment w:val="center"/>
              <w:rPr>
                <w:rFonts w:hint="default"/>
                <w:color w:val="auto"/>
                <w:sz w:val="21"/>
                <w:szCs w:val="21"/>
                <w:highlight w:val="none"/>
                <w:u w:val="single"/>
                <w:lang w:val="en-US" w:eastAsia="zh-CN"/>
              </w:rPr>
            </w:pPr>
            <w:r>
              <w:rPr>
                <w:rFonts w:hint="default" w:ascii="Times New Roman" w:hAnsi="Times New Roman" w:eastAsia="宋体" w:cs="Times New Roman"/>
                <w:i w:val="0"/>
                <w:iCs w:val="0"/>
                <w:color w:val="auto"/>
                <w:kern w:val="0"/>
                <w:sz w:val="21"/>
                <w:szCs w:val="21"/>
                <w:highlight w:val="none"/>
                <w:u w:val="single"/>
                <w:lang w:val="en-US" w:eastAsia="zh-CN" w:bidi="ar"/>
              </w:rPr>
              <w:t>0.01</w:t>
            </w:r>
            <w:r>
              <w:rPr>
                <w:rFonts w:hint="eastAsia"/>
                <w:color w:val="auto"/>
                <w:sz w:val="21"/>
                <w:szCs w:val="21"/>
                <w:highlight w:val="none"/>
                <w:u w:val="single"/>
                <w:lang w:val="en-US" w:eastAsia="zh-CN"/>
              </w:rPr>
              <w:t>t/a</w:t>
            </w:r>
          </w:p>
        </w:tc>
      </w:tr>
      <w:tr w14:paraId="28C7FD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3" w:hRule="atLeast"/>
        </w:trPr>
        <w:tc>
          <w:tcPr>
            <w:tcW w:w="1588" w:type="dxa"/>
            <w:vMerge w:val="continue"/>
            <w:vAlign w:val="center"/>
          </w:tcPr>
          <w:p w14:paraId="5696446E">
            <w:pPr>
              <w:pStyle w:val="70"/>
              <w:spacing w:beforeLines="0" w:afterLines="0" w:line="240" w:lineRule="auto"/>
              <w:rPr>
                <w:rFonts w:ascii="Times New Roman"/>
                <w:snapToGrid w:val="0"/>
                <w:color w:val="auto"/>
                <w:kern w:val="21"/>
                <w:sz w:val="21"/>
                <w:szCs w:val="21"/>
                <w:highlight w:val="none"/>
                <w:u w:val="single"/>
              </w:rPr>
            </w:pPr>
          </w:p>
        </w:tc>
        <w:tc>
          <w:tcPr>
            <w:tcW w:w="1417" w:type="dxa"/>
            <w:vAlign w:val="center"/>
          </w:tcPr>
          <w:p w14:paraId="23F3368C">
            <w:pPr>
              <w:jc w:val="center"/>
              <w:rPr>
                <w:rFonts w:hint="eastAsia"/>
                <w:color w:val="auto"/>
                <w:sz w:val="21"/>
                <w:szCs w:val="21"/>
                <w:highlight w:val="none"/>
                <w:u w:val="single"/>
                <w:lang w:val="en-US" w:eastAsia="zh-CN"/>
              </w:rPr>
            </w:pPr>
            <w:r>
              <w:rPr>
                <w:rFonts w:hint="eastAsia"/>
                <w:color w:val="auto"/>
                <w:sz w:val="21"/>
                <w:szCs w:val="21"/>
                <w:highlight w:val="none"/>
                <w:u w:val="single"/>
                <w:lang w:val="en-US" w:eastAsia="zh-CN"/>
              </w:rPr>
              <w:t>化验废液</w:t>
            </w:r>
          </w:p>
        </w:tc>
        <w:tc>
          <w:tcPr>
            <w:tcW w:w="1701" w:type="dxa"/>
            <w:vAlign w:val="center"/>
          </w:tcPr>
          <w:p w14:paraId="6EED1F4D">
            <w:pPr>
              <w:keepNext w:val="0"/>
              <w:keepLines w:val="0"/>
              <w:widowControl/>
              <w:suppressLineNumbers w:val="0"/>
              <w:jc w:val="center"/>
              <w:textAlignment w:val="center"/>
              <w:rPr>
                <w:rFonts w:hint="default" w:ascii="Times New Roman" w:eastAsia="黑体"/>
                <w:snapToGrid w:val="0"/>
                <w:color w:val="auto"/>
                <w:kern w:val="21"/>
                <w:sz w:val="21"/>
                <w:szCs w:val="21"/>
                <w:highlight w:val="none"/>
                <w:u w:val="single"/>
                <w:lang w:val="en-US" w:eastAsia="zh-CN"/>
              </w:rPr>
            </w:pPr>
          </w:p>
        </w:tc>
        <w:tc>
          <w:tcPr>
            <w:tcW w:w="1276" w:type="dxa"/>
            <w:vAlign w:val="center"/>
          </w:tcPr>
          <w:p w14:paraId="0FDA3B10">
            <w:pPr>
              <w:pStyle w:val="70"/>
              <w:spacing w:beforeLines="0" w:afterLines="0" w:line="240" w:lineRule="auto"/>
              <w:rPr>
                <w:rFonts w:hint="eastAsia" w:ascii="Times New Roman" w:eastAsia="黑体"/>
                <w:snapToGrid w:val="0"/>
                <w:color w:val="auto"/>
                <w:kern w:val="21"/>
                <w:sz w:val="21"/>
                <w:szCs w:val="21"/>
                <w:highlight w:val="none"/>
                <w:u w:val="single"/>
                <w:lang w:val="en-US" w:eastAsia="zh-CN"/>
              </w:rPr>
            </w:pPr>
            <w:r>
              <w:rPr>
                <w:rFonts w:hint="eastAsia" w:ascii="Times New Roman"/>
                <w:snapToGrid w:val="0"/>
                <w:color w:val="auto"/>
                <w:kern w:val="21"/>
                <w:sz w:val="21"/>
                <w:szCs w:val="21"/>
                <w:highlight w:val="none"/>
                <w:u w:val="single"/>
                <w:lang w:val="en-US" w:eastAsia="zh-CN"/>
              </w:rPr>
              <w:t>0</w:t>
            </w:r>
          </w:p>
        </w:tc>
        <w:tc>
          <w:tcPr>
            <w:tcW w:w="1701" w:type="dxa"/>
            <w:vAlign w:val="center"/>
          </w:tcPr>
          <w:p w14:paraId="31F26492">
            <w:pPr>
              <w:pStyle w:val="70"/>
              <w:spacing w:beforeLines="0" w:afterLines="0" w:line="240" w:lineRule="auto"/>
              <w:rPr>
                <w:rFonts w:hint="eastAsia" w:ascii="Times New Roman" w:eastAsia="黑体"/>
                <w:snapToGrid w:val="0"/>
                <w:color w:val="auto"/>
                <w:kern w:val="21"/>
                <w:sz w:val="21"/>
                <w:szCs w:val="21"/>
                <w:highlight w:val="none"/>
                <w:u w:val="single"/>
                <w:lang w:val="en-US" w:eastAsia="zh-CN"/>
              </w:rPr>
            </w:pPr>
            <w:r>
              <w:rPr>
                <w:rFonts w:hint="eastAsia" w:ascii="Times New Roman"/>
                <w:snapToGrid w:val="0"/>
                <w:color w:val="auto"/>
                <w:kern w:val="21"/>
                <w:sz w:val="21"/>
                <w:szCs w:val="21"/>
                <w:highlight w:val="none"/>
                <w:u w:val="single"/>
                <w:lang w:val="en-US" w:eastAsia="zh-CN"/>
              </w:rPr>
              <w:t>0</w:t>
            </w:r>
          </w:p>
        </w:tc>
        <w:tc>
          <w:tcPr>
            <w:tcW w:w="1559" w:type="dxa"/>
            <w:vAlign w:val="center"/>
          </w:tcPr>
          <w:p w14:paraId="57A5838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single"/>
                <w:lang w:val="en-US" w:eastAsia="zh-CN" w:bidi="ar"/>
              </w:rPr>
            </w:pPr>
            <w:r>
              <w:rPr>
                <w:rFonts w:hint="default" w:ascii="Times New Roman" w:hAnsi="Times New Roman" w:eastAsia="宋体" w:cs="Times New Roman"/>
                <w:i w:val="0"/>
                <w:iCs w:val="0"/>
                <w:color w:val="auto"/>
                <w:kern w:val="0"/>
                <w:sz w:val="21"/>
                <w:szCs w:val="21"/>
                <w:highlight w:val="none"/>
                <w:u w:val="single"/>
                <w:lang w:val="en-US" w:eastAsia="zh-CN" w:bidi="ar"/>
              </w:rPr>
              <w:t>0.01</w:t>
            </w:r>
            <w:r>
              <w:rPr>
                <w:rFonts w:hint="eastAsia"/>
                <w:color w:val="auto"/>
                <w:sz w:val="21"/>
                <w:szCs w:val="21"/>
                <w:highlight w:val="none"/>
                <w:u w:val="single"/>
                <w:lang w:val="en-US" w:eastAsia="zh-CN"/>
              </w:rPr>
              <w:t>t/a</w:t>
            </w:r>
          </w:p>
        </w:tc>
        <w:tc>
          <w:tcPr>
            <w:tcW w:w="1761" w:type="dxa"/>
            <w:vAlign w:val="center"/>
          </w:tcPr>
          <w:p w14:paraId="6AEDA18F">
            <w:pPr>
              <w:keepNext w:val="0"/>
              <w:keepLines w:val="0"/>
              <w:widowControl/>
              <w:suppressLineNumbers w:val="0"/>
              <w:jc w:val="center"/>
              <w:textAlignment w:val="center"/>
              <w:rPr>
                <w:rFonts w:hint="eastAsia" w:ascii="Times New Roman"/>
                <w:snapToGrid w:val="0"/>
                <w:color w:val="auto"/>
                <w:kern w:val="21"/>
                <w:sz w:val="21"/>
                <w:szCs w:val="21"/>
                <w:highlight w:val="none"/>
                <w:u w:val="single"/>
              </w:rPr>
            </w:pPr>
          </w:p>
        </w:tc>
        <w:tc>
          <w:tcPr>
            <w:tcW w:w="1562" w:type="dxa"/>
            <w:vAlign w:val="center"/>
          </w:tcPr>
          <w:p w14:paraId="05CA208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single"/>
                <w:lang w:val="en-US" w:eastAsia="zh-CN" w:bidi="ar"/>
              </w:rPr>
            </w:pPr>
            <w:r>
              <w:rPr>
                <w:rFonts w:hint="default" w:ascii="Times New Roman" w:hAnsi="Times New Roman" w:eastAsia="宋体" w:cs="Times New Roman"/>
                <w:i w:val="0"/>
                <w:iCs w:val="0"/>
                <w:color w:val="auto"/>
                <w:kern w:val="0"/>
                <w:sz w:val="21"/>
                <w:szCs w:val="21"/>
                <w:highlight w:val="none"/>
                <w:u w:val="single"/>
                <w:lang w:val="en-US" w:eastAsia="zh-CN" w:bidi="ar"/>
              </w:rPr>
              <w:t>0.01</w:t>
            </w:r>
            <w:r>
              <w:rPr>
                <w:rFonts w:hint="eastAsia"/>
                <w:color w:val="auto"/>
                <w:sz w:val="21"/>
                <w:szCs w:val="21"/>
                <w:highlight w:val="none"/>
                <w:u w:val="single"/>
                <w:lang w:val="en-US" w:eastAsia="zh-CN"/>
              </w:rPr>
              <w:t>t/a</w:t>
            </w:r>
          </w:p>
        </w:tc>
        <w:tc>
          <w:tcPr>
            <w:tcW w:w="1223" w:type="dxa"/>
            <w:vAlign w:val="center"/>
          </w:tcPr>
          <w:p w14:paraId="4C78AEE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single"/>
                <w:lang w:val="en-US" w:eastAsia="zh-CN" w:bidi="ar"/>
              </w:rPr>
            </w:pPr>
            <w:r>
              <w:rPr>
                <w:rFonts w:hint="default" w:ascii="Times New Roman" w:hAnsi="Times New Roman" w:eastAsia="宋体" w:cs="Times New Roman"/>
                <w:i w:val="0"/>
                <w:iCs w:val="0"/>
                <w:color w:val="auto"/>
                <w:kern w:val="0"/>
                <w:sz w:val="21"/>
                <w:szCs w:val="21"/>
                <w:highlight w:val="none"/>
                <w:u w:val="single"/>
                <w:lang w:val="en-US" w:eastAsia="zh-CN" w:bidi="ar"/>
              </w:rPr>
              <w:t>0.01</w:t>
            </w:r>
            <w:r>
              <w:rPr>
                <w:rFonts w:hint="eastAsia"/>
                <w:color w:val="auto"/>
                <w:sz w:val="21"/>
                <w:szCs w:val="21"/>
                <w:highlight w:val="none"/>
                <w:u w:val="single"/>
                <w:lang w:val="en-US" w:eastAsia="zh-CN"/>
              </w:rPr>
              <w:t>t/a</w:t>
            </w:r>
          </w:p>
        </w:tc>
      </w:tr>
    </w:tbl>
    <w:p w14:paraId="4F0A6F6E">
      <w:pPr>
        <w:pStyle w:val="70"/>
        <w:spacing w:before="192" w:beforeLines="80" w:after="24"/>
        <w:jc w:val="left"/>
        <w:rPr>
          <w:rFonts w:ascii="Times New Roman"/>
          <w:snapToGrid w:val="0"/>
          <w:color w:val="auto"/>
          <w:kern w:val="21"/>
          <w:szCs w:val="21"/>
        </w:rPr>
      </w:pPr>
      <w:r>
        <w:rPr>
          <w:rFonts w:ascii="Times New Roman"/>
          <w:snapToGrid w:val="0"/>
          <w:color w:val="auto"/>
          <w:kern w:val="21"/>
          <w:szCs w:val="21"/>
        </w:rPr>
        <w:t>注：</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hint="eastAsia"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hint="eastAsia" w:ascii="Times New Roman"/>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hint="eastAsia" w:ascii="Times New Roman"/>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hint="eastAsia" w:ascii="Times New Roman"/>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hint="eastAsia" w:ascii="Times New Roman"/>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hint="eastAsia" w:ascii="Times New Roman"/>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hint="eastAsia"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hint="eastAsia" w:ascii="Times New Roman"/>
          <w:color w:val="auto"/>
          <w:szCs w:val="21"/>
        </w:rPr>
        <w:t>①</w:t>
      </w:r>
      <w:r>
        <w:rPr>
          <w:rFonts w:ascii="Times New Roman"/>
          <w:snapToGrid w:val="0"/>
          <w:color w:val="auto"/>
          <w:spacing w:val="-6"/>
          <w:kern w:val="21"/>
          <w:szCs w:val="21"/>
        </w:rPr>
        <w:fldChar w:fldCharType="end"/>
      </w:r>
    </w:p>
    <w:p w14:paraId="11B2991B">
      <w:pPr>
        <w:rPr>
          <w:rFonts w:eastAsia="黑体"/>
          <w:color w:val="auto"/>
        </w:rPr>
        <w:sectPr>
          <w:footerReference r:id="rId6" w:type="default"/>
          <w:pgSz w:w="16838" w:h="11906" w:orient="landscape"/>
          <w:pgMar w:top="1701" w:right="1531" w:bottom="1701" w:left="1531" w:header="851" w:footer="850" w:gutter="0"/>
          <w:pgBorders>
            <w:top w:val="none" w:sz="0" w:space="0"/>
            <w:left w:val="none" w:sz="0" w:space="0"/>
            <w:bottom w:val="none" w:sz="0" w:space="0"/>
            <w:right w:val="none" w:sz="0" w:space="0"/>
          </w:pgBorders>
          <w:pgNumType w:fmt="decimal"/>
          <w:cols w:space="720" w:num="1"/>
          <w:docGrid w:linePitch="312" w:charSpace="0"/>
        </w:sectPr>
      </w:pPr>
    </w:p>
    <w:p w14:paraId="036E15F0">
      <w:pPr>
        <w:keepNext w:val="0"/>
        <w:keepLines w:val="0"/>
        <w:pageBreakBefore w:val="0"/>
        <w:widowControl/>
        <w:kinsoku/>
        <w:wordWrap/>
        <w:overflowPunct/>
        <w:topLinePunct w:val="0"/>
        <w:autoSpaceDE/>
        <w:autoSpaceDN/>
        <w:bidi w:val="0"/>
        <w:adjustRightInd/>
        <w:snapToGrid/>
        <w:spacing w:beforeAutospacing="0" w:afterAutospacing="0" w:line="360" w:lineRule="auto"/>
        <w:jc w:val="center"/>
        <w:textAlignment w:val="auto"/>
        <w:outlineLvl w:val="0"/>
        <w:rPr>
          <w:rFonts w:hint="eastAsia" w:ascii="Times New Roman" w:hAnsi="Times New Roman" w:eastAsia="宋体" w:cs="Times New Roman"/>
          <w:snapToGrid w:val="0"/>
          <w:color w:val="auto"/>
          <w:kern w:val="0"/>
          <w:sz w:val="30"/>
          <w:szCs w:val="30"/>
          <w:lang w:val="en-US" w:eastAsia="zh-CN" w:bidi="ar-SA"/>
        </w:rPr>
      </w:pPr>
      <w:bookmarkStart w:id="27" w:name="_Toc17841"/>
      <w:r>
        <w:rPr>
          <w:rFonts w:hint="eastAsia" w:ascii="Times New Roman" w:hAnsi="Times New Roman" w:eastAsia="宋体" w:cs="Times New Roman"/>
          <w:snapToGrid w:val="0"/>
          <w:color w:val="auto"/>
          <w:kern w:val="0"/>
          <w:sz w:val="30"/>
          <w:szCs w:val="30"/>
          <w:lang w:val="en-US" w:eastAsia="zh-CN" w:bidi="ar-SA"/>
        </w:rPr>
        <w:t>地表水专项评价</w:t>
      </w:r>
      <w:bookmarkEnd w:id="27"/>
      <w:bookmarkStart w:id="28" w:name="_Toc6047"/>
    </w:p>
    <w:bookmarkEnd w:id="28"/>
    <w:p w14:paraId="50E98252">
      <w:pPr>
        <w:spacing w:line="360" w:lineRule="auto"/>
        <w:outlineLvl w:val="0"/>
        <w:rPr>
          <w:b/>
          <w:bCs/>
          <w:color w:val="auto"/>
          <w:sz w:val="32"/>
          <w:szCs w:val="32"/>
        </w:rPr>
      </w:pPr>
      <w:bookmarkStart w:id="29" w:name="_Toc1472"/>
      <w:bookmarkStart w:id="30" w:name="_Toc21116"/>
      <w:r>
        <w:rPr>
          <w:b/>
          <w:bCs/>
          <w:color w:val="auto"/>
          <w:sz w:val="32"/>
          <w:szCs w:val="32"/>
        </w:rPr>
        <w:t>1总论</w:t>
      </w:r>
      <w:bookmarkEnd w:id="29"/>
      <w:bookmarkEnd w:id="30"/>
    </w:p>
    <w:p w14:paraId="6BCBE515">
      <w:pPr>
        <w:spacing w:line="360" w:lineRule="auto"/>
        <w:outlineLvl w:val="1"/>
        <w:rPr>
          <w:b/>
          <w:bCs/>
          <w:color w:val="auto"/>
          <w:sz w:val="30"/>
          <w:szCs w:val="30"/>
        </w:rPr>
      </w:pPr>
      <w:bookmarkStart w:id="31" w:name="_Toc16039"/>
      <w:bookmarkStart w:id="32" w:name="_Toc15128"/>
      <w:r>
        <w:rPr>
          <w:b/>
          <w:bCs/>
          <w:color w:val="auto"/>
          <w:sz w:val="30"/>
          <w:szCs w:val="30"/>
        </w:rPr>
        <w:t>1.1</w:t>
      </w:r>
      <w:r>
        <w:rPr>
          <w:rFonts w:hint="eastAsia"/>
          <w:b/>
          <w:bCs/>
          <w:color w:val="auto"/>
          <w:sz w:val="30"/>
          <w:szCs w:val="30"/>
        </w:rPr>
        <w:t>评价由来</w:t>
      </w:r>
      <w:bookmarkEnd w:id="31"/>
      <w:bookmarkEnd w:id="32"/>
    </w:p>
    <w:p w14:paraId="256F2DDE">
      <w:pPr>
        <w:autoSpaceDE w:val="0"/>
        <w:autoSpaceDN w:val="0"/>
        <w:adjustRightInd w:val="0"/>
        <w:spacing w:line="360" w:lineRule="auto"/>
        <w:ind w:firstLine="480" w:firstLineChars="200"/>
        <w:rPr>
          <w:bCs/>
          <w:color w:val="auto"/>
          <w:sz w:val="24"/>
        </w:rPr>
      </w:pPr>
      <w:r>
        <w:rPr>
          <w:rFonts w:hint="eastAsia"/>
          <w:bCs/>
          <w:color w:val="auto"/>
          <w:sz w:val="24"/>
        </w:rPr>
        <w:t>根据《建设项目环境影响报告表编制技术指南（污染影响类）》（试行）分析。本项目</w:t>
      </w:r>
      <w:r>
        <w:rPr>
          <w:bCs/>
          <w:color w:val="auto"/>
          <w:sz w:val="24"/>
        </w:rPr>
        <w:t>属于</w:t>
      </w:r>
      <w:r>
        <w:rPr>
          <w:rFonts w:hint="eastAsia"/>
          <w:bCs/>
          <w:color w:val="auto"/>
          <w:sz w:val="24"/>
        </w:rPr>
        <w:t>《建设项目环境影响报告表编制技术指南（污染影响类）》（试行）中表1“新增废水直排的污水集中处理厂”，应对</w:t>
      </w:r>
      <w:r>
        <w:rPr>
          <w:bCs/>
          <w:color w:val="auto"/>
          <w:sz w:val="24"/>
        </w:rPr>
        <w:t>地表水进行专项评价</w:t>
      </w:r>
      <w:r>
        <w:rPr>
          <w:rFonts w:hint="eastAsia"/>
          <w:bCs/>
          <w:color w:val="auto"/>
          <w:sz w:val="24"/>
        </w:rPr>
        <w:t>。</w:t>
      </w:r>
    </w:p>
    <w:p w14:paraId="6B0C9A30">
      <w:pPr>
        <w:keepNext w:val="0"/>
        <w:keepLines w:val="0"/>
        <w:pageBreakBefore w:val="0"/>
        <w:widowControl w:val="0"/>
        <w:kinsoku/>
        <w:wordWrap/>
        <w:overflowPunct/>
        <w:topLinePunct w:val="0"/>
        <w:autoSpaceDE w:val="0"/>
        <w:autoSpaceDN w:val="0"/>
        <w:bidi w:val="0"/>
        <w:adjustRightInd w:val="0"/>
        <w:snapToGrid/>
        <w:spacing w:before="48" w:beforeLines="15" w:after="48" w:afterLines="15" w:line="240" w:lineRule="auto"/>
        <w:jc w:val="center"/>
        <w:textAlignment w:val="auto"/>
        <w:rPr>
          <w:b/>
          <w:bCs/>
          <w:color w:val="auto"/>
          <w:sz w:val="21"/>
          <w:szCs w:val="21"/>
        </w:rPr>
      </w:pPr>
      <w:r>
        <w:rPr>
          <w:b/>
          <w:bCs/>
          <w:color w:val="auto"/>
          <w:sz w:val="21"/>
          <w:szCs w:val="21"/>
        </w:rPr>
        <w:t>表1</w:t>
      </w:r>
      <w:r>
        <w:rPr>
          <w:rFonts w:hint="eastAsia"/>
          <w:b/>
          <w:bCs/>
          <w:color w:val="auto"/>
          <w:sz w:val="21"/>
          <w:szCs w:val="21"/>
          <w:lang w:val="en-US" w:eastAsia="zh-CN"/>
        </w:rPr>
        <w:t>.1-1</w:t>
      </w:r>
      <w:r>
        <w:rPr>
          <w:b/>
          <w:bCs/>
          <w:color w:val="auto"/>
          <w:sz w:val="21"/>
          <w:szCs w:val="21"/>
        </w:rPr>
        <w:t xml:space="preserve">  </w:t>
      </w:r>
      <w:r>
        <w:rPr>
          <w:rFonts w:hint="eastAsia"/>
          <w:b/>
          <w:bCs/>
          <w:color w:val="auto"/>
          <w:sz w:val="21"/>
          <w:szCs w:val="21"/>
        </w:rPr>
        <w:t>污染</w:t>
      </w:r>
      <w:r>
        <w:rPr>
          <w:b/>
          <w:bCs/>
          <w:color w:val="auto"/>
          <w:sz w:val="21"/>
          <w:szCs w:val="21"/>
        </w:rPr>
        <w:t>影响类专项评价设置原则表</w:t>
      </w:r>
    </w:p>
    <w:tbl>
      <w:tblPr>
        <w:tblStyle w:val="32"/>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60"/>
        <w:gridCol w:w="3795"/>
        <w:gridCol w:w="3416"/>
      </w:tblGrid>
      <w:tr w14:paraId="6AD817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60" w:type="dxa"/>
            <w:tcBorders>
              <w:tl2br w:val="nil"/>
              <w:tr2bl w:val="nil"/>
            </w:tcBorders>
            <w:vAlign w:val="center"/>
          </w:tcPr>
          <w:p w14:paraId="09FEE7CD">
            <w:pPr>
              <w:adjustRightInd w:val="0"/>
              <w:spacing w:line="300" w:lineRule="auto"/>
              <w:jc w:val="center"/>
              <w:textAlignment w:val="baseline"/>
              <w:rPr>
                <w:b/>
                <w:color w:val="auto"/>
                <w:kern w:val="0"/>
                <w:szCs w:val="21"/>
              </w:rPr>
            </w:pPr>
            <w:r>
              <w:rPr>
                <w:b/>
                <w:color w:val="auto"/>
                <w:kern w:val="0"/>
                <w:szCs w:val="21"/>
              </w:rPr>
              <w:t>专项评价的类别</w:t>
            </w:r>
          </w:p>
        </w:tc>
        <w:tc>
          <w:tcPr>
            <w:tcW w:w="3795" w:type="dxa"/>
            <w:tcBorders>
              <w:tl2br w:val="nil"/>
              <w:tr2bl w:val="nil"/>
            </w:tcBorders>
            <w:vAlign w:val="center"/>
          </w:tcPr>
          <w:p w14:paraId="38E63D87">
            <w:pPr>
              <w:adjustRightInd w:val="0"/>
              <w:spacing w:line="300" w:lineRule="auto"/>
              <w:jc w:val="center"/>
              <w:textAlignment w:val="baseline"/>
              <w:rPr>
                <w:b/>
                <w:color w:val="auto"/>
                <w:kern w:val="0"/>
                <w:szCs w:val="21"/>
              </w:rPr>
            </w:pPr>
            <w:r>
              <w:rPr>
                <w:rFonts w:hint="eastAsia"/>
                <w:b/>
                <w:color w:val="auto"/>
                <w:kern w:val="0"/>
                <w:szCs w:val="21"/>
              </w:rPr>
              <w:t>设置原则</w:t>
            </w:r>
          </w:p>
        </w:tc>
        <w:tc>
          <w:tcPr>
            <w:tcW w:w="3416" w:type="dxa"/>
            <w:tcBorders>
              <w:tl2br w:val="nil"/>
              <w:tr2bl w:val="nil"/>
            </w:tcBorders>
            <w:vAlign w:val="center"/>
          </w:tcPr>
          <w:p w14:paraId="7E4B34D8">
            <w:pPr>
              <w:adjustRightInd w:val="0"/>
              <w:spacing w:line="300" w:lineRule="auto"/>
              <w:jc w:val="center"/>
              <w:textAlignment w:val="baseline"/>
              <w:rPr>
                <w:rFonts w:hint="eastAsia" w:eastAsia="宋体"/>
                <w:b/>
                <w:color w:val="auto"/>
                <w:kern w:val="0"/>
                <w:szCs w:val="21"/>
                <w:lang w:eastAsia="zh-CN"/>
              </w:rPr>
            </w:pPr>
            <w:r>
              <w:rPr>
                <w:rFonts w:hint="eastAsia"/>
                <w:b/>
                <w:color w:val="auto"/>
                <w:kern w:val="0"/>
                <w:szCs w:val="21"/>
                <w:lang w:eastAsia="zh-CN"/>
              </w:rPr>
              <w:t>本项目</w:t>
            </w:r>
          </w:p>
        </w:tc>
      </w:tr>
      <w:tr w14:paraId="497335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60" w:type="dxa"/>
            <w:tcBorders>
              <w:tl2br w:val="nil"/>
              <w:tr2bl w:val="nil"/>
            </w:tcBorders>
            <w:vAlign w:val="center"/>
          </w:tcPr>
          <w:p w14:paraId="5CA0C2E5">
            <w:pPr>
              <w:adjustRightInd w:val="0"/>
              <w:spacing w:line="300" w:lineRule="auto"/>
              <w:jc w:val="center"/>
              <w:textAlignment w:val="baseline"/>
              <w:rPr>
                <w:color w:val="auto"/>
                <w:kern w:val="0"/>
                <w:szCs w:val="21"/>
              </w:rPr>
            </w:pPr>
            <w:r>
              <w:rPr>
                <w:color w:val="auto"/>
                <w:kern w:val="0"/>
                <w:szCs w:val="21"/>
              </w:rPr>
              <w:t>地表水</w:t>
            </w:r>
          </w:p>
        </w:tc>
        <w:tc>
          <w:tcPr>
            <w:tcW w:w="3795" w:type="dxa"/>
            <w:tcBorders>
              <w:tl2br w:val="nil"/>
              <w:tr2bl w:val="nil"/>
            </w:tcBorders>
            <w:vAlign w:val="center"/>
          </w:tcPr>
          <w:p w14:paraId="75882EFE">
            <w:pPr>
              <w:adjustRightInd w:val="0"/>
              <w:spacing w:line="300" w:lineRule="auto"/>
              <w:textAlignment w:val="baseline"/>
              <w:rPr>
                <w:color w:val="auto"/>
                <w:kern w:val="0"/>
                <w:szCs w:val="21"/>
              </w:rPr>
            </w:pPr>
            <w:r>
              <w:rPr>
                <w:rFonts w:hint="eastAsia"/>
                <w:color w:val="auto"/>
                <w:kern w:val="0"/>
                <w:szCs w:val="21"/>
              </w:rPr>
              <w:t>新增工业废水直排建设项目（槽罐车外送污水处理厂的除外）；</w:t>
            </w:r>
            <w:r>
              <w:rPr>
                <w:rFonts w:hint="eastAsia"/>
                <w:b/>
                <w:color w:val="auto"/>
                <w:kern w:val="0"/>
                <w:szCs w:val="21"/>
              </w:rPr>
              <w:t>新增废水直排的污水集中处理厂</w:t>
            </w:r>
          </w:p>
        </w:tc>
        <w:tc>
          <w:tcPr>
            <w:tcW w:w="3416" w:type="dxa"/>
            <w:tcBorders>
              <w:tl2br w:val="nil"/>
              <w:tr2bl w:val="nil"/>
            </w:tcBorders>
            <w:vAlign w:val="center"/>
          </w:tcPr>
          <w:p w14:paraId="03E0E73E">
            <w:pPr>
              <w:adjustRightInd w:val="0"/>
              <w:spacing w:line="300" w:lineRule="auto"/>
              <w:textAlignment w:val="baseline"/>
              <w:rPr>
                <w:rFonts w:hint="eastAsia"/>
                <w:color w:val="auto"/>
                <w:kern w:val="0"/>
                <w:szCs w:val="21"/>
              </w:rPr>
            </w:pPr>
            <w:r>
              <w:rPr>
                <w:rFonts w:hint="eastAsia"/>
                <w:color w:val="auto"/>
                <w:kern w:val="0"/>
                <w:szCs w:val="21"/>
              </w:rPr>
              <w:t>本项目属于新增废水直排的污水集中处理厂，需开展地表水专项评价</w:t>
            </w:r>
          </w:p>
        </w:tc>
      </w:tr>
    </w:tbl>
    <w:p w14:paraId="39A9E51B">
      <w:pPr>
        <w:spacing w:line="360" w:lineRule="auto"/>
        <w:outlineLvl w:val="1"/>
        <w:rPr>
          <w:rFonts w:hint="eastAsia" w:ascii="Times New Roman" w:hAnsi="Times New Roman" w:eastAsia="宋体" w:cs="Times New Roman"/>
          <w:b/>
          <w:bCs/>
          <w:color w:val="auto"/>
          <w:sz w:val="30"/>
          <w:szCs w:val="30"/>
        </w:rPr>
      </w:pPr>
      <w:bookmarkStart w:id="33" w:name="_Toc1466"/>
      <w:bookmarkStart w:id="34" w:name="_Toc12836"/>
      <w:r>
        <w:rPr>
          <w:rFonts w:ascii="Times New Roman" w:hAnsi="Times New Roman" w:eastAsia="宋体" w:cs="Times New Roman"/>
          <w:b/>
          <w:bCs/>
          <w:color w:val="auto"/>
          <w:sz w:val="30"/>
          <w:szCs w:val="30"/>
        </w:rPr>
        <w:t>1.2</w:t>
      </w:r>
      <w:r>
        <w:rPr>
          <w:rFonts w:hint="eastAsia" w:ascii="Times New Roman" w:hAnsi="Times New Roman" w:eastAsia="宋体" w:cs="Times New Roman"/>
          <w:b/>
          <w:bCs/>
          <w:color w:val="auto"/>
          <w:sz w:val="30"/>
          <w:szCs w:val="30"/>
        </w:rPr>
        <w:t>编制依据</w:t>
      </w:r>
      <w:bookmarkEnd w:id="33"/>
      <w:bookmarkEnd w:id="34"/>
    </w:p>
    <w:p w14:paraId="7949099E">
      <w:pPr>
        <w:spacing w:line="360" w:lineRule="auto"/>
        <w:ind w:firstLine="480" w:firstLineChars="200"/>
        <w:rPr>
          <w:color w:val="auto"/>
          <w:sz w:val="24"/>
          <w:lang w:val="zh-CN"/>
        </w:rPr>
      </w:pPr>
      <w:r>
        <w:rPr>
          <w:color w:val="auto"/>
          <w:sz w:val="24"/>
          <w:lang w:val="zh-CN"/>
        </w:rPr>
        <w:t>（1）《中华人民共和国环境保护法》（2015.1.1施行）</w:t>
      </w:r>
      <w:r>
        <w:rPr>
          <w:rFonts w:hint="eastAsia"/>
          <w:color w:val="auto"/>
          <w:sz w:val="24"/>
          <w:lang w:val="zh-CN"/>
        </w:rPr>
        <w:t>；</w:t>
      </w:r>
    </w:p>
    <w:p w14:paraId="3101566C">
      <w:pPr>
        <w:spacing w:line="360" w:lineRule="auto"/>
        <w:ind w:firstLine="480" w:firstLineChars="200"/>
        <w:rPr>
          <w:color w:val="auto"/>
          <w:sz w:val="24"/>
          <w:lang w:val="zh-CN"/>
        </w:rPr>
      </w:pPr>
      <w:r>
        <w:rPr>
          <w:color w:val="auto"/>
          <w:sz w:val="24"/>
          <w:lang w:val="zh-CN"/>
        </w:rPr>
        <w:t>（2）《中华人民共和国水污染污染防治法》（2018年1月1日）</w:t>
      </w:r>
      <w:r>
        <w:rPr>
          <w:rFonts w:hint="eastAsia"/>
          <w:color w:val="auto"/>
          <w:sz w:val="24"/>
          <w:lang w:val="zh-CN"/>
        </w:rPr>
        <w:t>；</w:t>
      </w:r>
    </w:p>
    <w:p w14:paraId="5EB7817F">
      <w:pPr>
        <w:spacing w:line="360" w:lineRule="auto"/>
        <w:ind w:firstLine="480" w:firstLineChars="200"/>
        <w:rPr>
          <w:color w:val="auto"/>
          <w:sz w:val="24"/>
          <w:lang w:val="zh-CN"/>
        </w:rPr>
      </w:pPr>
      <w:r>
        <w:rPr>
          <w:color w:val="auto"/>
          <w:sz w:val="24"/>
          <w:lang w:val="zh-CN"/>
        </w:rPr>
        <w:t>（3）《建设项目环境影响评价技术导则 总纲》（HJ2.1-2016）</w:t>
      </w:r>
      <w:r>
        <w:rPr>
          <w:rFonts w:hint="eastAsia"/>
          <w:color w:val="auto"/>
          <w:sz w:val="24"/>
          <w:lang w:val="zh-CN"/>
        </w:rPr>
        <w:t>；</w:t>
      </w:r>
    </w:p>
    <w:p w14:paraId="41DDC30A">
      <w:pPr>
        <w:spacing w:line="360" w:lineRule="auto"/>
        <w:ind w:firstLine="480" w:firstLineChars="200"/>
        <w:rPr>
          <w:color w:val="auto"/>
          <w:sz w:val="24"/>
          <w:lang w:val="zh-CN"/>
        </w:rPr>
      </w:pPr>
      <w:r>
        <w:rPr>
          <w:color w:val="auto"/>
          <w:sz w:val="24"/>
          <w:lang w:val="zh-CN"/>
        </w:rPr>
        <w:t>（4）《环境影响评价技术导则</w:t>
      </w:r>
      <w:r>
        <w:rPr>
          <w:rFonts w:hint="eastAsia"/>
          <w:color w:val="auto"/>
          <w:sz w:val="24"/>
        </w:rPr>
        <w:t xml:space="preserve"> </w:t>
      </w:r>
      <w:r>
        <w:rPr>
          <w:color w:val="auto"/>
          <w:sz w:val="24"/>
          <w:lang w:val="zh-CN"/>
        </w:rPr>
        <w:t>地表水环境》（HJ2.3-2018）</w:t>
      </w:r>
      <w:r>
        <w:rPr>
          <w:rFonts w:hint="eastAsia"/>
          <w:color w:val="auto"/>
          <w:sz w:val="24"/>
          <w:lang w:val="zh-CN"/>
        </w:rPr>
        <w:t>；</w:t>
      </w:r>
    </w:p>
    <w:p w14:paraId="3E4C278D">
      <w:pPr>
        <w:spacing w:line="360" w:lineRule="auto"/>
        <w:ind w:firstLine="480" w:firstLineChars="200"/>
        <w:rPr>
          <w:color w:val="auto"/>
          <w:sz w:val="24"/>
          <w:lang w:val="zh-CN"/>
        </w:rPr>
      </w:pPr>
      <w:r>
        <w:rPr>
          <w:rFonts w:hint="eastAsia"/>
          <w:color w:val="auto"/>
          <w:sz w:val="24"/>
          <w:lang w:val="zh-CN"/>
        </w:rPr>
        <w:t>（5）《建设项目环境影响报告表编制技术指南（污染影响类）》</w:t>
      </w:r>
      <w:r>
        <w:rPr>
          <w:color w:val="auto"/>
          <w:sz w:val="24"/>
          <w:lang w:val="zh-CN"/>
        </w:rPr>
        <w:t>（2021.4.1施行）</w:t>
      </w:r>
      <w:r>
        <w:rPr>
          <w:rFonts w:hint="eastAsia"/>
          <w:color w:val="auto"/>
          <w:sz w:val="24"/>
          <w:lang w:val="zh-CN"/>
        </w:rPr>
        <w:t>。</w:t>
      </w:r>
    </w:p>
    <w:p w14:paraId="1ECBDF9A">
      <w:pPr>
        <w:spacing w:line="360" w:lineRule="auto"/>
        <w:outlineLvl w:val="1"/>
        <w:rPr>
          <w:rFonts w:ascii="Times New Roman" w:hAnsi="Times New Roman" w:eastAsia="宋体" w:cs="Times New Roman"/>
          <w:b/>
          <w:bCs/>
          <w:color w:val="auto"/>
          <w:sz w:val="30"/>
          <w:szCs w:val="30"/>
        </w:rPr>
      </w:pPr>
      <w:bookmarkStart w:id="35" w:name="_Toc17439"/>
      <w:bookmarkStart w:id="36" w:name="_Toc27718"/>
      <w:bookmarkStart w:id="37" w:name="_Toc10644"/>
      <w:r>
        <w:rPr>
          <w:rFonts w:ascii="Times New Roman" w:hAnsi="Times New Roman" w:eastAsia="宋体" w:cs="Times New Roman"/>
          <w:b/>
          <w:bCs/>
          <w:color w:val="auto"/>
          <w:sz w:val="30"/>
          <w:szCs w:val="30"/>
        </w:rPr>
        <w:t>1.3评价时段</w:t>
      </w:r>
      <w:bookmarkEnd w:id="35"/>
      <w:bookmarkEnd w:id="36"/>
      <w:bookmarkEnd w:id="37"/>
    </w:p>
    <w:p w14:paraId="29ACEA7D">
      <w:pPr>
        <w:spacing w:line="360" w:lineRule="auto"/>
        <w:ind w:firstLine="480" w:firstLineChars="200"/>
        <w:rPr>
          <w:color w:val="auto"/>
          <w:sz w:val="24"/>
        </w:rPr>
      </w:pPr>
      <w:r>
        <w:rPr>
          <w:rFonts w:hint="eastAsia"/>
          <w:color w:val="auto"/>
          <w:sz w:val="24"/>
          <w:lang w:val="en-US" w:eastAsia="zh-CN"/>
        </w:rPr>
        <w:t>本次</w:t>
      </w:r>
      <w:r>
        <w:rPr>
          <w:color w:val="auto"/>
          <w:sz w:val="24"/>
        </w:rPr>
        <w:t>评价时段为</w:t>
      </w:r>
      <w:r>
        <w:rPr>
          <w:rFonts w:hint="eastAsia"/>
          <w:color w:val="auto"/>
          <w:sz w:val="24"/>
          <w:lang w:eastAsia="zh-CN"/>
        </w:rPr>
        <w:t>施工期、</w:t>
      </w:r>
      <w:r>
        <w:rPr>
          <w:color w:val="auto"/>
          <w:sz w:val="24"/>
        </w:rPr>
        <w:t>运营期。</w:t>
      </w:r>
    </w:p>
    <w:p w14:paraId="683AD1B4">
      <w:pPr>
        <w:spacing w:line="360" w:lineRule="auto"/>
        <w:ind w:firstLine="480" w:firstLineChars="200"/>
        <w:rPr>
          <w:bCs/>
          <w:color w:val="auto"/>
        </w:rPr>
      </w:pPr>
      <w:r>
        <w:rPr>
          <w:rFonts w:hint="eastAsia"/>
          <w:color w:val="auto"/>
          <w:sz w:val="24"/>
        </w:rPr>
        <w:t>本专题将以运营期地表水环境影响分析及其污染防治措施的有效性分析作为评价重点。</w:t>
      </w:r>
    </w:p>
    <w:p w14:paraId="137A9771">
      <w:pPr>
        <w:spacing w:line="360" w:lineRule="auto"/>
        <w:outlineLvl w:val="1"/>
        <w:rPr>
          <w:rFonts w:ascii="Times New Roman" w:hAnsi="Times New Roman" w:eastAsia="宋体" w:cs="Times New Roman"/>
          <w:b/>
          <w:bCs/>
          <w:color w:val="auto"/>
          <w:sz w:val="30"/>
          <w:szCs w:val="30"/>
        </w:rPr>
      </w:pPr>
      <w:bookmarkStart w:id="38" w:name="_Toc27392"/>
      <w:bookmarkStart w:id="39" w:name="_Toc29314"/>
      <w:bookmarkStart w:id="40" w:name="_Toc18300"/>
      <w:r>
        <w:rPr>
          <w:rFonts w:ascii="Times New Roman" w:hAnsi="Times New Roman" w:eastAsia="宋体" w:cs="Times New Roman"/>
          <w:b/>
          <w:bCs/>
          <w:color w:val="auto"/>
          <w:sz w:val="30"/>
          <w:szCs w:val="30"/>
        </w:rPr>
        <w:t>1.4评价标准</w:t>
      </w:r>
      <w:bookmarkEnd w:id="38"/>
      <w:bookmarkEnd w:id="39"/>
      <w:bookmarkEnd w:id="40"/>
    </w:p>
    <w:p w14:paraId="6BC85A7C">
      <w:pPr>
        <w:keepNext w:val="0"/>
        <w:keepLines w:val="0"/>
        <w:pageBreakBefore w:val="0"/>
        <w:widowControl w:val="0"/>
        <w:kinsoku/>
        <w:wordWrap/>
        <w:overflowPunct/>
        <w:topLinePunct w:val="0"/>
        <w:autoSpaceDE/>
        <w:autoSpaceDN/>
        <w:bidi w:val="0"/>
        <w:adjustRightInd/>
        <w:snapToGrid/>
        <w:spacing w:line="360" w:lineRule="auto"/>
        <w:ind w:firstLine="562" w:firstLineChars="200"/>
        <w:textAlignment w:val="auto"/>
        <w:outlineLvl w:val="2"/>
        <w:rPr>
          <w:rFonts w:hint="eastAsia" w:ascii="Times New Roman" w:hAnsi="Times New Roman" w:eastAsia="宋体" w:cs="Times New Roman"/>
          <w:b/>
          <w:bCs/>
          <w:color w:val="auto"/>
          <w:sz w:val="28"/>
          <w:szCs w:val="28"/>
          <w:lang w:val="en-US" w:eastAsia="zh-CN"/>
        </w:rPr>
      </w:pPr>
      <w:bookmarkStart w:id="41" w:name="_Toc10902"/>
      <w:bookmarkStart w:id="42" w:name="_Toc22877"/>
      <w:r>
        <w:rPr>
          <w:rFonts w:hint="eastAsia" w:cs="Times New Roman"/>
          <w:b/>
          <w:bCs/>
          <w:color w:val="auto"/>
          <w:sz w:val="28"/>
          <w:szCs w:val="28"/>
          <w:lang w:val="en-US" w:eastAsia="zh-CN"/>
        </w:rPr>
        <w:t>1.4.1</w:t>
      </w:r>
      <w:r>
        <w:rPr>
          <w:rFonts w:hint="eastAsia" w:ascii="Times New Roman" w:hAnsi="Times New Roman" w:eastAsia="宋体" w:cs="Times New Roman"/>
          <w:b/>
          <w:bCs/>
          <w:color w:val="auto"/>
          <w:sz w:val="28"/>
          <w:szCs w:val="28"/>
          <w:lang w:val="en-US" w:eastAsia="zh-CN"/>
        </w:rPr>
        <w:t>、地表水环境质量标准</w:t>
      </w:r>
      <w:bookmarkEnd w:id="41"/>
      <w:bookmarkEnd w:id="42"/>
    </w:p>
    <w:p w14:paraId="05A4B9E6">
      <w:pPr>
        <w:spacing w:line="360" w:lineRule="auto"/>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执行国家《地表水环境质量标准》（GB3838-2002）中Ⅲ类水域标准。</w:t>
      </w:r>
    </w:p>
    <w:p w14:paraId="3A7846E6">
      <w:pPr>
        <w:keepNext w:val="0"/>
        <w:keepLines w:val="0"/>
        <w:pageBreakBefore w:val="0"/>
        <w:widowControl w:val="0"/>
        <w:kinsoku/>
        <w:wordWrap/>
        <w:overflowPunct/>
        <w:topLinePunct w:val="0"/>
        <w:autoSpaceDE w:val="0"/>
        <w:autoSpaceDN w:val="0"/>
        <w:bidi w:val="0"/>
        <w:adjustRightInd w:val="0"/>
        <w:snapToGrid/>
        <w:spacing w:before="48" w:beforeLines="15" w:after="48" w:afterLines="15" w:line="240" w:lineRule="auto"/>
        <w:jc w:val="center"/>
        <w:textAlignment w:val="auto"/>
        <w:rPr>
          <w:b/>
          <w:bCs/>
          <w:color w:val="auto"/>
          <w:sz w:val="21"/>
          <w:szCs w:val="21"/>
        </w:rPr>
      </w:pPr>
      <w:r>
        <w:rPr>
          <w:b/>
          <w:bCs/>
          <w:color w:val="auto"/>
          <w:sz w:val="21"/>
          <w:szCs w:val="21"/>
        </w:rPr>
        <w:t>表</w:t>
      </w:r>
      <w:r>
        <w:rPr>
          <w:rFonts w:hint="eastAsia"/>
          <w:b/>
          <w:bCs/>
          <w:color w:val="auto"/>
          <w:sz w:val="21"/>
          <w:szCs w:val="21"/>
          <w:lang w:val="en-US" w:eastAsia="zh-CN"/>
        </w:rPr>
        <w:t>1.4-1</w:t>
      </w:r>
      <w:r>
        <w:rPr>
          <w:b/>
          <w:bCs/>
          <w:color w:val="auto"/>
          <w:sz w:val="21"/>
          <w:szCs w:val="21"/>
        </w:rPr>
        <w:t xml:space="preserve">  地表水环境质量标准值表单位：mg/L</w:t>
      </w:r>
    </w:p>
    <w:tbl>
      <w:tblPr>
        <w:tblStyle w:val="32"/>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28" w:type="dxa"/>
          <w:bottom w:w="0" w:type="dxa"/>
          <w:right w:w="28" w:type="dxa"/>
        </w:tblCellMar>
      </w:tblPr>
      <w:tblGrid>
        <w:gridCol w:w="936"/>
        <w:gridCol w:w="1666"/>
        <w:gridCol w:w="1779"/>
        <w:gridCol w:w="2667"/>
        <w:gridCol w:w="2080"/>
      </w:tblGrid>
      <w:tr w14:paraId="7F59B5D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314" w:hRule="atLeast"/>
          <w:jc w:val="center"/>
        </w:trPr>
        <w:tc>
          <w:tcPr>
            <w:tcW w:w="513" w:type="pct"/>
            <w:tcBorders>
              <w:tl2br w:val="nil"/>
              <w:tr2bl w:val="nil"/>
            </w:tcBorders>
            <w:vAlign w:val="center"/>
          </w:tcPr>
          <w:p w14:paraId="7A5A369C">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水域名</w:t>
            </w:r>
          </w:p>
        </w:tc>
        <w:tc>
          <w:tcPr>
            <w:tcW w:w="912" w:type="pct"/>
            <w:tcBorders>
              <w:tl2br w:val="nil"/>
              <w:tr2bl w:val="nil"/>
            </w:tcBorders>
            <w:vAlign w:val="center"/>
          </w:tcPr>
          <w:p w14:paraId="61B2D4A5">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执行标准</w:t>
            </w:r>
          </w:p>
        </w:tc>
        <w:tc>
          <w:tcPr>
            <w:tcW w:w="974" w:type="pct"/>
            <w:tcBorders>
              <w:tl2br w:val="nil"/>
              <w:tr2bl w:val="nil"/>
            </w:tcBorders>
            <w:vAlign w:val="center"/>
          </w:tcPr>
          <w:p w14:paraId="6B570BDA">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污染物指标</w:t>
            </w:r>
          </w:p>
        </w:tc>
        <w:tc>
          <w:tcPr>
            <w:tcW w:w="1460" w:type="pct"/>
            <w:tcBorders>
              <w:tl2br w:val="nil"/>
              <w:tr2bl w:val="nil"/>
            </w:tcBorders>
            <w:vAlign w:val="center"/>
          </w:tcPr>
          <w:p w14:paraId="1925A30C">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ascii="Times New Roman" w:hAnsi="Times New Roman" w:eastAsia="宋体" w:cs="Times New Roman"/>
                <w:bCs/>
                <w:color w:val="000000"/>
                <w:kern w:val="28"/>
                <w:sz w:val="21"/>
                <w:szCs w:val="32"/>
                <w:u w:val="none"/>
                <w:lang w:val="zh-CN" w:eastAsia="zh-CN" w:bidi="zh-CN"/>
              </w:rPr>
              <w:fldChar w:fldCharType="begin"/>
            </w:r>
            <w:r>
              <w:rPr>
                <w:rFonts w:ascii="Times New Roman" w:hAnsi="Times New Roman" w:eastAsia="宋体" w:cs="Times New Roman"/>
                <w:bCs/>
                <w:color w:val="000000"/>
                <w:kern w:val="28"/>
                <w:sz w:val="21"/>
                <w:szCs w:val="32"/>
                <w:u w:val="none"/>
                <w:lang w:val="zh-CN" w:eastAsia="zh-CN" w:bidi="zh-CN"/>
              </w:rPr>
              <w:instrText xml:space="preserve"> </w:instrText>
            </w:r>
            <w:r>
              <w:rPr>
                <w:rFonts w:hint="eastAsia" w:ascii="Times New Roman" w:hAnsi="Times New Roman" w:eastAsia="宋体" w:cs="Times New Roman"/>
                <w:bCs/>
                <w:color w:val="000000"/>
                <w:kern w:val="28"/>
                <w:sz w:val="21"/>
                <w:szCs w:val="32"/>
                <w:u w:val="none"/>
                <w:lang w:val="zh-CN" w:eastAsia="zh-CN" w:bidi="zh-CN"/>
              </w:rPr>
              <w:instrText xml:space="preserve">= 3 \* ROMAN</w:instrText>
            </w:r>
            <w:r>
              <w:rPr>
                <w:rFonts w:ascii="Times New Roman" w:hAnsi="Times New Roman" w:eastAsia="宋体" w:cs="Times New Roman"/>
                <w:bCs/>
                <w:color w:val="000000"/>
                <w:kern w:val="28"/>
                <w:sz w:val="21"/>
                <w:szCs w:val="32"/>
                <w:u w:val="none"/>
                <w:lang w:val="zh-CN" w:eastAsia="zh-CN" w:bidi="zh-CN"/>
              </w:rPr>
              <w:instrText xml:space="preserve"> </w:instrText>
            </w:r>
            <w:r>
              <w:rPr>
                <w:rFonts w:ascii="Times New Roman" w:hAnsi="Times New Roman" w:eastAsia="宋体" w:cs="Times New Roman"/>
                <w:bCs/>
                <w:color w:val="000000"/>
                <w:kern w:val="28"/>
                <w:sz w:val="21"/>
                <w:szCs w:val="32"/>
                <w:u w:val="none"/>
                <w:lang w:val="zh-CN" w:eastAsia="zh-CN" w:bidi="zh-CN"/>
              </w:rPr>
              <w:fldChar w:fldCharType="separate"/>
            </w:r>
            <w:r>
              <w:rPr>
                <w:rFonts w:ascii="Times New Roman" w:hAnsi="Times New Roman" w:eastAsia="宋体" w:cs="Times New Roman"/>
                <w:bCs/>
                <w:color w:val="000000"/>
                <w:kern w:val="28"/>
                <w:sz w:val="21"/>
                <w:szCs w:val="32"/>
                <w:u w:val="none"/>
                <w:lang w:val="zh-CN" w:eastAsia="zh-CN" w:bidi="zh-CN"/>
              </w:rPr>
              <w:t>III</w:t>
            </w:r>
            <w:r>
              <w:rPr>
                <w:rFonts w:ascii="Times New Roman" w:hAnsi="Times New Roman" w:eastAsia="宋体" w:cs="Times New Roman"/>
                <w:bCs/>
                <w:color w:val="000000"/>
                <w:kern w:val="28"/>
                <w:sz w:val="21"/>
                <w:szCs w:val="32"/>
                <w:u w:val="none"/>
                <w:lang w:val="zh-CN" w:eastAsia="zh-CN" w:bidi="zh-CN"/>
              </w:rPr>
              <w:fldChar w:fldCharType="end"/>
            </w:r>
            <w:r>
              <w:rPr>
                <w:rFonts w:hint="eastAsia" w:ascii="Times New Roman" w:hAnsi="Times New Roman" w:eastAsia="宋体" w:cs="Times New Roman"/>
                <w:bCs/>
                <w:color w:val="000000"/>
                <w:kern w:val="28"/>
                <w:sz w:val="21"/>
                <w:szCs w:val="32"/>
                <w:u w:val="none"/>
                <w:lang w:val="zh-CN" w:eastAsia="zh-CN" w:bidi="zh-CN"/>
              </w:rPr>
              <w:t>类标准限值</w:t>
            </w:r>
          </w:p>
        </w:tc>
        <w:tc>
          <w:tcPr>
            <w:tcW w:w="1139" w:type="pct"/>
            <w:tcBorders>
              <w:tl2br w:val="nil"/>
              <w:tr2bl w:val="nil"/>
            </w:tcBorders>
            <w:vAlign w:val="center"/>
          </w:tcPr>
          <w:p w14:paraId="4FD290B8">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单位</w:t>
            </w:r>
          </w:p>
        </w:tc>
      </w:tr>
      <w:tr w14:paraId="40D5845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279" w:hRule="atLeast"/>
          <w:jc w:val="center"/>
        </w:trPr>
        <w:tc>
          <w:tcPr>
            <w:tcW w:w="513" w:type="pct"/>
            <w:vMerge w:val="restart"/>
            <w:tcBorders>
              <w:tl2br w:val="nil"/>
              <w:tr2bl w:val="nil"/>
            </w:tcBorders>
            <w:vAlign w:val="center"/>
          </w:tcPr>
          <w:p w14:paraId="7326D77F">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hint="eastAsia"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21"/>
                <w:u w:val="none"/>
                <w:lang w:val="en-US" w:eastAsia="zh-CN" w:bidi="zh-CN"/>
              </w:rPr>
              <w:t>果利河</w:t>
            </w:r>
          </w:p>
        </w:tc>
        <w:tc>
          <w:tcPr>
            <w:tcW w:w="912" w:type="pct"/>
            <w:vMerge w:val="restart"/>
            <w:tcBorders>
              <w:tl2br w:val="nil"/>
              <w:tr2bl w:val="nil"/>
            </w:tcBorders>
            <w:vAlign w:val="center"/>
          </w:tcPr>
          <w:p w14:paraId="4FB1410E">
            <w:pPr>
              <w:keepNext w:val="0"/>
              <w:keepLines w:val="0"/>
              <w:pageBreakBefore w:val="0"/>
              <w:widowControl w:val="0"/>
              <w:kinsoku/>
              <w:wordWrap w:val="0"/>
              <w:overflowPunct w:val="0"/>
              <w:topLinePunct w:val="0"/>
              <w:autoSpaceDE w:val="0"/>
              <w:autoSpaceDN w:val="0"/>
              <w:bidi w:val="0"/>
              <w:adjustRightInd/>
              <w:snapToGrid/>
              <w:spacing w:before="0" w:after="0" w:line="240" w:lineRule="auto"/>
              <w:ind w:left="0" w:right="0" w:firstLine="0" w:firstLineChars="0"/>
              <w:jc w:val="center"/>
              <w:textAlignment w:val="center"/>
              <w:outlineLvl w:val="1"/>
              <w:rPr>
                <w:rFonts w:hint="eastAsia"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《地表水环境质量标准》（GB3838-2002）</w:t>
            </w:r>
          </w:p>
        </w:tc>
        <w:tc>
          <w:tcPr>
            <w:tcW w:w="974" w:type="pct"/>
            <w:tcBorders>
              <w:tl2br w:val="nil"/>
              <w:tr2bl w:val="nil"/>
            </w:tcBorders>
            <w:vAlign w:val="center"/>
          </w:tcPr>
          <w:p w14:paraId="0B4FD108">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pH</w:t>
            </w:r>
          </w:p>
        </w:tc>
        <w:tc>
          <w:tcPr>
            <w:tcW w:w="1460" w:type="pct"/>
            <w:tcBorders>
              <w:tl2br w:val="nil"/>
              <w:tr2bl w:val="nil"/>
            </w:tcBorders>
            <w:vAlign w:val="center"/>
          </w:tcPr>
          <w:p w14:paraId="4964CD12">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6～9</w:t>
            </w:r>
          </w:p>
        </w:tc>
        <w:tc>
          <w:tcPr>
            <w:tcW w:w="1139" w:type="pct"/>
            <w:tcBorders>
              <w:tl2br w:val="nil"/>
              <w:tr2bl w:val="nil"/>
            </w:tcBorders>
            <w:vAlign w:val="center"/>
          </w:tcPr>
          <w:p w14:paraId="2E1DD8A0">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无量纲</w:t>
            </w:r>
          </w:p>
        </w:tc>
      </w:tr>
      <w:tr w14:paraId="56185E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264" w:hRule="atLeast"/>
          <w:jc w:val="center"/>
        </w:trPr>
        <w:tc>
          <w:tcPr>
            <w:tcW w:w="513" w:type="pct"/>
            <w:vMerge w:val="continue"/>
            <w:tcBorders>
              <w:tl2br w:val="nil"/>
              <w:tr2bl w:val="nil"/>
            </w:tcBorders>
            <w:vAlign w:val="center"/>
          </w:tcPr>
          <w:p w14:paraId="4BCEDBC7">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c>
          <w:tcPr>
            <w:tcW w:w="912" w:type="pct"/>
            <w:vMerge w:val="continue"/>
            <w:tcBorders>
              <w:tl2br w:val="nil"/>
              <w:tr2bl w:val="nil"/>
            </w:tcBorders>
            <w:vAlign w:val="center"/>
          </w:tcPr>
          <w:p w14:paraId="5F0D2755">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c>
          <w:tcPr>
            <w:tcW w:w="974" w:type="pct"/>
            <w:tcBorders>
              <w:tl2br w:val="nil"/>
              <w:tr2bl w:val="nil"/>
            </w:tcBorders>
            <w:vAlign w:val="center"/>
          </w:tcPr>
          <w:p w14:paraId="1D93CCBE">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COD</w:t>
            </w:r>
            <w:r>
              <w:rPr>
                <w:rFonts w:hint="eastAsia" w:ascii="Times New Roman" w:hAnsi="Times New Roman" w:eastAsia="宋体" w:cs="Times New Roman"/>
                <w:bCs/>
                <w:color w:val="000000"/>
                <w:kern w:val="28"/>
                <w:sz w:val="21"/>
                <w:szCs w:val="32"/>
                <w:u w:val="none"/>
                <w:vertAlign w:val="subscript"/>
                <w:lang w:val="zh-CN" w:eastAsia="zh-CN" w:bidi="zh-CN"/>
              </w:rPr>
              <w:t>Cr</w:t>
            </w:r>
          </w:p>
        </w:tc>
        <w:tc>
          <w:tcPr>
            <w:tcW w:w="1460" w:type="pct"/>
            <w:tcBorders>
              <w:tl2br w:val="nil"/>
              <w:tr2bl w:val="nil"/>
            </w:tcBorders>
            <w:vAlign w:val="center"/>
          </w:tcPr>
          <w:p w14:paraId="0C060180">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w:t>
            </w:r>
            <w:r>
              <w:rPr>
                <w:rFonts w:ascii="Times New Roman" w:hAnsi="Times New Roman" w:eastAsia="宋体" w:cs="Times New Roman"/>
                <w:bCs/>
                <w:color w:val="000000"/>
                <w:kern w:val="28"/>
                <w:sz w:val="21"/>
                <w:szCs w:val="32"/>
                <w:u w:val="none"/>
                <w:lang w:val="zh-CN" w:eastAsia="zh-CN" w:bidi="zh-CN"/>
              </w:rPr>
              <w:t>20</w:t>
            </w:r>
          </w:p>
        </w:tc>
        <w:tc>
          <w:tcPr>
            <w:tcW w:w="1139" w:type="pct"/>
            <w:vMerge w:val="restart"/>
            <w:tcBorders>
              <w:tl2br w:val="nil"/>
              <w:tr2bl w:val="nil"/>
            </w:tcBorders>
            <w:vAlign w:val="center"/>
          </w:tcPr>
          <w:p w14:paraId="463EC912">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mg/L</w:t>
            </w:r>
          </w:p>
        </w:tc>
      </w:tr>
      <w:tr w14:paraId="350207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264" w:hRule="atLeast"/>
          <w:jc w:val="center"/>
        </w:trPr>
        <w:tc>
          <w:tcPr>
            <w:tcW w:w="513" w:type="pct"/>
            <w:vMerge w:val="continue"/>
            <w:tcBorders>
              <w:tl2br w:val="nil"/>
              <w:tr2bl w:val="nil"/>
            </w:tcBorders>
            <w:vAlign w:val="center"/>
          </w:tcPr>
          <w:p w14:paraId="31EB1263">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c>
          <w:tcPr>
            <w:tcW w:w="912" w:type="pct"/>
            <w:vMerge w:val="continue"/>
            <w:tcBorders>
              <w:tl2br w:val="nil"/>
              <w:tr2bl w:val="nil"/>
            </w:tcBorders>
            <w:vAlign w:val="center"/>
          </w:tcPr>
          <w:p w14:paraId="69638305">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c>
          <w:tcPr>
            <w:tcW w:w="974" w:type="pct"/>
            <w:tcBorders>
              <w:tl2br w:val="nil"/>
              <w:tr2bl w:val="nil"/>
            </w:tcBorders>
            <w:vAlign w:val="center"/>
          </w:tcPr>
          <w:p w14:paraId="049E8AE7">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BOD</w:t>
            </w:r>
            <w:r>
              <w:rPr>
                <w:rFonts w:hint="eastAsia" w:ascii="Times New Roman" w:hAnsi="Times New Roman" w:eastAsia="宋体" w:cs="Times New Roman"/>
                <w:bCs/>
                <w:color w:val="000000"/>
                <w:kern w:val="28"/>
                <w:sz w:val="21"/>
                <w:szCs w:val="32"/>
                <w:u w:val="none"/>
                <w:vertAlign w:val="subscript"/>
                <w:lang w:val="zh-CN" w:eastAsia="zh-CN" w:bidi="zh-CN"/>
              </w:rPr>
              <w:t>5</w:t>
            </w:r>
          </w:p>
        </w:tc>
        <w:tc>
          <w:tcPr>
            <w:tcW w:w="1460" w:type="pct"/>
            <w:tcBorders>
              <w:tl2br w:val="nil"/>
              <w:tr2bl w:val="nil"/>
            </w:tcBorders>
            <w:vAlign w:val="center"/>
          </w:tcPr>
          <w:p w14:paraId="7606389F">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w:t>
            </w:r>
            <w:r>
              <w:rPr>
                <w:rFonts w:ascii="Times New Roman" w:hAnsi="Times New Roman" w:eastAsia="宋体" w:cs="Times New Roman"/>
                <w:bCs/>
                <w:color w:val="000000"/>
                <w:kern w:val="28"/>
                <w:sz w:val="21"/>
                <w:szCs w:val="32"/>
                <w:u w:val="none"/>
                <w:lang w:val="zh-CN" w:eastAsia="zh-CN" w:bidi="zh-CN"/>
              </w:rPr>
              <w:t>4</w:t>
            </w:r>
          </w:p>
        </w:tc>
        <w:tc>
          <w:tcPr>
            <w:tcW w:w="1139" w:type="pct"/>
            <w:vMerge w:val="continue"/>
            <w:tcBorders>
              <w:tl2br w:val="nil"/>
              <w:tr2bl w:val="nil"/>
            </w:tcBorders>
            <w:vAlign w:val="center"/>
          </w:tcPr>
          <w:p w14:paraId="39E21053">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r>
      <w:tr w14:paraId="5C25AE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264" w:hRule="atLeast"/>
          <w:jc w:val="center"/>
        </w:trPr>
        <w:tc>
          <w:tcPr>
            <w:tcW w:w="513" w:type="pct"/>
            <w:vMerge w:val="continue"/>
            <w:tcBorders>
              <w:tl2br w:val="nil"/>
              <w:tr2bl w:val="nil"/>
            </w:tcBorders>
            <w:vAlign w:val="center"/>
          </w:tcPr>
          <w:p w14:paraId="68B776E5">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c>
          <w:tcPr>
            <w:tcW w:w="912" w:type="pct"/>
            <w:vMerge w:val="continue"/>
            <w:tcBorders>
              <w:tl2br w:val="nil"/>
              <w:tr2bl w:val="nil"/>
            </w:tcBorders>
            <w:vAlign w:val="center"/>
          </w:tcPr>
          <w:p w14:paraId="55B8D580">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c>
          <w:tcPr>
            <w:tcW w:w="974" w:type="pct"/>
            <w:tcBorders>
              <w:tl2br w:val="nil"/>
              <w:tr2bl w:val="nil"/>
            </w:tcBorders>
            <w:vAlign w:val="center"/>
          </w:tcPr>
          <w:p w14:paraId="689D8B58">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NH</w:t>
            </w:r>
            <w:r>
              <w:rPr>
                <w:rFonts w:hint="eastAsia" w:ascii="Times New Roman" w:hAnsi="Times New Roman" w:eastAsia="宋体" w:cs="Times New Roman"/>
                <w:bCs/>
                <w:color w:val="000000"/>
                <w:kern w:val="28"/>
                <w:sz w:val="21"/>
                <w:szCs w:val="32"/>
                <w:u w:val="none"/>
                <w:vertAlign w:val="subscript"/>
                <w:lang w:val="zh-CN" w:eastAsia="zh-CN" w:bidi="zh-CN"/>
              </w:rPr>
              <w:t>3</w:t>
            </w:r>
            <w:r>
              <w:rPr>
                <w:rFonts w:hint="eastAsia" w:ascii="Times New Roman" w:hAnsi="Times New Roman" w:eastAsia="宋体" w:cs="Times New Roman"/>
                <w:bCs/>
                <w:color w:val="000000"/>
                <w:kern w:val="28"/>
                <w:sz w:val="21"/>
                <w:szCs w:val="32"/>
                <w:u w:val="none"/>
                <w:lang w:val="zh-CN" w:eastAsia="zh-CN" w:bidi="zh-CN"/>
              </w:rPr>
              <w:t>-N</w:t>
            </w:r>
          </w:p>
        </w:tc>
        <w:tc>
          <w:tcPr>
            <w:tcW w:w="1460" w:type="pct"/>
            <w:tcBorders>
              <w:tl2br w:val="nil"/>
              <w:tr2bl w:val="nil"/>
            </w:tcBorders>
            <w:vAlign w:val="center"/>
          </w:tcPr>
          <w:p w14:paraId="1F366103">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≤1.</w:t>
            </w:r>
            <w:r>
              <w:rPr>
                <w:rFonts w:ascii="Times New Roman" w:hAnsi="Times New Roman" w:eastAsia="宋体" w:cs="Times New Roman"/>
                <w:bCs/>
                <w:color w:val="000000"/>
                <w:kern w:val="28"/>
                <w:sz w:val="21"/>
                <w:szCs w:val="32"/>
                <w:u w:val="none"/>
                <w:lang w:val="zh-CN" w:eastAsia="zh-CN" w:bidi="zh-CN"/>
              </w:rPr>
              <w:t>0</w:t>
            </w:r>
          </w:p>
        </w:tc>
        <w:tc>
          <w:tcPr>
            <w:tcW w:w="1139" w:type="pct"/>
            <w:vMerge w:val="continue"/>
            <w:tcBorders>
              <w:tl2br w:val="nil"/>
              <w:tr2bl w:val="nil"/>
            </w:tcBorders>
            <w:vAlign w:val="center"/>
          </w:tcPr>
          <w:p w14:paraId="1827D695">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r>
      <w:tr w14:paraId="7479F8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264" w:hRule="atLeast"/>
          <w:jc w:val="center"/>
        </w:trPr>
        <w:tc>
          <w:tcPr>
            <w:tcW w:w="513" w:type="pct"/>
            <w:vMerge w:val="continue"/>
            <w:tcBorders>
              <w:tl2br w:val="nil"/>
              <w:tr2bl w:val="nil"/>
            </w:tcBorders>
            <w:vAlign w:val="center"/>
          </w:tcPr>
          <w:p w14:paraId="4A13A632">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c>
          <w:tcPr>
            <w:tcW w:w="912" w:type="pct"/>
            <w:vMerge w:val="continue"/>
            <w:tcBorders>
              <w:tl2br w:val="nil"/>
              <w:tr2bl w:val="nil"/>
            </w:tcBorders>
            <w:vAlign w:val="center"/>
          </w:tcPr>
          <w:p w14:paraId="4029762B">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c>
          <w:tcPr>
            <w:tcW w:w="974" w:type="pct"/>
            <w:tcBorders>
              <w:tl2br w:val="nil"/>
              <w:tr2bl w:val="nil"/>
            </w:tcBorders>
            <w:vAlign w:val="center"/>
          </w:tcPr>
          <w:p w14:paraId="2F210886">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SS</w:t>
            </w:r>
          </w:p>
        </w:tc>
        <w:tc>
          <w:tcPr>
            <w:tcW w:w="1460" w:type="pct"/>
            <w:tcBorders>
              <w:tl2br w:val="nil"/>
              <w:tr2bl w:val="nil"/>
            </w:tcBorders>
            <w:vAlign w:val="center"/>
          </w:tcPr>
          <w:p w14:paraId="4DD74119">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≤30</w:t>
            </w:r>
          </w:p>
        </w:tc>
        <w:tc>
          <w:tcPr>
            <w:tcW w:w="1139" w:type="pct"/>
            <w:vMerge w:val="continue"/>
            <w:tcBorders>
              <w:tl2br w:val="nil"/>
              <w:tr2bl w:val="nil"/>
            </w:tcBorders>
            <w:vAlign w:val="center"/>
          </w:tcPr>
          <w:p w14:paraId="676273A1">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r>
      <w:tr w14:paraId="581CD0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222" w:hRule="atLeast"/>
          <w:jc w:val="center"/>
        </w:trPr>
        <w:tc>
          <w:tcPr>
            <w:tcW w:w="513" w:type="pct"/>
            <w:vMerge w:val="continue"/>
            <w:tcBorders>
              <w:tl2br w:val="nil"/>
              <w:tr2bl w:val="nil"/>
            </w:tcBorders>
            <w:vAlign w:val="center"/>
          </w:tcPr>
          <w:p w14:paraId="707ED1C9">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c>
          <w:tcPr>
            <w:tcW w:w="912" w:type="pct"/>
            <w:vMerge w:val="continue"/>
            <w:tcBorders>
              <w:tl2br w:val="nil"/>
              <w:tr2bl w:val="nil"/>
            </w:tcBorders>
            <w:vAlign w:val="center"/>
          </w:tcPr>
          <w:p w14:paraId="4998DF5E">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c>
          <w:tcPr>
            <w:tcW w:w="974" w:type="pct"/>
            <w:tcBorders>
              <w:tl2br w:val="nil"/>
              <w:tr2bl w:val="nil"/>
            </w:tcBorders>
            <w:vAlign w:val="center"/>
          </w:tcPr>
          <w:p w14:paraId="77D2FDEC">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TP</w:t>
            </w:r>
          </w:p>
        </w:tc>
        <w:tc>
          <w:tcPr>
            <w:tcW w:w="1460" w:type="pct"/>
            <w:tcBorders>
              <w:tl2br w:val="nil"/>
              <w:tr2bl w:val="nil"/>
            </w:tcBorders>
            <w:vAlign w:val="center"/>
          </w:tcPr>
          <w:p w14:paraId="75DCBE47">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≤0</w:t>
            </w:r>
            <w:r>
              <w:rPr>
                <w:rFonts w:ascii="Times New Roman" w:hAnsi="Times New Roman" w:eastAsia="宋体" w:cs="Times New Roman"/>
                <w:bCs/>
                <w:color w:val="000000"/>
                <w:kern w:val="28"/>
                <w:sz w:val="21"/>
                <w:szCs w:val="32"/>
                <w:u w:val="none"/>
                <w:lang w:val="zh-CN" w:eastAsia="zh-CN" w:bidi="zh-CN"/>
              </w:rPr>
              <w:t>.2</w:t>
            </w:r>
          </w:p>
        </w:tc>
        <w:tc>
          <w:tcPr>
            <w:tcW w:w="1139" w:type="pct"/>
            <w:vMerge w:val="continue"/>
            <w:tcBorders>
              <w:tl2br w:val="nil"/>
              <w:tr2bl w:val="nil"/>
            </w:tcBorders>
            <w:vAlign w:val="center"/>
          </w:tcPr>
          <w:p w14:paraId="53C9CD5E">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r>
      <w:tr w14:paraId="64F861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222" w:hRule="atLeast"/>
          <w:jc w:val="center"/>
        </w:trPr>
        <w:tc>
          <w:tcPr>
            <w:tcW w:w="513" w:type="pct"/>
            <w:vMerge w:val="continue"/>
            <w:tcBorders>
              <w:tl2br w:val="nil"/>
              <w:tr2bl w:val="nil"/>
            </w:tcBorders>
            <w:vAlign w:val="center"/>
          </w:tcPr>
          <w:p w14:paraId="42886388">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c>
          <w:tcPr>
            <w:tcW w:w="912" w:type="pct"/>
            <w:vMerge w:val="continue"/>
            <w:tcBorders>
              <w:tl2br w:val="nil"/>
              <w:tr2bl w:val="nil"/>
            </w:tcBorders>
            <w:vAlign w:val="center"/>
          </w:tcPr>
          <w:p w14:paraId="672B7B47">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c>
          <w:tcPr>
            <w:tcW w:w="974" w:type="pct"/>
            <w:tcBorders>
              <w:tl2br w:val="nil"/>
              <w:tr2bl w:val="nil"/>
            </w:tcBorders>
            <w:vAlign w:val="center"/>
          </w:tcPr>
          <w:p w14:paraId="43017E0B">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TN</w:t>
            </w:r>
          </w:p>
        </w:tc>
        <w:tc>
          <w:tcPr>
            <w:tcW w:w="1460" w:type="pct"/>
            <w:tcBorders>
              <w:tl2br w:val="nil"/>
              <w:tr2bl w:val="nil"/>
            </w:tcBorders>
            <w:vAlign w:val="center"/>
          </w:tcPr>
          <w:p w14:paraId="37264702">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≤1.</w:t>
            </w:r>
            <w:r>
              <w:rPr>
                <w:rFonts w:ascii="Times New Roman" w:hAnsi="Times New Roman" w:eastAsia="宋体" w:cs="Times New Roman"/>
                <w:bCs/>
                <w:color w:val="000000"/>
                <w:kern w:val="28"/>
                <w:sz w:val="21"/>
                <w:szCs w:val="32"/>
                <w:u w:val="none"/>
                <w:lang w:val="zh-CN" w:eastAsia="zh-CN" w:bidi="zh-CN"/>
              </w:rPr>
              <w:t>0</w:t>
            </w:r>
          </w:p>
        </w:tc>
        <w:tc>
          <w:tcPr>
            <w:tcW w:w="1139" w:type="pct"/>
            <w:vMerge w:val="continue"/>
            <w:tcBorders>
              <w:tl2br w:val="nil"/>
              <w:tr2bl w:val="nil"/>
            </w:tcBorders>
            <w:vAlign w:val="center"/>
          </w:tcPr>
          <w:p w14:paraId="39808DE5">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r>
      <w:tr w14:paraId="466D9E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222" w:hRule="atLeast"/>
          <w:jc w:val="center"/>
        </w:trPr>
        <w:tc>
          <w:tcPr>
            <w:tcW w:w="513" w:type="pct"/>
            <w:vMerge w:val="continue"/>
            <w:tcBorders>
              <w:tl2br w:val="nil"/>
              <w:tr2bl w:val="nil"/>
            </w:tcBorders>
            <w:vAlign w:val="center"/>
          </w:tcPr>
          <w:p w14:paraId="7B2937F6">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c>
          <w:tcPr>
            <w:tcW w:w="912" w:type="pct"/>
            <w:vMerge w:val="continue"/>
            <w:tcBorders>
              <w:tl2br w:val="nil"/>
              <w:tr2bl w:val="nil"/>
            </w:tcBorders>
            <w:vAlign w:val="center"/>
          </w:tcPr>
          <w:p w14:paraId="69B9604C">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c>
          <w:tcPr>
            <w:tcW w:w="974" w:type="pct"/>
            <w:tcBorders>
              <w:tl2br w:val="nil"/>
              <w:tr2bl w:val="nil"/>
            </w:tcBorders>
            <w:vAlign w:val="center"/>
          </w:tcPr>
          <w:p w14:paraId="08A89C42">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溶解氧</w:t>
            </w:r>
          </w:p>
        </w:tc>
        <w:tc>
          <w:tcPr>
            <w:tcW w:w="1460" w:type="pct"/>
            <w:tcBorders>
              <w:tl2br w:val="nil"/>
              <w:tr2bl w:val="nil"/>
            </w:tcBorders>
            <w:vAlign w:val="center"/>
          </w:tcPr>
          <w:p w14:paraId="07A0A5D6">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≥5</w:t>
            </w:r>
          </w:p>
        </w:tc>
        <w:tc>
          <w:tcPr>
            <w:tcW w:w="1139" w:type="pct"/>
            <w:vMerge w:val="continue"/>
            <w:tcBorders>
              <w:tl2br w:val="nil"/>
              <w:tr2bl w:val="nil"/>
            </w:tcBorders>
            <w:vAlign w:val="center"/>
          </w:tcPr>
          <w:p w14:paraId="00B38210">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r>
      <w:tr w14:paraId="648169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222" w:hRule="atLeast"/>
          <w:jc w:val="center"/>
        </w:trPr>
        <w:tc>
          <w:tcPr>
            <w:tcW w:w="513" w:type="pct"/>
            <w:vMerge w:val="continue"/>
            <w:tcBorders>
              <w:tl2br w:val="nil"/>
              <w:tr2bl w:val="nil"/>
            </w:tcBorders>
            <w:vAlign w:val="center"/>
          </w:tcPr>
          <w:p w14:paraId="19AEA9AB">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c>
          <w:tcPr>
            <w:tcW w:w="912" w:type="pct"/>
            <w:vMerge w:val="continue"/>
            <w:tcBorders>
              <w:tl2br w:val="nil"/>
              <w:tr2bl w:val="nil"/>
            </w:tcBorders>
            <w:vAlign w:val="center"/>
          </w:tcPr>
          <w:p w14:paraId="640B2176">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c>
          <w:tcPr>
            <w:tcW w:w="974" w:type="pct"/>
            <w:tcBorders>
              <w:tl2br w:val="nil"/>
              <w:tr2bl w:val="nil"/>
            </w:tcBorders>
            <w:vAlign w:val="center"/>
          </w:tcPr>
          <w:p w14:paraId="580812D5">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阴离子表面活性剂</w:t>
            </w:r>
          </w:p>
        </w:tc>
        <w:tc>
          <w:tcPr>
            <w:tcW w:w="1460" w:type="pct"/>
            <w:tcBorders>
              <w:tl2br w:val="nil"/>
              <w:tr2bl w:val="nil"/>
            </w:tcBorders>
            <w:vAlign w:val="center"/>
          </w:tcPr>
          <w:p w14:paraId="1799DF62">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≤0</w:t>
            </w:r>
            <w:r>
              <w:rPr>
                <w:rFonts w:ascii="Times New Roman" w:hAnsi="Times New Roman" w:eastAsia="宋体" w:cs="Times New Roman"/>
                <w:bCs/>
                <w:color w:val="000000"/>
                <w:kern w:val="28"/>
                <w:sz w:val="21"/>
                <w:szCs w:val="32"/>
                <w:u w:val="none"/>
                <w:lang w:val="zh-CN" w:eastAsia="zh-CN" w:bidi="zh-CN"/>
              </w:rPr>
              <w:t>.2</w:t>
            </w:r>
          </w:p>
        </w:tc>
        <w:tc>
          <w:tcPr>
            <w:tcW w:w="1139" w:type="pct"/>
            <w:vMerge w:val="continue"/>
            <w:tcBorders>
              <w:tl2br w:val="nil"/>
              <w:tr2bl w:val="nil"/>
            </w:tcBorders>
            <w:vAlign w:val="center"/>
          </w:tcPr>
          <w:p w14:paraId="31830DAC">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r>
      <w:tr w14:paraId="5DA349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222" w:hRule="atLeast"/>
          <w:jc w:val="center"/>
        </w:trPr>
        <w:tc>
          <w:tcPr>
            <w:tcW w:w="513" w:type="pct"/>
            <w:vMerge w:val="continue"/>
            <w:tcBorders>
              <w:tl2br w:val="nil"/>
              <w:tr2bl w:val="nil"/>
            </w:tcBorders>
            <w:vAlign w:val="center"/>
          </w:tcPr>
          <w:p w14:paraId="4D5C6558">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c>
          <w:tcPr>
            <w:tcW w:w="912" w:type="pct"/>
            <w:vMerge w:val="continue"/>
            <w:tcBorders>
              <w:tl2br w:val="nil"/>
              <w:tr2bl w:val="nil"/>
            </w:tcBorders>
            <w:vAlign w:val="center"/>
          </w:tcPr>
          <w:p w14:paraId="5B44B259">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c>
          <w:tcPr>
            <w:tcW w:w="974" w:type="pct"/>
            <w:tcBorders>
              <w:tl2br w:val="nil"/>
              <w:tr2bl w:val="nil"/>
            </w:tcBorders>
            <w:vAlign w:val="center"/>
          </w:tcPr>
          <w:p w14:paraId="1F741F1A">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高锰酸盐指数</w:t>
            </w:r>
          </w:p>
        </w:tc>
        <w:tc>
          <w:tcPr>
            <w:tcW w:w="1460" w:type="pct"/>
            <w:tcBorders>
              <w:tl2br w:val="nil"/>
              <w:tr2bl w:val="nil"/>
            </w:tcBorders>
            <w:vAlign w:val="center"/>
          </w:tcPr>
          <w:p w14:paraId="0926904A">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w:t>
            </w:r>
            <w:r>
              <w:rPr>
                <w:rFonts w:ascii="Times New Roman" w:hAnsi="Times New Roman" w:eastAsia="宋体" w:cs="Times New Roman"/>
                <w:bCs/>
                <w:color w:val="000000"/>
                <w:kern w:val="28"/>
                <w:sz w:val="21"/>
                <w:szCs w:val="32"/>
                <w:u w:val="none"/>
                <w:lang w:val="zh-CN" w:eastAsia="zh-CN" w:bidi="zh-CN"/>
              </w:rPr>
              <w:t>6</w:t>
            </w:r>
          </w:p>
        </w:tc>
        <w:tc>
          <w:tcPr>
            <w:tcW w:w="1139" w:type="pct"/>
            <w:vMerge w:val="continue"/>
            <w:tcBorders>
              <w:tl2br w:val="nil"/>
              <w:tr2bl w:val="nil"/>
            </w:tcBorders>
            <w:vAlign w:val="center"/>
          </w:tcPr>
          <w:p w14:paraId="31081F3B">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r>
      <w:tr w14:paraId="494032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201" w:hRule="atLeast"/>
          <w:jc w:val="center"/>
        </w:trPr>
        <w:tc>
          <w:tcPr>
            <w:tcW w:w="513" w:type="pct"/>
            <w:vMerge w:val="continue"/>
            <w:tcBorders>
              <w:tl2br w:val="nil"/>
              <w:tr2bl w:val="nil"/>
            </w:tcBorders>
            <w:vAlign w:val="center"/>
          </w:tcPr>
          <w:p w14:paraId="5E5775C3">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c>
          <w:tcPr>
            <w:tcW w:w="912" w:type="pct"/>
            <w:vMerge w:val="continue"/>
            <w:tcBorders>
              <w:tl2br w:val="nil"/>
              <w:tr2bl w:val="nil"/>
            </w:tcBorders>
            <w:vAlign w:val="center"/>
          </w:tcPr>
          <w:p w14:paraId="74446FCA">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c>
          <w:tcPr>
            <w:tcW w:w="974" w:type="pct"/>
            <w:tcBorders>
              <w:tl2br w:val="nil"/>
              <w:tr2bl w:val="nil"/>
            </w:tcBorders>
            <w:vAlign w:val="center"/>
          </w:tcPr>
          <w:p w14:paraId="50225B70">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石油类</w:t>
            </w:r>
          </w:p>
        </w:tc>
        <w:tc>
          <w:tcPr>
            <w:tcW w:w="1460" w:type="pct"/>
            <w:tcBorders>
              <w:tl2br w:val="nil"/>
              <w:tr2bl w:val="nil"/>
            </w:tcBorders>
            <w:vAlign w:val="center"/>
          </w:tcPr>
          <w:p w14:paraId="63BA9527">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≤0.</w:t>
            </w:r>
            <w:r>
              <w:rPr>
                <w:rFonts w:ascii="Times New Roman" w:hAnsi="Times New Roman" w:eastAsia="宋体" w:cs="Times New Roman"/>
                <w:bCs/>
                <w:color w:val="000000"/>
                <w:kern w:val="28"/>
                <w:sz w:val="21"/>
                <w:szCs w:val="32"/>
                <w:u w:val="none"/>
                <w:lang w:val="zh-CN" w:eastAsia="zh-CN" w:bidi="zh-CN"/>
              </w:rPr>
              <w:t>05</w:t>
            </w:r>
          </w:p>
        </w:tc>
        <w:tc>
          <w:tcPr>
            <w:tcW w:w="1139" w:type="pct"/>
            <w:vMerge w:val="continue"/>
            <w:tcBorders>
              <w:tl2br w:val="nil"/>
              <w:tr2bl w:val="nil"/>
            </w:tcBorders>
            <w:vAlign w:val="center"/>
          </w:tcPr>
          <w:p w14:paraId="41450D92">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r>
      <w:tr w14:paraId="6A55B6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201" w:hRule="atLeast"/>
          <w:jc w:val="center"/>
        </w:trPr>
        <w:tc>
          <w:tcPr>
            <w:tcW w:w="513" w:type="pct"/>
            <w:vMerge w:val="continue"/>
            <w:tcBorders>
              <w:tl2br w:val="nil"/>
              <w:tr2bl w:val="nil"/>
            </w:tcBorders>
            <w:vAlign w:val="center"/>
          </w:tcPr>
          <w:p w14:paraId="6D814A0F">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c>
          <w:tcPr>
            <w:tcW w:w="912" w:type="pct"/>
            <w:vMerge w:val="continue"/>
            <w:tcBorders>
              <w:tl2br w:val="nil"/>
              <w:tr2bl w:val="nil"/>
            </w:tcBorders>
            <w:vAlign w:val="center"/>
          </w:tcPr>
          <w:p w14:paraId="2BF1B4A1">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9"/>
              <w:rPr>
                <w:rFonts w:ascii="Times New Roman" w:hAnsi="Times New Roman" w:eastAsia="宋体" w:cs="Times New Roman"/>
                <w:bCs/>
                <w:color w:val="000000"/>
                <w:kern w:val="28"/>
                <w:sz w:val="21"/>
                <w:szCs w:val="32"/>
                <w:u w:val="none"/>
                <w:lang w:val="zh-CN" w:eastAsia="zh-CN" w:bidi="zh-CN"/>
              </w:rPr>
            </w:pPr>
          </w:p>
        </w:tc>
        <w:tc>
          <w:tcPr>
            <w:tcW w:w="974" w:type="pct"/>
            <w:tcBorders>
              <w:tl2br w:val="nil"/>
              <w:tr2bl w:val="nil"/>
            </w:tcBorders>
            <w:vAlign w:val="center"/>
          </w:tcPr>
          <w:p w14:paraId="57827481">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粪大肠菌群</w:t>
            </w:r>
          </w:p>
        </w:tc>
        <w:tc>
          <w:tcPr>
            <w:tcW w:w="1460" w:type="pct"/>
            <w:tcBorders>
              <w:tl2br w:val="nil"/>
              <w:tr2bl w:val="nil"/>
            </w:tcBorders>
            <w:vAlign w:val="center"/>
          </w:tcPr>
          <w:p w14:paraId="68FB5DF2">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w:t>
            </w:r>
            <w:r>
              <w:rPr>
                <w:rFonts w:ascii="Times New Roman" w:hAnsi="Times New Roman" w:eastAsia="宋体" w:cs="Times New Roman"/>
                <w:bCs/>
                <w:color w:val="000000"/>
                <w:kern w:val="28"/>
                <w:sz w:val="21"/>
                <w:szCs w:val="32"/>
                <w:u w:val="none"/>
                <w:lang w:val="zh-CN" w:eastAsia="zh-CN" w:bidi="zh-CN"/>
              </w:rPr>
              <w:t>1</w:t>
            </w:r>
            <w:r>
              <w:rPr>
                <w:rFonts w:hint="eastAsia" w:ascii="Times New Roman" w:hAnsi="Times New Roman" w:eastAsia="宋体" w:cs="Times New Roman"/>
                <w:bCs/>
                <w:color w:val="000000"/>
                <w:kern w:val="28"/>
                <w:sz w:val="21"/>
                <w:szCs w:val="32"/>
                <w:u w:val="none"/>
                <w:lang w:val="zh-CN" w:eastAsia="zh-CN" w:bidi="zh-CN"/>
              </w:rPr>
              <w:t>0000</w:t>
            </w:r>
          </w:p>
        </w:tc>
        <w:tc>
          <w:tcPr>
            <w:tcW w:w="1139" w:type="pct"/>
            <w:tcBorders>
              <w:tl2br w:val="nil"/>
              <w:tr2bl w:val="nil"/>
            </w:tcBorders>
            <w:vAlign w:val="center"/>
          </w:tcPr>
          <w:p w14:paraId="4AA73550">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textAlignment w:val="center"/>
              <w:outlineLvl w:val="1"/>
              <w:rPr>
                <w:rFonts w:ascii="Times New Roman" w:hAnsi="Times New Roman" w:eastAsia="宋体" w:cs="Times New Roman"/>
                <w:bCs/>
                <w:color w:val="000000"/>
                <w:kern w:val="28"/>
                <w:sz w:val="21"/>
                <w:szCs w:val="32"/>
                <w:u w:val="none"/>
                <w:lang w:val="zh-CN" w:eastAsia="zh-CN" w:bidi="zh-CN"/>
              </w:rPr>
            </w:pPr>
            <w:r>
              <w:rPr>
                <w:rFonts w:hint="eastAsia" w:ascii="Times New Roman" w:hAnsi="Times New Roman" w:eastAsia="宋体" w:cs="Times New Roman"/>
                <w:bCs/>
                <w:color w:val="000000"/>
                <w:kern w:val="28"/>
                <w:sz w:val="21"/>
                <w:szCs w:val="32"/>
                <w:u w:val="none"/>
                <w:lang w:val="zh-CN" w:eastAsia="zh-CN" w:bidi="zh-CN"/>
              </w:rPr>
              <w:t>个/L</w:t>
            </w:r>
          </w:p>
        </w:tc>
      </w:tr>
    </w:tbl>
    <w:p w14:paraId="35C1DC50">
      <w:pPr>
        <w:keepNext w:val="0"/>
        <w:keepLines w:val="0"/>
        <w:pageBreakBefore w:val="0"/>
        <w:widowControl w:val="0"/>
        <w:kinsoku/>
        <w:wordWrap/>
        <w:overflowPunct/>
        <w:topLinePunct w:val="0"/>
        <w:autoSpaceDE/>
        <w:autoSpaceDN/>
        <w:bidi w:val="0"/>
        <w:adjustRightInd/>
        <w:snapToGrid/>
        <w:spacing w:line="360" w:lineRule="auto"/>
        <w:ind w:firstLine="562" w:firstLineChars="200"/>
        <w:textAlignment w:val="auto"/>
        <w:outlineLvl w:val="2"/>
        <w:rPr>
          <w:rFonts w:hint="eastAsia" w:ascii="Times New Roman" w:hAnsi="Times New Roman" w:eastAsia="宋体" w:cs="Times New Roman"/>
          <w:b/>
          <w:bCs/>
          <w:color w:val="auto"/>
          <w:sz w:val="28"/>
          <w:szCs w:val="28"/>
          <w:lang w:val="en-US" w:eastAsia="zh-CN"/>
        </w:rPr>
      </w:pPr>
      <w:bookmarkStart w:id="43" w:name="_Toc2492"/>
      <w:bookmarkStart w:id="44" w:name="_Toc10224"/>
      <w:r>
        <w:rPr>
          <w:rFonts w:hint="eastAsia" w:cs="Times New Roman"/>
          <w:b/>
          <w:bCs/>
          <w:color w:val="auto"/>
          <w:sz w:val="28"/>
          <w:szCs w:val="28"/>
          <w:lang w:val="en-US" w:eastAsia="zh-CN"/>
        </w:rPr>
        <w:t>1.4.2</w:t>
      </w:r>
      <w:r>
        <w:rPr>
          <w:rFonts w:hint="eastAsia" w:ascii="Times New Roman" w:hAnsi="Times New Roman" w:eastAsia="宋体" w:cs="Times New Roman"/>
          <w:b/>
          <w:bCs/>
          <w:color w:val="auto"/>
          <w:sz w:val="28"/>
          <w:szCs w:val="28"/>
          <w:lang w:val="en-US" w:eastAsia="zh-CN"/>
        </w:rPr>
        <w:t>、水污染物排放标准</w:t>
      </w:r>
      <w:bookmarkEnd w:id="43"/>
      <w:bookmarkEnd w:id="44"/>
    </w:p>
    <w:p w14:paraId="0BA5EDD2">
      <w:pPr>
        <w:spacing w:line="360" w:lineRule="auto"/>
        <w:ind w:firstLine="480"/>
        <w:rPr>
          <w:rFonts w:hint="eastAsia" w:ascii="Times New Roman" w:hAnsi="Times New Roman" w:eastAsia="宋体" w:cs="Times New Roman"/>
          <w:snapToGrid w:val="0"/>
          <w:color w:val="000000"/>
          <w:kern w:val="0"/>
          <w:sz w:val="24"/>
          <w:szCs w:val="24"/>
          <w:lang w:val="en-US" w:eastAsia="zh-CN" w:bidi="ar-SA"/>
        </w:rPr>
      </w:pPr>
      <w:r>
        <w:rPr>
          <w:rFonts w:hint="eastAsia" w:ascii="Times New Roman" w:hAnsi="Times New Roman" w:eastAsia="宋体" w:cs="Times New Roman"/>
          <w:snapToGrid w:val="0"/>
          <w:color w:val="000000"/>
          <w:kern w:val="0"/>
          <w:sz w:val="24"/>
          <w:szCs w:val="24"/>
          <w:lang w:val="en-US" w:eastAsia="zh-CN" w:bidi="ar-SA"/>
        </w:rPr>
        <w:t>污水经处理后化学需氧量、氨氮、总氮和总磷等指标必须达到《湖南省城镇污水处理厂主要水污染物排放标准》（DB43/T 1546-2018）二级标准后排入果利河，其余指标按《城镇污水处理厂污染物排放标准》（GB18918-2002）一级标准的A标准</w:t>
      </w:r>
      <w:r>
        <w:rPr>
          <w:rFonts w:hint="eastAsia" w:ascii="Times New Roman" w:hAnsi="Times New Roman" w:eastAsia="宋体" w:cs="Times New Roman"/>
          <w:color w:val="000000"/>
          <w:sz w:val="24"/>
          <w:szCs w:val="21"/>
          <w:lang w:val="en-US" w:eastAsia="zh-CN"/>
        </w:rPr>
        <w:t>执行</w:t>
      </w:r>
      <w:r>
        <w:rPr>
          <w:rFonts w:hint="eastAsia" w:ascii="Times New Roman" w:hAnsi="Times New Roman" w:eastAsia="宋体" w:cs="Times New Roman"/>
          <w:snapToGrid w:val="0"/>
          <w:color w:val="000000"/>
          <w:kern w:val="0"/>
          <w:sz w:val="24"/>
          <w:szCs w:val="24"/>
          <w:lang w:val="en-US" w:eastAsia="zh-CN" w:bidi="ar-SA"/>
        </w:rPr>
        <w:t>。</w:t>
      </w:r>
    </w:p>
    <w:p w14:paraId="3653B831">
      <w:pPr>
        <w:spacing w:line="360" w:lineRule="auto"/>
        <w:outlineLvl w:val="1"/>
        <w:rPr>
          <w:rFonts w:ascii="Times New Roman" w:hAnsi="Times New Roman" w:eastAsia="宋体" w:cs="Times New Roman"/>
          <w:b/>
          <w:bCs/>
          <w:color w:val="auto"/>
          <w:sz w:val="30"/>
          <w:szCs w:val="30"/>
        </w:rPr>
      </w:pPr>
      <w:bookmarkStart w:id="45" w:name="_Toc22768"/>
      <w:bookmarkStart w:id="46" w:name="_Toc673"/>
      <w:bookmarkStart w:id="47" w:name="_Toc27985"/>
      <w:r>
        <w:rPr>
          <w:rFonts w:ascii="Times New Roman" w:hAnsi="Times New Roman" w:eastAsia="宋体" w:cs="Times New Roman"/>
          <w:b/>
          <w:bCs/>
          <w:color w:val="auto"/>
          <w:sz w:val="30"/>
          <w:szCs w:val="30"/>
        </w:rPr>
        <w:t>1.5地表水评价等级</w:t>
      </w:r>
      <w:bookmarkEnd w:id="45"/>
      <w:bookmarkEnd w:id="46"/>
      <w:bookmarkEnd w:id="47"/>
    </w:p>
    <w:p w14:paraId="6C2A4AD9">
      <w:pPr>
        <w:spacing w:line="360" w:lineRule="auto"/>
        <w:ind w:firstLine="480" w:firstLineChars="200"/>
        <w:rPr>
          <w:rFonts w:hint="eastAsia" w:ascii="Times New Roman" w:hAnsi="Times New Roman" w:eastAsia="宋体" w:cs="Times New Roman"/>
          <w:color w:val="auto"/>
          <w:sz w:val="24"/>
        </w:rPr>
      </w:pPr>
      <w:bookmarkStart w:id="48" w:name="_Toc8714"/>
      <w:r>
        <w:rPr>
          <w:rFonts w:hint="eastAsia" w:ascii="Times New Roman" w:hAnsi="Times New Roman" w:eastAsia="宋体" w:cs="Times New Roman"/>
          <w:color w:val="auto"/>
          <w:sz w:val="24"/>
        </w:rPr>
        <w:t>根据《环境影响评价技术导则  地表水环境》（HJ/T2.3-2018）4.2.1“建设项目地表水环境影响主要包括水污染影响和水文要素影响。根据其主要影响，建设项目地表水环境影响评价划分为水污染影响型、水文要素影响型以及两者兼有的复合影响型”。本项目为污水处理设施的建设，属于水污染影响型。</w:t>
      </w:r>
    </w:p>
    <w:p w14:paraId="0EC584CE">
      <w:pPr>
        <w:keepNext w:val="0"/>
        <w:keepLines w:val="0"/>
        <w:pageBreakBefore w:val="0"/>
        <w:widowControl w:val="0"/>
        <w:kinsoku/>
        <w:wordWrap/>
        <w:overflowPunct/>
        <w:topLinePunct w:val="0"/>
        <w:autoSpaceDE w:val="0"/>
        <w:autoSpaceDN w:val="0"/>
        <w:bidi w:val="0"/>
        <w:adjustRightInd w:val="0"/>
        <w:snapToGrid/>
        <w:spacing w:before="48" w:beforeLines="15" w:after="48" w:afterLines="15" w:line="240" w:lineRule="auto"/>
        <w:jc w:val="center"/>
        <w:textAlignment w:val="auto"/>
        <w:rPr>
          <w:b/>
          <w:bCs/>
          <w:color w:val="auto"/>
          <w:sz w:val="21"/>
          <w:szCs w:val="21"/>
        </w:rPr>
      </w:pPr>
      <w:r>
        <w:rPr>
          <w:b/>
          <w:bCs/>
          <w:color w:val="auto"/>
          <w:sz w:val="21"/>
          <w:szCs w:val="21"/>
        </w:rPr>
        <w:t>表</w:t>
      </w:r>
      <w:r>
        <w:rPr>
          <w:rFonts w:hint="eastAsia"/>
          <w:b/>
          <w:bCs/>
          <w:color w:val="auto"/>
          <w:sz w:val="21"/>
          <w:szCs w:val="21"/>
          <w:lang w:val="en-US" w:eastAsia="zh-CN"/>
        </w:rPr>
        <w:t>1.5-1</w:t>
      </w:r>
      <w:r>
        <w:rPr>
          <w:b/>
          <w:bCs/>
          <w:color w:val="auto"/>
          <w:sz w:val="21"/>
          <w:szCs w:val="21"/>
        </w:rPr>
        <w:t xml:space="preserve">  水污染要素影响型建设项目评价等级判定</w:t>
      </w:r>
    </w:p>
    <w:tbl>
      <w:tblPr>
        <w:tblStyle w:val="32"/>
        <w:tblW w:w="9071"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019"/>
        <w:gridCol w:w="2507"/>
        <w:gridCol w:w="3545"/>
      </w:tblGrid>
      <w:tr w14:paraId="78674A5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19" w:type="dxa"/>
            <w:vMerge w:val="restart"/>
            <w:tcBorders>
              <w:tl2br w:val="nil"/>
              <w:tr2bl w:val="nil"/>
            </w:tcBorders>
            <w:vAlign w:val="center"/>
          </w:tcPr>
          <w:p w14:paraId="66F95A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color w:val="auto"/>
                <w:szCs w:val="21"/>
              </w:rPr>
            </w:pPr>
            <w:r>
              <w:rPr>
                <w:b/>
                <w:bCs/>
                <w:color w:val="auto"/>
                <w:szCs w:val="21"/>
              </w:rPr>
              <w:t>评价等级</w:t>
            </w:r>
          </w:p>
        </w:tc>
        <w:tc>
          <w:tcPr>
            <w:tcW w:w="6052" w:type="dxa"/>
            <w:gridSpan w:val="2"/>
            <w:tcBorders>
              <w:tl2br w:val="nil"/>
              <w:tr2bl w:val="nil"/>
            </w:tcBorders>
            <w:vAlign w:val="center"/>
          </w:tcPr>
          <w:p w14:paraId="529CC8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color w:val="auto"/>
                <w:szCs w:val="21"/>
              </w:rPr>
            </w:pPr>
            <w:r>
              <w:rPr>
                <w:b/>
                <w:bCs/>
                <w:color w:val="auto"/>
                <w:szCs w:val="21"/>
              </w:rPr>
              <w:t>判定依据</w:t>
            </w:r>
          </w:p>
        </w:tc>
      </w:tr>
      <w:tr w14:paraId="71E9B7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19" w:type="dxa"/>
            <w:vMerge w:val="continue"/>
            <w:tcBorders>
              <w:tl2br w:val="nil"/>
              <w:tr2bl w:val="nil"/>
            </w:tcBorders>
            <w:vAlign w:val="center"/>
          </w:tcPr>
          <w:p w14:paraId="6ED600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color w:val="auto"/>
                <w:szCs w:val="21"/>
              </w:rPr>
            </w:pPr>
          </w:p>
        </w:tc>
        <w:tc>
          <w:tcPr>
            <w:tcW w:w="2507" w:type="dxa"/>
            <w:tcBorders>
              <w:tl2br w:val="nil"/>
              <w:tr2bl w:val="nil"/>
            </w:tcBorders>
            <w:vAlign w:val="center"/>
          </w:tcPr>
          <w:p w14:paraId="5C54EB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color w:val="auto"/>
                <w:szCs w:val="21"/>
              </w:rPr>
            </w:pPr>
            <w:r>
              <w:rPr>
                <w:b/>
                <w:bCs/>
                <w:color w:val="auto"/>
                <w:szCs w:val="21"/>
              </w:rPr>
              <w:t>排放方式</w:t>
            </w:r>
          </w:p>
        </w:tc>
        <w:tc>
          <w:tcPr>
            <w:tcW w:w="3545" w:type="dxa"/>
            <w:tcBorders>
              <w:tl2br w:val="nil"/>
              <w:tr2bl w:val="nil"/>
            </w:tcBorders>
            <w:vAlign w:val="center"/>
          </w:tcPr>
          <w:p w14:paraId="134F4E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color w:val="auto"/>
                <w:szCs w:val="21"/>
              </w:rPr>
            </w:pPr>
            <w:r>
              <w:rPr>
                <w:b/>
                <w:bCs/>
                <w:color w:val="auto"/>
                <w:szCs w:val="21"/>
              </w:rPr>
              <w:t>废水排放量Q/（m</w:t>
            </w:r>
            <w:r>
              <w:rPr>
                <w:b/>
                <w:bCs/>
                <w:color w:val="auto"/>
                <w:szCs w:val="21"/>
                <w:vertAlign w:val="superscript"/>
              </w:rPr>
              <w:t>3</w:t>
            </w:r>
            <w:r>
              <w:rPr>
                <w:b/>
                <w:bCs/>
                <w:color w:val="auto"/>
                <w:szCs w:val="21"/>
              </w:rPr>
              <w:t>/d）；</w:t>
            </w:r>
          </w:p>
          <w:p w14:paraId="4946DA3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
                <w:bCs/>
                <w:color w:val="auto"/>
                <w:szCs w:val="21"/>
              </w:rPr>
            </w:pPr>
            <w:r>
              <w:rPr>
                <w:b/>
                <w:bCs/>
                <w:color w:val="auto"/>
                <w:szCs w:val="21"/>
              </w:rPr>
              <w:t>水污染当量数W/（无量纲）</w:t>
            </w:r>
          </w:p>
        </w:tc>
      </w:tr>
      <w:tr w14:paraId="4050BF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19" w:type="dxa"/>
            <w:tcBorders>
              <w:tl2br w:val="nil"/>
              <w:tr2bl w:val="nil"/>
            </w:tcBorders>
            <w:vAlign w:val="center"/>
          </w:tcPr>
          <w:p w14:paraId="417B55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color w:val="auto"/>
                <w:szCs w:val="21"/>
              </w:rPr>
            </w:pPr>
            <w:r>
              <w:rPr>
                <w:bCs/>
                <w:color w:val="auto"/>
                <w:szCs w:val="21"/>
              </w:rPr>
              <w:t>一级</w:t>
            </w:r>
          </w:p>
        </w:tc>
        <w:tc>
          <w:tcPr>
            <w:tcW w:w="2507" w:type="dxa"/>
            <w:tcBorders>
              <w:tl2br w:val="nil"/>
              <w:tr2bl w:val="nil"/>
            </w:tcBorders>
            <w:vAlign w:val="center"/>
          </w:tcPr>
          <w:p w14:paraId="686574C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color w:val="auto"/>
                <w:szCs w:val="21"/>
              </w:rPr>
            </w:pPr>
            <w:r>
              <w:rPr>
                <w:bCs/>
                <w:color w:val="auto"/>
                <w:szCs w:val="21"/>
              </w:rPr>
              <w:t>直接排放</w:t>
            </w:r>
          </w:p>
        </w:tc>
        <w:tc>
          <w:tcPr>
            <w:tcW w:w="3545" w:type="dxa"/>
            <w:tcBorders>
              <w:tl2br w:val="nil"/>
              <w:tr2bl w:val="nil"/>
            </w:tcBorders>
            <w:vAlign w:val="center"/>
          </w:tcPr>
          <w:p w14:paraId="06A6C2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color w:val="auto"/>
                <w:szCs w:val="21"/>
              </w:rPr>
            </w:pPr>
            <w:r>
              <w:rPr>
                <w:bCs/>
                <w:color w:val="auto"/>
                <w:szCs w:val="21"/>
              </w:rPr>
              <w:t>Q≥20000或W≥600000</w:t>
            </w:r>
          </w:p>
        </w:tc>
      </w:tr>
      <w:tr w14:paraId="01590C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19" w:type="dxa"/>
            <w:tcBorders>
              <w:tl2br w:val="nil"/>
              <w:tr2bl w:val="nil"/>
            </w:tcBorders>
            <w:vAlign w:val="center"/>
          </w:tcPr>
          <w:p w14:paraId="55D58A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color w:val="auto"/>
                <w:szCs w:val="21"/>
              </w:rPr>
            </w:pPr>
            <w:r>
              <w:rPr>
                <w:bCs/>
                <w:color w:val="auto"/>
                <w:szCs w:val="21"/>
              </w:rPr>
              <w:t>二级</w:t>
            </w:r>
          </w:p>
        </w:tc>
        <w:tc>
          <w:tcPr>
            <w:tcW w:w="2507" w:type="dxa"/>
            <w:tcBorders>
              <w:tl2br w:val="nil"/>
              <w:tr2bl w:val="nil"/>
            </w:tcBorders>
            <w:vAlign w:val="center"/>
          </w:tcPr>
          <w:p w14:paraId="7E6D6B2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color w:val="auto"/>
                <w:szCs w:val="21"/>
              </w:rPr>
            </w:pPr>
            <w:r>
              <w:rPr>
                <w:bCs/>
                <w:color w:val="auto"/>
                <w:szCs w:val="21"/>
              </w:rPr>
              <w:t>直接排放</w:t>
            </w:r>
          </w:p>
        </w:tc>
        <w:tc>
          <w:tcPr>
            <w:tcW w:w="3545" w:type="dxa"/>
            <w:tcBorders>
              <w:tl2br w:val="nil"/>
              <w:tr2bl w:val="nil"/>
            </w:tcBorders>
            <w:vAlign w:val="center"/>
          </w:tcPr>
          <w:p w14:paraId="6AD64F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color w:val="auto"/>
                <w:szCs w:val="21"/>
              </w:rPr>
            </w:pPr>
            <w:r>
              <w:rPr>
                <w:bCs/>
                <w:color w:val="auto"/>
                <w:szCs w:val="21"/>
              </w:rPr>
              <w:t>其他</w:t>
            </w:r>
          </w:p>
        </w:tc>
      </w:tr>
      <w:tr w14:paraId="3C9B3C6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19" w:type="dxa"/>
            <w:tcBorders>
              <w:tl2br w:val="nil"/>
              <w:tr2bl w:val="nil"/>
            </w:tcBorders>
            <w:vAlign w:val="center"/>
          </w:tcPr>
          <w:p w14:paraId="35E5B6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color w:val="auto"/>
                <w:szCs w:val="21"/>
              </w:rPr>
            </w:pPr>
            <w:r>
              <w:rPr>
                <w:bCs/>
                <w:color w:val="auto"/>
                <w:szCs w:val="21"/>
              </w:rPr>
              <w:t>三级A</w:t>
            </w:r>
          </w:p>
        </w:tc>
        <w:tc>
          <w:tcPr>
            <w:tcW w:w="2507" w:type="dxa"/>
            <w:tcBorders>
              <w:tl2br w:val="nil"/>
              <w:tr2bl w:val="nil"/>
            </w:tcBorders>
            <w:vAlign w:val="center"/>
          </w:tcPr>
          <w:p w14:paraId="7217106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color w:val="auto"/>
                <w:szCs w:val="21"/>
              </w:rPr>
            </w:pPr>
            <w:r>
              <w:rPr>
                <w:bCs/>
                <w:color w:val="auto"/>
                <w:szCs w:val="21"/>
              </w:rPr>
              <w:t>直接排放</w:t>
            </w:r>
          </w:p>
        </w:tc>
        <w:tc>
          <w:tcPr>
            <w:tcW w:w="3545" w:type="dxa"/>
            <w:tcBorders>
              <w:tl2br w:val="nil"/>
              <w:tr2bl w:val="nil"/>
            </w:tcBorders>
            <w:vAlign w:val="center"/>
          </w:tcPr>
          <w:p w14:paraId="456419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color w:val="auto"/>
                <w:szCs w:val="21"/>
              </w:rPr>
            </w:pPr>
            <w:r>
              <w:rPr>
                <w:bCs/>
                <w:color w:val="auto"/>
                <w:szCs w:val="21"/>
              </w:rPr>
              <w:t>Q&lt;200且W&lt;600000</w:t>
            </w:r>
          </w:p>
        </w:tc>
      </w:tr>
      <w:tr w14:paraId="00DD08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19" w:type="dxa"/>
            <w:tcBorders>
              <w:tl2br w:val="nil"/>
              <w:tr2bl w:val="nil"/>
            </w:tcBorders>
            <w:vAlign w:val="center"/>
          </w:tcPr>
          <w:p w14:paraId="2D8B3C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color w:val="auto"/>
                <w:szCs w:val="21"/>
              </w:rPr>
            </w:pPr>
            <w:r>
              <w:rPr>
                <w:bCs/>
                <w:color w:val="auto"/>
                <w:szCs w:val="21"/>
              </w:rPr>
              <w:t>三级B</w:t>
            </w:r>
          </w:p>
        </w:tc>
        <w:tc>
          <w:tcPr>
            <w:tcW w:w="2507" w:type="dxa"/>
            <w:tcBorders>
              <w:tl2br w:val="nil"/>
              <w:tr2bl w:val="nil"/>
            </w:tcBorders>
            <w:vAlign w:val="center"/>
          </w:tcPr>
          <w:p w14:paraId="38D54A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color w:val="auto"/>
                <w:szCs w:val="21"/>
              </w:rPr>
            </w:pPr>
            <w:r>
              <w:rPr>
                <w:bCs/>
                <w:color w:val="auto"/>
                <w:szCs w:val="21"/>
              </w:rPr>
              <w:t>间接排放</w:t>
            </w:r>
          </w:p>
        </w:tc>
        <w:tc>
          <w:tcPr>
            <w:tcW w:w="3545" w:type="dxa"/>
            <w:tcBorders>
              <w:tl2br w:val="nil"/>
              <w:tr2bl w:val="nil"/>
            </w:tcBorders>
            <w:vAlign w:val="center"/>
          </w:tcPr>
          <w:p w14:paraId="4789F89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color w:val="auto"/>
                <w:szCs w:val="21"/>
              </w:rPr>
            </w:pPr>
            <w:r>
              <w:rPr>
                <w:bCs/>
                <w:color w:val="auto"/>
                <w:szCs w:val="21"/>
              </w:rPr>
              <w:t>/</w:t>
            </w:r>
          </w:p>
        </w:tc>
      </w:tr>
      <w:tr w14:paraId="63E5339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071" w:type="dxa"/>
            <w:gridSpan w:val="3"/>
            <w:tcBorders>
              <w:tl2br w:val="nil"/>
              <w:tr2bl w:val="nil"/>
            </w:tcBorders>
            <w:vAlign w:val="center"/>
          </w:tcPr>
          <w:p w14:paraId="610A5B2A">
            <w:pPr>
              <w:keepNext w:val="0"/>
              <w:keepLines w:val="0"/>
              <w:pageBreakBefore w:val="0"/>
              <w:widowControl w:val="0"/>
              <w:tabs>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both"/>
              <w:textAlignment w:val="baseline"/>
              <w:outlineLvl w:val="4"/>
              <w:rPr>
                <w:rFonts w:cs="宋体"/>
                <w:color w:val="000000"/>
                <w:kern w:val="0"/>
                <w:sz w:val="21"/>
                <w:szCs w:val="21"/>
                <w:u w:val="none"/>
                <w:lang w:val="zh-CN" w:bidi="zh-CN"/>
              </w:rPr>
            </w:pPr>
            <w:r>
              <w:rPr>
                <w:rFonts w:hint="eastAsia" w:cs="宋体"/>
                <w:color w:val="000000"/>
                <w:kern w:val="0"/>
                <w:sz w:val="21"/>
                <w:szCs w:val="21"/>
                <w:u w:val="none"/>
                <w:lang w:val="zh-CN" w:bidi="zh-CN"/>
              </w:rPr>
              <w:t>注1水污染物当量数等于该污染物的年排放量除以该污染物的污染当量值（见附录A）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14:paraId="01B7D9FC">
            <w:pPr>
              <w:keepNext w:val="0"/>
              <w:keepLines w:val="0"/>
              <w:pageBreakBefore w:val="0"/>
              <w:widowControl w:val="0"/>
              <w:tabs>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both"/>
              <w:textAlignment w:val="baseline"/>
              <w:outlineLvl w:val="4"/>
              <w:rPr>
                <w:rFonts w:cs="宋体"/>
                <w:color w:val="000000"/>
                <w:kern w:val="0"/>
                <w:sz w:val="21"/>
                <w:szCs w:val="21"/>
                <w:u w:val="none"/>
                <w:lang w:val="zh-CN" w:bidi="zh-CN"/>
              </w:rPr>
            </w:pPr>
            <w:r>
              <w:rPr>
                <w:rFonts w:hint="eastAsia" w:cs="宋体"/>
                <w:color w:val="000000"/>
                <w:kern w:val="0"/>
                <w:sz w:val="21"/>
                <w:szCs w:val="21"/>
                <w:u w:val="none"/>
                <w:lang w:val="zh-CN" w:bidi="zh-CN"/>
              </w:rPr>
              <w:t>注2废水排放量按行业排放标准中规定的废水种类统计，没有相关行业排放标准要求的通过工程分析合理确定，应统计含热量大的冷却水的排放量，可不统计间接冷却水</w:t>
            </w:r>
            <w:r>
              <w:rPr>
                <w:rFonts w:hint="eastAsia" w:cs="宋体"/>
                <w:color w:val="000000"/>
                <w:kern w:val="0"/>
                <w:sz w:val="21"/>
                <w:szCs w:val="21"/>
                <w:u w:val="none"/>
                <w:lang w:val="zh-CN" w:eastAsia="zh-CN" w:bidi="zh-CN"/>
              </w:rPr>
              <w:t xml:space="preserve"> </w:t>
            </w:r>
            <w:r>
              <w:rPr>
                <w:rFonts w:hint="eastAsia" w:cs="宋体"/>
                <w:color w:val="000000"/>
                <w:kern w:val="0"/>
                <w:sz w:val="21"/>
                <w:szCs w:val="21"/>
                <w:u w:val="none"/>
                <w:lang w:val="zh-CN" w:bidi="zh-CN"/>
              </w:rPr>
              <w:t>循环水以及其他含污染物极少的清净下水的排放量。</w:t>
            </w:r>
          </w:p>
          <w:p w14:paraId="67C171CE">
            <w:pPr>
              <w:keepNext w:val="0"/>
              <w:keepLines w:val="0"/>
              <w:pageBreakBefore w:val="0"/>
              <w:widowControl w:val="0"/>
              <w:tabs>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both"/>
              <w:textAlignment w:val="baseline"/>
              <w:outlineLvl w:val="4"/>
              <w:rPr>
                <w:rFonts w:cs="宋体"/>
                <w:color w:val="000000"/>
                <w:kern w:val="0"/>
                <w:sz w:val="21"/>
                <w:szCs w:val="21"/>
                <w:u w:val="none"/>
                <w:lang w:val="zh-CN" w:bidi="zh-CN"/>
              </w:rPr>
            </w:pPr>
            <w:r>
              <w:rPr>
                <w:rFonts w:hint="eastAsia" w:cs="宋体"/>
                <w:color w:val="000000"/>
                <w:kern w:val="0"/>
                <w:sz w:val="21"/>
                <w:szCs w:val="21"/>
                <w:u w:val="none"/>
                <w:lang w:val="zh-CN" w:bidi="zh-CN"/>
              </w:rPr>
              <w:t>注3厂区存在堆积物（露天堆放的原料</w:t>
            </w:r>
            <w:r>
              <w:rPr>
                <w:rFonts w:hint="eastAsia" w:cs="宋体"/>
                <w:color w:val="000000"/>
                <w:kern w:val="0"/>
                <w:sz w:val="21"/>
                <w:szCs w:val="21"/>
                <w:u w:val="none"/>
                <w:lang w:val="zh-CN" w:eastAsia="zh-CN" w:bidi="zh-CN"/>
              </w:rPr>
              <w:t xml:space="preserve"> </w:t>
            </w:r>
            <w:r>
              <w:rPr>
                <w:rFonts w:hint="eastAsia" w:cs="宋体"/>
                <w:color w:val="000000"/>
                <w:kern w:val="0"/>
                <w:sz w:val="21"/>
                <w:szCs w:val="21"/>
                <w:u w:val="none"/>
                <w:lang w:val="zh-CN" w:bidi="zh-CN"/>
              </w:rPr>
              <w:t>燃料</w:t>
            </w:r>
            <w:r>
              <w:rPr>
                <w:rFonts w:hint="eastAsia" w:cs="宋体"/>
                <w:color w:val="000000"/>
                <w:kern w:val="0"/>
                <w:sz w:val="21"/>
                <w:szCs w:val="21"/>
                <w:u w:val="none"/>
                <w:lang w:val="zh-CN" w:eastAsia="zh-CN" w:bidi="zh-CN"/>
              </w:rPr>
              <w:t xml:space="preserve"> </w:t>
            </w:r>
            <w:r>
              <w:rPr>
                <w:rFonts w:hint="eastAsia" w:cs="宋体"/>
                <w:color w:val="000000"/>
                <w:kern w:val="0"/>
                <w:sz w:val="21"/>
                <w:szCs w:val="21"/>
                <w:u w:val="none"/>
                <w:lang w:val="zh-CN" w:bidi="zh-CN"/>
              </w:rPr>
              <w:t>废渣等以及垃圾堆放场）</w:t>
            </w:r>
            <w:r>
              <w:rPr>
                <w:rFonts w:hint="eastAsia" w:cs="宋体"/>
                <w:color w:val="000000"/>
                <w:kern w:val="0"/>
                <w:sz w:val="21"/>
                <w:szCs w:val="21"/>
                <w:u w:val="none"/>
                <w:lang w:val="zh-CN" w:eastAsia="zh-CN" w:bidi="zh-CN"/>
              </w:rPr>
              <w:t xml:space="preserve"> </w:t>
            </w:r>
            <w:r>
              <w:rPr>
                <w:rFonts w:hint="eastAsia" w:cs="宋体"/>
                <w:color w:val="000000"/>
                <w:kern w:val="0"/>
                <w:sz w:val="21"/>
                <w:szCs w:val="21"/>
                <w:u w:val="none"/>
                <w:lang w:val="zh-CN" w:bidi="zh-CN"/>
              </w:rPr>
              <w:t>降尘污染的，应将初期雨污水纳入废水排放量，相应的主要污染物纳入水污染当量计算。</w:t>
            </w:r>
          </w:p>
          <w:p w14:paraId="034CBED0">
            <w:pPr>
              <w:keepNext w:val="0"/>
              <w:keepLines w:val="0"/>
              <w:pageBreakBefore w:val="0"/>
              <w:widowControl w:val="0"/>
              <w:tabs>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both"/>
              <w:textAlignment w:val="baseline"/>
              <w:outlineLvl w:val="4"/>
              <w:rPr>
                <w:rFonts w:cs="宋体"/>
                <w:color w:val="000000"/>
                <w:kern w:val="0"/>
                <w:sz w:val="21"/>
                <w:szCs w:val="21"/>
                <w:u w:val="none"/>
                <w:lang w:val="zh-CN" w:bidi="zh-CN"/>
              </w:rPr>
            </w:pPr>
            <w:r>
              <w:rPr>
                <w:rFonts w:hint="eastAsia" w:cs="宋体"/>
                <w:color w:val="000000"/>
                <w:kern w:val="0"/>
                <w:sz w:val="21"/>
                <w:szCs w:val="21"/>
                <w:u w:val="none"/>
                <w:lang w:val="zh-CN" w:bidi="zh-CN"/>
              </w:rPr>
              <w:t>注4建设项目直接排放第一类污染物的，其评价等级为一级；建设项目直接排放的污染物为受纳水体超标因子的，评价等级不低于二级。</w:t>
            </w:r>
          </w:p>
          <w:p w14:paraId="5B74D5F2">
            <w:pPr>
              <w:keepNext w:val="0"/>
              <w:keepLines w:val="0"/>
              <w:pageBreakBefore w:val="0"/>
              <w:widowControl w:val="0"/>
              <w:tabs>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both"/>
              <w:textAlignment w:val="baseline"/>
              <w:outlineLvl w:val="4"/>
              <w:rPr>
                <w:rFonts w:cs="宋体"/>
                <w:color w:val="000000"/>
                <w:kern w:val="0"/>
                <w:sz w:val="21"/>
                <w:szCs w:val="21"/>
                <w:u w:val="none"/>
                <w:lang w:val="zh-CN" w:bidi="zh-CN"/>
              </w:rPr>
            </w:pPr>
            <w:r>
              <w:rPr>
                <w:rFonts w:hint="eastAsia" w:cs="宋体"/>
                <w:color w:val="000000"/>
                <w:kern w:val="0"/>
                <w:sz w:val="21"/>
                <w:szCs w:val="21"/>
                <w:u w:val="none"/>
                <w:lang w:val="zh-CN" w:bidi="zh-CN"/>
              </w:rPr>
              <w:t>注5直接排放受纳水体影响范围涉及饮用水水源保护区</w:t>
            </w:r>
            <w:r>
              <w:rPr>
                <w:rFonts w:hint="eastAsia" w:cs="宋体"/>
                <w:color w:val="000000"/>
                <w:kern w:val="0"/>
                <w:sz w:val="21"/>
                <w:szCs w:val="21"/>
                <w:u w:val="none"/>
                <w:lang w:val="zh-CN" w:eastAsia="zh-CN" w:bidi="zh-CN"/>
              </w:rPr>
              <w:t xml:space="preserve"> </w:t>
            </w:r>
            <w:r>
              <w:rPr>
                <w:rFonts w:hint="eastAsia" w:cs="宋体"/>
                <w:color w:val="000000"/>
                <w:kern w:val="0"/>
                <w:sz w:val="21"/>
                <w:szCs w:val="21"/>
                <w:u w:val="none"/>
                <w:lang w:val="zh-CN" w:bidi="zh-CN"/>
              </w:rPr>
              <w:t>饮用水取水口</w:t>
            </w:r>
            <w:r>
              <w:rPr>
                <w:rFonts w:hint="eastAsia" w:cs="宋体"/>
                <w:color w:val="000000"/>
                <w:kern w:val="0"/>
                <w:sz w:val="21"/>
                <w:szCs w:val="21"/>
                <w:u w:val="none"/>
                <w:lang w:val="zh-CN" w:eastAsia="zh-CN" w:bidi="zh-CN"/>
              </w:rPr>
              <w:t xml:space="preserve"> </w:t>
            </w:r>
            <w:r>
              <w:rPr>
                <w:rFonts w:hint="eastAsia" w:cs="宋体"/>
                <w:color w:val="000000"/>
                <w:kern w:val="0"/>
                <w:sz w:val="21"/>
                <w:szCs w:val="21"/>
                <w:u w:val="none"/>
                <w:lang w:val="zh-CN" w:bidi="zh-CN"/>
              </w:rPr>
              <w:t>重点保护与珍稀水生生物的栖息地</w:t>
            </w:r>
            <w:r>
              <w:rPr>
                <w:rFonts w:hint="eastAsia" w:cs="宋体"/>
                <w:color w:val="000000"/>
                <w:kern w:val="0"/>
                <w:sz w:val="21"/>
                <w:szCs w:val="21"/>
                <w:u w:val="none"/>
                <w:lang w:val="zh-CN" w:eastAsia="zh-CN" w:bidi="zh-CN"/>
              </w:rPr>
              <w:t xml:space="preserve"> </w:t>
            </w:r>
            <w:r>
              <w:rPr>
                <w:rFonts w:hint="eastAsia" w:cs="宋体"/>
                <w:color w:val="000000"/>
                <w:kern w:val="0"/>
                <w:sz w:val="21"/>
                <w:szCs w:val="21"/>
                <w:u w:val="none"/>
                <w:lang w:val="zh-CN" w:bidi="zh-CN"/>
              </w:rPr>
              <w:t>重要水生生物的自然产卵场等保护目标时，评价等级不低于二级。</w:t>
            </w:r>
          </w:p>
          <w:p w14:paraId="0FF6182A">
            <w:pPr>
              <w:keepNext w:val="0"/>
              <w:keepLines w:val="0"/>
              <w:pageBreakBefore w:val="0"/>
              <w:widowControl w:val="0"/>
              <w:tabs>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both"/>
              <w:textAlignment w:val="baseline"/>
              <w:outlineLvl w:val="4"/>
              <w:rPr>
                <w:rFonts w:cs="宋体"/>
                <w:color w:val="000000"/>
                <w:kern w:val="0"/>
                <w:sz w:val="21"/>
                <w:szCs w:val="21"/>
                <w:u w:val="none"/>
                <w:lang w:val="zh-CN" w:bidi="zh-CN"/>
              </w:rPr>
            </w:pPr>
            <w:r>
              <w:rPr>
                <w:rFonts w:hint="eastAsia" w:cs="宋体"/>
                <w:color w:val="000000"/>
                <w:kern w:val="0"/>
                <w:sz w:val="21"/>
                <w:szCs w:val="21"/>
                <w:u w:val="none"/>
                <w:lang w:val="zh-CN" w:bidi="zh-CN"/>
              </w:rPr>
              <w:t>注6建设项目向河流</w:t>
            </w:r>
            <w:r>
              <w:rPr>
                <w:rFonts w:hint="eastAsia" w:cs="宋体"/>
                <w:color w:val="000000"/>
                <w:kern w:val="0"/>
                <w:sz w:val="21"/>
                <w:szCs w:val="21"/>
                <w:u w:val="none"/>
                <w:lang w:val="zh-CN" w:eastAsia="zh-CN" w:bidi="zh-CN"/>
              </w:rPr>
              <w:t xml:space="preserve"> </w:t>
            </w:r>
            <w:r>
              <w:rPr>
                <w:rFonts w:hint="eastAsia" w:cs="宋体"/>
                <w:color w:val="000000"/>
                <w:kern w:val="0"/>
                <w:sz w:val="21"/>
                <w:szCs w:val="21"/>
                <w:u w:val="none"/>
                <w:lang w:val="zh-CN" w:bidi="zh-CN"/>
              </w:rPr>
              <w:t>湖库排放温排水引起受纳水体水温变化超过水环境质量标准要求，且评价范围有水温敏感目标时，评价等级为一级。</w:t>
            </w:r>
          </w:p>
          <w:p w14:paraId="630866AF">
            <w:pPr>
              <w:keepNext w:val="0"/>
              <w:keepLines w:val="0"/>
              <w:pageBreakBefore w:val="0"/>
              <w:widowControl w:val="0"/>
              <w:tabs>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both"/>
              <w:textAlignment w:val="baseline"/>
              <w:outlineLvl w:val="4"/>
              <w:rPr>
                <w:rFonts w:cs="宋体"/>
                <w:color w:val="000000"/>
                <w:kern w:val="0"/>
                <w:sz w:val="21"/>
                <w:szCs w:val="21"/>
                <w:u w:val="none"/>
                <w:lang w:val="zh-CN" w:bidi="zh-CN"/>
              </w:rPr>
            </w:pPr>
            <w:r>
              <w:rPr>
                <w:rFonts w:hint="eastAsia" w:cs="宋体"/>
                <w:color w:val="000000"/>
                <w:kern w:val="0"/>
                <w:sz w:val="21"/>
                <w:szCs w:val="21"/>
                <w:u w:val="none"/>
                <w:lang w:val="zh-CN" w:bidi="zh-CN"/>
              </w:rPr>
              <w:t>注7建设项目利用海水作为调节温度介质，排水量≥500万m</w:t>
            </w:r>
            <w:r>
              <w:rPr>
                <w:rFonts w:hint="eastAsia" w:cs="宋体"/>
                <w:color w:val="000000"/>
                <w:kern w:val="0"/>
                <w:sz w:val="21"/>
                <w:szCs w:val="21"/>
                <w:u w:val="none"/>
                <w:vertAlign w:val="superscript"/>
                <w:lang w:val="zh-CN" w:bidi="zh-CN"/>
              </w:rPr>
              <w:t>3</w:t>
            </w:r>
            <w:r>
              <w:rPr>
                <w:rFonts w:hint="eastAsia" w:cs="宋体"/>
                <w:color w:val="000000"/>
                <w:kern w:val="0"/>
                <w:sz w:val="21"/>
                <w:szCs w:val="21"/>
                <w:u w:val="none"/>
                <w:lang w:val="zh-CN" w:bidi="zh-CN"/>
              </w:rPr>
              <w:t>/d，评价等级为一级；排水量＜500万m</w:t>
            </w:r>
            <w:r>
              <w:rPr>
                <w:rFonts w:hint="eastAsia" w:cs="宋体"/>
                <w:color w:val="000000"/>
                <w:kern w:val="0"/>
                <w:sz w:val="21"/>
                <w:szCs w:val="21"/>
                <w:u w:val="none"/>
                <w:vertAlign w:val="superscript"/>
                <w:lang w:val="zh-CN" w:bidi="zh-CN"/>
              </w:rPr>
              <w:t>3</w:t>
            </w:r>
            <w:r>
              <w:rPr>
                <w:rFonts w:hint="eastAsia" w:cs="宋体"/>
                <w:color w:val="000000"/>
                <w:kern w:val="0"/>
                <w:sz w:val="21"/>
                <w:szCs w:val="21"/>
                <w:u w:val="none"/>
                <w:lang w:val="zh-CN" w:bidi="zh-CN"/>
              </w:rPr>
              <w:t>/d，评价等级为二级。</w:t>
            </w:r>
          </w:p>
          <w:p w14:paraId="6FD63695">
            <w:pPr>
              <w:keepNext w:val="0"/>
              <w:keepLines w:val="0"/>
              <w:pageBreakBefore w:val="0"/>
              <w:widowControl w:val="0"/>
              <w:tabs>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both"/>
              <w:textAlignment w:val="baseline"/>
              <w:outlineLvl w:val="4"/>
              <w:rPr>
                <w:rFonts w:cs="宋体"/>
                <w:color w:val="000000"/>
                <w:kern w:val="0"/>
                <w:sz w:val="21"/>
                <w:szCs w:val="21"/>
                <w:u w:val="none"/>
                <w:lang w:val="zh-CN" w:bidi="zh-CN"/>
              </w:rPr>
            </w:pPr>
            <w:r>
              <w:rPr>
                <w:rFonts w:hint="eastAsia" w:cs="宋体"/>
                <w:color w:val="000000"/>
                <w:kern w:val="0"/>
                <w:sz w:val="21"/>
                <w:szCs w:val="21"/>
                <w:u w:val="none"/>
                <w:lang w:val="zh-CN" w:bidi="zh-CN"/>
              </w:rPr>
              <w:t>注8仅涉及清净下水排放的，如其排放水质满足受纳水体水环境质量标准要求的，评价等级为三级A。</w:t>
            </w:r>
          </w:p>
          <w:p w14:paraId="2DD5C69C">
            <w:pPr>
              <w:keepNext w:val="0"/>
              <w:keepLines w:val="0"/>
              <w:pageBreakBefore w:val="0"/>
              <w:widowControl w:val="0"/>
              <w:tabs>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both"/>
              <w:textAlignment w:val="baseline"/>
              <w:outlineLvl w:val="4"/>
              <w:rPr>
                <w:rFonts w:cs="宋体"/>
                <w:color w:val="000000"/>
                <w:kern w:val="0"/>
                <w:sz w:val="21"/>
                <w:szCs w:val="21"/>
                <w:u w:val="none"/>
                <w:lang w:val="zh-CN" w:bidi="zh-CN"/>
              </w:rPr>
            </w:pPr>
            <w:r>
              <w:rPr>
                <w:rFonts w:hint="eastAsia" w:cs="宋体"/>
                <w:color w:val="000000"/>
                <w:kern w:val="0"/>
                <w:sz w:val="21"/>
                <w:szCs w:val="21"/>
                <w:u w:val="none"/>
                <w:lang w:val="zh-CN" w:bidi="zh-CN"/>
              </w:rPr>
              <w:t>注9依托现有排放口，且对外环境未新增排放污染物的直接排放建设项目，评价等级参照间接排放，定为三级B。</w:t>
            </w:r>
          </w:p>
          <w:p w14:paraId="0776FC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bCs/>
                <w:color w:val="auto"/>
                <w:szCs w:val="21"/>
              </w:rPr>
            </w:pPr>
            <w:r>
              <w:rPr>
                <w:rFonts w:hint="eastAsia" w:cs="宋体"/>
                <w:color w:val="000000"/>
                <w:kern w:val="0"/>
                <w:sz w:val="21"/>
                <w:szCs w:val="21"/>
                <w:u w:val="none"/>
                <w:lang w:val="zh-CN" w:bidi="zh-CN"/>
              </w:rPr>
              <w:t>注10建设项目生产工艺中有废水产生，但作为回水利用，不排放到外环境的，按三级B评价。</w:t>
            </w:r>
          </w:p>
        </w:tc>
      </w:tr>
    </w:tbl>
    <w:p w14:paraId="71EAFD9E">
      <w:pPr>
        <w:kinsoku w:val="0"/>
        <w:wordWrap w:val="0"/>
        <w:overflowPunct w:val="0"/>
        <w:topLinePunct/>
        <w:autoSpaceDE/>
        <w:autoSpaceDN/>
        <w:bidi w:val="0"/>
        <w:spacing w:before="0" w:after="0" w:line="360" w:lineRule="auto"/>
        <w:ind w:left="0" w:right="0" w:firstLine="480" w:firstLineChars="200"/>
        <w:rPr>
          <w:rFonts w:cs="宋体"/>
          <w:kern w:val="0"/>
          <w:sz w:val="24"/>
          <w:u w:val="none"/>
          <w:lang w:val="zh-CN" w:bidi="zh-CN"/>
        </w:rPr>
      </w:pPr>
      <w:r>
        <w:rPr>
          <w:rFonts w:hint="eastAsia" w:cs="宋体"/>
          <w:kern w:val="0"/>
          <w:sz w:val="24"/>
          <w:u w:val="none"/>
          <w:lang w:val="zh-CN" w:eastAsia="zh-CN" w:bidi="zh-CN"/>
        </w:rPr>
        <w:t>废水排放量为1.5万m</w:t>
      </w:r>
      <w:r>
        <w:rPr>
          <w:rFonts w:hint="eastAsia" w:cs="宋体"/>
          <w:kern w:val="0"/>
          <w:sz w:val="24"/>
          <w:u w:val="none"/>
          <w:vertAlign w:val="superscript"/>
          <w:lang w:val="zh-CN" w:eastAsia="zh-CN" w:bidi="zh-CN"/>
        </w:rPr>
        <w:t>3</w:t>
      </w:r>
      <w:r>
        <w:rPr>
          <w:rFonts w:hint="eastAsia" w:cs="宋体"/>
          <w:kern w:val="0"/>
          <w:sz w:val="24"/>
          <w:u w:val="none"/>
          <w:lang w:val="zh-CN" w:eastAsia="zh-CN" w:bidi="zh-CN"/>
        </w:rPr>
        <w:t>/d，废水处理COD、NH</w:t>
      </w:r>
      <w:r>
        <w:rPr>
          <w:rFonts w:hint="eastAsia" w:cs="宋体"/>
          <w:kern w:val="0"/>
          <w:sz w:val="24"/>
          <w:u w:val="none"/>
          <w:vertAlign w:val="subscript"/>
          <w:lang w:val="zh-CN" w:eastAsia="zh-CN" w:bidi="zh-CN"/>
        </w:rPr>
        <w:t>3</w:t>
      </w:r>
      <w:r>
        <w:rPr>
          <w:rFonts w:hint="eastAsia" w:cs="宋体"/>
          <w:kern w:val="0"/>
          <w:sz w:val="24"/>
          <w:u w:val="none"/>
          <w:lang w:val="zh-CN" w:eastAsia="zh-CN" w:bidi="zh-CN"/>
        </w:rPr>
        <w:t>-N、TP、TN按《湖南省城镇污水处理厂主要水污染物排放标准》（DB43/T 1546-2018）表1二级标准执行，其余指标按《城镇污水处理厂污染物排放标准》（GB18918-2002）一级标准的A标准执行</w:t>
      </w:r>
      <w:r>
        <w:rPr>
          <w:rFonts w:hint="eastAsia" w:cs="宋体"/>
          <w:kern w:val="0"/>
          <w:sz w:val="24"/>
          <w:u w:val="none"/>
          <w:lang w:val="en-US" w:eastAsia="zh-CN" w:bidi="zh-CN"/>
        </w:rPr>
        <w:t>排入</w:t>
      </w:r>
      <w:r>
        <w:rPr>
          <w:rFonts w:hint="eastAsia" w:cs="宋体"/>
          <w:color w:val="000000"/>
          <w:kern w:val="0"/>
          <w:sz w:val="24"/>
          <w:szCs w:val="21"/>
          <w:u w:val="none"/>
          <w:lang w:val="zh-CN" w:eastAsia="zh-CN" w:bidi="zh-CN"/>
        </w:rPr>
        <w:t>果利河</w:t>
      </w:r>
      <w:r>
        <w:rPr>
          <w:rFonts w:hint="eastAsia" w:cs="宋体"/>
          <w:kern w:val="0"/>
          <w:sz w:val="24"/>
          <w:u w:val="none"/>
          <w:lang w:val="zh-CN" w:bidi="zh-CN"/>
        </w:rPr>
        <w:t>。建设项目水污染物当量数见下表。</w:t>
      </w:r>
    </w:p>
    <w:p w14:paraId="145714AF">
      <w:pPr>
        <w:keepNext w:val="0"/>
        <w:keepLines w:val="0"/>
        <w:pageBreakBefore w:val="0"/>
        <w:widowControl w:val="0"/>
        <w:tabs>
          <w:tab w:val="left" w:pos="940"/>
        </w:tabs>
        <w:kinsoku/>
        <w:wordWrap/>
        <w:overflowPunct w:val="0"/>
        <w:topLinePunct w:val="0"/>
        <w:autoSpaceDE w:val="0"/>
        <w:autoSpaceDN w:val="0"/>
        <w:bidi w:val="0"/>
        <w:snapToGrid w:val="0"/>
        <w:spacing w:before="120" w:beforeLines="50" w:after="120" w:afterLines="50" w:line="240" w:lineRule="auto"/>
        <w:ind w:left="0" w:right="0" w:firstLine="0" w:firstLineChars="0"/>
        <w:jc w:val="center"/>
        <w:rPr>
          <w:rFonts w:ascii="Times New Roman" w:hAnsi="Times New Roman" w:eastAsia="黑体" w:cs="宋体"/>
          <w:b/>
          <w:sz w:val="21"/>
          <w:szCs w:val="20"/>
          <w:u w:val="none"/>
          <w:lang w:val="zh-CN" w:eastAsia="zh-CN" w:bidi="zh-CN"/>
        </w:rPr>
      </w:pPr>
      <w:r>
        <w:rPr>
          <w:rFonts w:hint="eastAsia" w:ascii="Times New Roman" w:hAnsi="Times New Roman" w:eastAsia="黑体" w:cs="宋体"/>
          <w:b/>
          <w:sz w:val="21"/>
          <w:szCs w:val="20"/>
          <w:u w:val="none"/>
          <w:lang w:val="zh-CN" w:eastAsia="zh-CN" w:bidi="zh-CN"/>
        </w:rPr>
        <w:t>表</w:t>
      </w:r>
      <w:r>
        <w:rPr>
          <w:rFonts w:hint="eastAsia" w:eastAsia="黑体" w:cs="宋体"/>
          <w:b/>
          <w:sz w:val="21"/>
          <w:szCs w:val="20"/>
          <w:u w:val="none"/>
          <w:lang w:val="en-US" w:eastAsia="zh-CN" w:bidi="zh-CN"/>
        </w:rPr>
        <w:t>1.5</w:t>
      </w:r>
      <w:r>
        <w:rPr>
          <w:rFonts w:hint="eastAsia" w:ascii="Times New Roman" w:hAnsi="Times New Roman" w:eastAsia="黑体" w:cs="宋体"/>
          <w:b/>
          <w:sz w:val="21"/>
          <w:szCs w:val="20"/>
          <w:u w:val="none"/>
          <w:lang w:val="en-US" w:eastAsia="zh-CN" w:bidi="zh-CN"/>
        </w:rPr>
        <w:t>-</w:t>
      </w:r>
      <w:r>
        <w:rPr>
          <w:rFonts w:hint="eastAsia" w:eastAsia="黑体" w:cs="宋体"/>
          <w:b/>
          <w:sz w:val="21"/>
          <w:szCs w:val="20"/>
          <w:u w:val="none"/>
          <w:lang w:val="en-US" w:eastAsia="zh-CN" w:bidi="zh-CN"/>
        </w:rPr>
        <w:t>2</w:t>
      </w:r>
      <w:r>
        <w:rPr>
          <w:rFonts w:hint="eastAsia" w:ascii="Times New Roman" w:hAnsi="Times New Roman" w:eastAsia="黑体" w:cs="宋体"/>
          <w:b/>
          <w:sz w:val="21"/>
          <w:szCs w:val="20"/>
          <w:u w:val="none"/>
          <w:lang w:val="en-US" w:eastAsia="zh-CN" w:bidi="zh-CN"/>
        </w:rPr>
        <w:t xml:space="preserve"> </w:t>
      </w:r>
      <w:r>
        <w:rPr>
          <w:rFonts w:hint="eastAsia" w:ascii="Times New Roman" w:hAnsi="Times New Roman" w:eastAsia="黑体" w:cs="宋体"/>
          <w:b/>
          <w:sz w:val="21"/>
          <w:szCs w:val="20"/>
          <w:u w:val="none"/>
          <w:lang w:val="zh-CN" w:eastAsia="zh-CN" w:bidi="zh-CN"/>
        </w:rPr>
        <w:t>建设项目水污染物当量数一览表</w:t>
      </w:r>
    </w:p>
    <w:tbl>
      <w:tblPr>
        <w:tblStyle w:val="32"/>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89"/>
        <w:gridCol w:w="1112"/>
        <w:gridCol w:w="1907"/>
        <w:gridCol w:w="2541"/>
        <w:gridCol w:w="2939"/>
      </w:tblGrid>
      <w:tr w14:paraId="1A31C2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5" w:type="pct"/>
            <w:tcBorders>
              <w:tl2br w:val="nil"/>
              <w:tr2bl w:val="nil"/>
            </w:tcBorders>
            <w:vAlign w:val="center"/>
          </w:tcPr>
          <w:p w14:paraId="2B3F39FA">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color w:val="000000"/>
                <w:kern w:val="0"/>
                <w:sz w:val="21"/>
                <w:szCs w:val="21"/>
                <w:u w:val="none"/>
                <w:lang w:val="zh-CN" w:bidi="zh-CN"/>
              </w:rPr>
            </w:pPr>
            <w:r>
              <w:rPr>
                <w:rFonts w:hint="eastAsia" w:cs="宋体"/>
                <w:color w:val="000000"/>
                <w:kern w:val="0"/>
                <w:sz w:val="21"/>
                <w:szCs w:val="21"/>
                <w:u w:val="none"/>
                <w:lang w:val="zh-CN" w:bidi="zh-CN"/>
              </w:rPr>
              <w:t>序号</w:t>
            </w:r>
          </w:p>
        </w:tc>
        <w:tc>
          <w:tcPr>
            <w:tcW w:w="598" w:type="pct"/>
            <w:tcBorders>
              <w:tl2br w:val="nil"/>
              <w:tr2bl w:val="nil"/>
            </w:tcBorders>
            <w:vAlign w:val="center"/>
          </w:tcPr>
          <w:p w14:paraId="489CBF3E">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color w:val="000000"/>
                <w:kern w:val="0"/>
                <w:sz w:val="21"/>
                <w:szCs w:val="21"/>
                <w:u w:val="none"/>
                <w:lang w:val="zh-CN" w:bidi="zh-CN"/>
              </w:rPr>
            </w:pPr>
            <w:r>
              <w:rPr>
                <w:rFonts w:hint="eastAsia" w:cs="宋体"/>
                <w:color w:val="000000"/>
                <w:kern w:val="0"/>
                <w:sz w:val="21"/>
                <w:szCs w:val="21"/>
                <w:u w:val="none"/>
                <w:lang w:val="zh-CN" w:bidi="zh-CN"/>
              </w:rPr>
              <w:t>污染物</w:t>
            </w:r>
          </w:p>
        </w:tc>
        <w:tc>
          <w:tcPr>
            <w:tcW w:w="1026" w:type="pct"/>
            <w:tcBorders>
              <w:tl2br w:val="nil"/>
              <w:tr2bl w:val="nil"/>
            </w:tcBorders>
            <w:vAlign w:val="center"/>
          </w:tcPr>
          <w:p w14:paraId="35B59F11">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color w:val="000000"/>
                <w:kern w:val="0"/>
                <w:sz w:val="21"/>
                <w:szCs w:val="21"/>
                <w:u w:val="none"/>
                <w:lang w:val="zh-CN" w:bidi="zh-CN"/>
              </w:rPr>
            </w:pPr>
            <w:r>
              <w:rPr>
                <w:rFonts w:hint="eastAsia" w:cs="宋体"/>
                <w:color w:val="000000"/>
                <w:kern w:val="0"/>
                <w:sz w:val="21"/>
                <w:szCs w:val="21"/>
                <w:u w:val="none"/>
                <w:lang w:val="zh-CN" w:bidi="zh-CN"/>
              </w:rPr>
              <w:t>年排放量（kg</w:t>
            </w:r>
            <w:r>
              <w:rPr>
                <w:rFonts w:cs="宋体"/>
                <w:color w:val="000000"/>
                <w:kern w:val="0"/>
                <w:sz w:val="21"/>
                <w:szCs w:val="21"/>
                <w:u w:val="none"/>
                <w:lang w:val="zh-CN" w:bidi="zh-CN"/>
              </w:rPr>
              <w:t>/a</w:t>
            </w:r>
            <w:r>
              <w:rPr>
                <w:rFonts w:hint="eastAsia" w:cs="宋体"/>
                <w:color w:val="000000"/>
                <w:kern w:val="0"/>
                <w:sz w:val="21"/>
                <w:szCs w:val="21"/>
                <w:u w:val="none"/>
                <w:lang w:val="zh-CN" w:bidi="zh-CN"/>
              </w:rPr>
              <w:t>）</w:t>
            </w:r>
          </w:p>
        </w:tc>
        <w:tc>
          <w:tcPr>
            <w:tcW w:w="1367" w:type="pct"/>
            <w:tcBorders>
              <w:tl2br w:val="nil"/>
              <w:tr2bl w:val="nil"/>
            </w:tcBorders>
            <w:vAlign w:val="center"/>
          </w:tcPr>
          <w:p w14:paraId="28958CB2">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color w:val="000000"/>
                <w:kern w:val="0"/>
                <w:sz w:val="21"/>
                <w:szCs w:val="21"/>
                <w:u w:val="none"/>
                <w:lang w:val="zh-CN" w:bidi="zh-CN"/>
              </w:rPr>
            </w:pPr>
            <w:r>
              <w:rPr>
                <w:rFonts w:hint="eastAsia" w:cs="宋体"/>
                <w:color w:val="000000"/>
                <w:kern w:val="0"/>
                <w:sz w:val="21"/>
                <w:szCs w:val="21"/>
                <w:u w:val="none"/>
                <w:lang w:val="zh-CN" w:bidi="zh-CN"/>
              </w:rPr>
              <w:t>污染物当量值（kg）</w:t>
            </w:r>
          </w:p>
        </w:tc>
        <w:tc>
          <w:tcPr>
            <w:tcW w:w="1581" w:type="pct"/>
            <w:tcBorders>
              <w:tl2br w:val="nil"/>
              <w:tr2bl w:val="nil"/>
            </w:tcBorders>
            <w:vAlign w:val="center"/>
          </w:tcPr>
          <w:p w14:paraId="1F3A7BEC">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color w:val="000000"/>
                <w:kern w:val="0"/>
                <w:sz w:val="21"/>
                <w:szCs w:val="21"/>
                <w:u w:val="none"/>
                <w:lang w:val="zh-CN" w:bidi="zh-CN"/>
              </w:rPr>
            </w:pPr>
            <w:r>
              <w:rPr>
                <w:rFonts w:hint="eastAsia" w:cs="宋体"/>
                <w:color w:val="000000"/>
                <w:kern w:val="0"/>
                <w:sz w:val="21"/>
                <w:szCs w:val="21"/>
                <w:u w:val="none"/>
                <w:lang w:val="zh-CN" w:bidi="zh-CN"/>
              </w:rPr>
              <w:t>污染物当量数（无纲量）</w:t>
            </w:r>
          </w:p>
        </w:tc>
      </w:tr>
      <w:tr w14:paraId="0D355B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5" w:type="pct"/>
            <w:tcBorders>
              <w:tl2br w:val="nil"/>
              <w:tr2bl w:val="nil"/>
            </w:tcBorders>
            <w:vAlign w:val="center"/>
          </w:tcPr>
          <w:p w14:paraId="69F93151">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color w:val="000000"/>
                <w:kern w:val="0"/>
                <w:sz w:val="21"/>
                <w:szCs w:val="21"/>
                <w:u w:val="none"/>
                <w:lang w:val="zh-CN" w:bidi="zh-CN"/>
              </w:rPr>
            </w:pPr>
            <w:r>
              <w:rPr>
                <w:rFonts w:hint="eastAsia" w:cs="宋体"/>
                <w:color w:val="000000"/>
                <w:kern w:val="0"/>
                <w:sz w:val="21"/>
                <w:szCs w:val="21"/>
                <w:u w:val="none"/>
                <w:lang w:val="zh-CN" w:bidi="zh-CN"/>
              </w:rPr>
              <w:t>1</w:t>
            </w:r>
          </w:p>
        </w:tc>
        <w:tc>
          <w:tcPr>
            <w:tcW w:w="598" w:type="pct"/>
            <w:tcBorders>
              <w:tl2br w:val="nil"/>
              <w:tr2bl w:val="nil"/>
            </w:tcBorders>
            <w:vAlign w:val="center"/>
          </w:tcPr>
          <w:p w14:paraId="6A6C1C04">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color w:val="000000"/>
                <w:kern w:val="0"/>
                <w:sz w:val="21"/>
                <w:szCs w:val="21"/>
                <w:u w:val="none"/>
                <w:lang w:val="zh-CN" w:bidi="zh-CN"/>
              </w:rPr>
            </w:pPr>
            <w:r>
              <w:rPr>
                <w:rFonts w:hint="eastAsia" w:cs="宋体"/>
                <w:color w:val="000000"/>
                <w:kern w:val="0"/>
                <w:sz w:val="21"/>
                <w:szCs w:val="21"/>
                <w:u w:val="none"/>
                <w:lang w:val="zh-CN" w:bidi="zh-CN"/>
              </w:rPr>
              <w:t>COD</w:t>
            </w:r>
            <w:r>
              <w:rPr>
                <w:rFonts w:hint="eastAsia" w:cs="宋体"/>
                <w:color w:val="000000"/>
                <w:kern w:val="0"/>
                <w:sz w:val="21"/>
                <w:szCs w:val="21"/>
                <w:u w:val="none"/>
                <w:vertAlign w:val="subscript"/>
                <w:lang w:val="zh-CN" w:bidi="zh-CN"/>
              </w:rPr>
              <w:t xml:space="preserve"> Cr</w:t>
            </w:r>
          </w:p>
        </w:tc>
        <w:tc>
          <w:tcPr>
            <w:tcW w:w="1750" w:type="dxa"/>
            <w:tcBorders>
              <w:tl2br w:val="nil"/>
              <w:tr2bl w:val="nil"/>
            </w:tcBorders>
            <w:vAlign w:val="center"/>
          </w:tcPr>
          <w:p w14:paraId="27CA9BA9">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hint="default" w:cs="宋体"/>
                <w:color w:val="000000"/>
                <w:kern w:val="0"/>
                <w:sz w:val="21"/>
                <w:szCs w:val="21"/>
                <w:u w:val="none"/>
                <w:lang w:val="en-US" w:eastAsia="zh-CN" w:bidi="zh-CN"/>
              </w:rPr>
            </w:pPr>
            <w:r>
              <w:rPr>
                <w:rFonts w:hint="default" w:cs="宋体"/>
                <w:color w:val="000000"/>
                <w:kern w:val="0"/>
                <w:sz w:val="21"/>
                <w:szCs w:val="21"/>
                <w:u w:val="none"/>
                <w:lang w:val="en-US" w:eastAsia="zh-CN" w:bidi="zh-CN"/>
              </w:rPr>
              <w:t>219000</w:t>
            </w:r>
          </w:p>
        </w:tc>
        <w:tc>
          <w:tcPr>
            <w:tcW w:w="2331" w:type="dxa"/>
            <w:tcBorders>
              <w:tl2br w:val="nil"/>
              <w:tr2bl w:val="nil"/>
            </w:tcBorders>
            <w:vAlign w:val="center"/>
          </w:tcPr>
          <w:p w14:paraId="7B78FCB7">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hint="eastAsia" w:cs="宋体"/>
                <w:color w:val="000000"/>
                <w:kern w:val="0"/>
                <w:sz w:val="21"/>
                <w:szCs w:val="21"/>
                <w:u w:val="none"/>
                <w:lang w:val="zh-CN" w:bidi="zh-CN"/>
              </w:rPr>
            </w:pPr>
            <w:r>
              <w:rPr>
                <w:rFonts w:hint="default" w:cs="宋体"/>
                <w:color w:val="000000"/>
                <w:kern w:val="0"/>
                <w:sz w:val="21"/>
                <w:szCs w:val="21"/>
                <w:u w:val="none"/>
                <w:lang w:val="en-US" w:eastAsia="zh-CN" w:bidi="zh-CN"/>
              </w:rPr>
              <w:t>1</w:t>
            </w:r>
          </w:p>
        </w:tc>
        <w:tc>
          <w:tcPr>
            <w:tcW w:w="2696" w:type="dxa"/>
            <w:tcBorders>
              <w:tl2br w:val="nil"/>
              <w:tr2bl w:val="nil"/>
            </w:tcBorders>
            <w:vAlign w:val="center"/>
          </w:tcPr>
          <w:p w14:paraId="62198A40">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hint="default" w:cs="宋体"/>
                <w:color w:val="000000"/>
                <w:kern w:val="0"/>
                <w:sz w:val="21"/>
                <w:szCs w:val="21"/>
                <w:u w:val="none"/>
                <w:lang w:val="en-US" w:eastAsia="zh-CN" w:bidi="zh-CN"/>
              </w:rPr>
            </w:pPr>
            <w:r>
              <w:rPr>
                <w:rFonts w:hint="default" w:cs="宋体"/>
                <w:color w:val="000000"/>
                <w:kern w:val="0"/>
                <w:sz w:val="21"/>
                <w:szCs w:val="21"/>
                <w:u w:val="none"/>
                <w:lang w:val="en-US" w:eastAsia="zh-CN" w:bidi="zh-CN"/>
              </w:rPr>
              <w:t>219000</w:t>
            </w:r>
          </w:p>
        </w:tc>
      </w:tr>
      <w:tr w14:paraId="17DD125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5" w:type="pct"/>
            <w:tcBorders>
              <w:tl2br w:val="nil"/>
              <w:tr2bl w:val="nil"/>
            </w:tcBorders>
            <w:vAlign w:val="center"/>
          </w:tcPr>
          <w:p w14:paraId="5031320C">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color w:val="000000"/>
                <w:kern w:val="0"/>
                <w:sz w:val="21"/>
                <w:szCs w:val="21"/>
                <w:u w:val="none"/>
                <w:lang w:val="zh-CN" w:bidi="zh-CN"/>
              </w:rPr>
            </w:pPr>
            <w:r>
              <w:rPr>
                <w:rFonts w:hint="eastAsia" w:cs="宋体"/>
                <w:color w:val="000000"/>
                <w:kern w:val="0"/>
                <w:sz w:val="21"/>
                <w:szCs w:val="21"/>
                <w:u w:val="none"/>
                <w:lang w:val="zh-CN" w:bidi="zh-CN"/>
              </w:rPr>
              <w:t>2</w:t>
            </w:r>
          </w:p>
        </w:tc>
        <w:tc>
          <w:tcPr>
            <w:tcW w:w="598" w:type="pct"/>
            <w:tcBorders>
              <w:tl2br w:val="nil"/>
              <w:tr2bl w:val="nil"/>
            </w:tcBorders>
            <w:vAlign w:val="center"/>
          </w:tcPr>
          <w:p w14:paraId="20CB230B">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color w:val="000000"/>
                <w:kern w:val="0"/>
                <w:sz w:val="21"/>
                <w:szCs w:val="21"/>
                <w:u w:val="none"/>
                <w:lang w:val="zh-CN" w:bidi="zh-CN"/>
              </w:rPr>
            </w:pPr>
            <w:r>
              <w:rPr>
                <w:rFonts w:hint="eastAsia" w:cs="宋体"/>
                <w:color w:val="000000"/>
                <w:kern w:val="0"/>
                <w:sz w:val="21"/>
                <w:szCs w:val="21"/>
                <w:u w:val="none"/>
                <w:lang w:val="zh-CN" w:bidi="zh-CN"/>
              </w:rPr>
              <w:t>氨氮</w:t>
            </w:r>
          </w:p>
        </w:tc>
        <w:tc>
          <w:tcPr>
            <w:tcW w:w="1750" w:type="dxa"/>
            <w:tcBorders>
              <w:tl2br w:val="nil"/>
              <w:tr2bl w:val="nil"/>
            </w:tcBorders>
            <w:vAlign w:val="center"/>
          </w:tcPr>
          <w:p w14:paraId="1D97E2BA">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hint="default" w:cs="宋体"/>
                <w:color w:val="000000"/>
                <w:kern w:val="0"/>
                <w:sz w:val="21"/>
                <w:szCs w:val="21"/>
                <w:u w:val="none"/>
                <w:lang w:val="en-US" w:eastAsia="zh-CN" w:bidi="zh-CN"/>
              </w:rPr>
            </w:pPr>
            <w:r>
              <w:rPr>
                <w:rFonts w:hint="default" w:cs="宋体"/>
                <w:color w:val="000000"/>
                <w:kern w:val="0"/>
                <w:sz w:val="21"/>
                <w:szCs w:val="21"/>
                <w:u w:val="none"/>
                <w:lang w:val="en-US" w:eastAsia="zh-CN" w:bidi="zh-CN"/>
              </w:rPr>
              <w:t>16425</w:t>
            </w:r>
          </w:p>
        </w:tc>
        <w:tc>
          <w:tcPr>
            <w:tcW w:w="2331" w:type="dxa"/>
            <w:tcBorders>
              <w:tl2br w:val="nil"/>
              <w:tr2bl w:val="nil"/>
            </w:tcBorders>
            <w:vAlign w:val="center"/>
          </w:tcPr>
          <w:p w14:paraId="768E02EC">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hint="eastAsia" w:cs="宋体"/>
                <w:color w:val="000000"/>
                <w:kern w:val="0"/>
                <w:sz w:val="21"/>
                <w:szCs w:val="21"/>
                <w:u w:val="none"/>
                <w:lang w:val="zh-CN" w:bidi="zh-CN"/>
              </w:rPr>
            </w:pPr>
            <w:r>
              <w:rPr>
                <w:rFonts w:hint="default" w:cs="宋体"/>
                <w:color w:val="000000"/>
                <w:kern w:val="0"/>
                <w:sz w:val="21"/>
                <w:szCs w:val="21"/>
                <w:u w:val="none"/>
                <w:lang w:val="en-US" w:eastAsia="zh-CN" w:bidi="zh-CN"/>
              </w:rPr>
              <w:t>0.8</w:t>
            </w:r>
          </w:p>
        </w:tc>
        <w:tc>
          <w:tcPr>
            <w:tcW w:w="2696" w:type="dxa"/>
            <w:tcBorders>
              <w:tl2br w:val="nil"/>
              <w:tr2bl w:val="nil"/>
            </w:tcBorders>
            <w:vAlign w:val="center"/>
          </w:tcPr>
          <w:p w14:paraId="646FDB26">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hint="default" w:cs="宋体"/>
                <w:color w:val="000000"/>
                <w:kern w:val="0"/>
                <w:sz w:val="21"/>
                <w:szCs w:val="21"/>
                <w:u w:val="none"/>
                <w:lang w:val="en-US" w:eastAsia="zh-CN" w:bidi="zh-CN"/>
              </w:rPr>
            </w:pPr>
            <w:r>
              <w:rPr>
                <w:rFonts w:hint="default" w:cs="宋体"/>
                <w:color w:val="000000"/>
                <w:kern w:val="0"/>
                <w:sz w:val="21"/>
                <w:szCs w:val="21"/>
                <w:u w:val="none"/>
                <w:lang w:val="en-US" w:eastAsia="zh-CN" w:bidi="zh-CN"/>
              </w:rPr>
              <w:t>20531.25</w:t>
            </w:r>
          </w:p>
        </w:tc>
      </w:tr>
      <w:tr w14:paraId="70751B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5" w:type="pct"/>
            <w:tcBorders>
              <w:tl2br w:val="nil"/>
              <w:tr2bl w:val="nil"/>
            </w:tcBorders>
            <w:vAlign w:val="center"/>
          </w:tcPr>
          <w:p w14:paraId="6ECAB564">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color w:val="000000"/>
                <w:kern w:val="0"/>
                <w:sz w:val="21"/>
                <w:szCs w:val="21"/>
                <w:u w:val="none"/>
                <w:lang w:val="zh-CN" w:bidi="zh-CN"/>
              </w:rPr>
            </w:pPr>
            <w:r>
              <w:rPr>
                <w:rFonts w:hint="eastAsia" w:cs="宋体"/>
                <w:color w:val="000000"/>
                <w:kern w:val="0"/>
                <w:sz w:val="21"/>
                <w:szCs w:val="21"/>
                <w:u w:val="none"/>
                <w:lang w:val="zh-CN" w:bidi="zh-CN"/>
              </w:rPr>
              <w:t>3</w:t>
            </w:r>
          </w:p>
        </w:tc>
        <w:tc>
          <w:tcPr>
            <w:tcW w:w="598" w:type="pct"/>
            <w:tcBorders>
              <w:tl2br w:val="nil"/>
              <w:tr2bl w:val="nil"/>
            </w:tcBorders>
            <w:vAlign w:val="center"/>
          </w:tcPr>
          <w:p w14:paraId="11AF85E9">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color w:val="000000"/>
                <w:kern w:val="0"/>
                <w:sz w:val="21"/>
                <w:szCs w:val="21"/>
                <w:u w:val="none"/>
                <w:lang w:val="zh-CN" w:bidi="zh-CN"/>
              </w:rPr>
            </w:pPr>
            <w:r>
              <w:rPr>
                <w:rFonts w:hint="eastAsia" w:cs="宋体"/>
                <w:color w:val="000000"/>
                <w:kern w:val="0"/>
                <w:sz w:val="21"/>
                <w:szCs w:val="21"/>
                <w:u w:val="none"/>
                <w:lang w:val="zh-CN" w:bidi="zh-CN"/>
              </w:rPr>
              <w:t>SS</w:t>
            </w:r>
          </w:p>
        </w:tc>
        <w:tc>
          <w:tcPr>
            <w:tcW w:w="1750" w:type="dxa"/>
            <w:tcBorders>
              <w:tl2br w:val="nil"/>
              <w:tr2bl w:val="nil"/>
            </w:tcBorders>
            <w:vAlign w:val="center"/>
          </w:tcPr>
          <w:p w14:paraId="7DEDCB03">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hint="default" w:cs="宋体"/>
                <w:color w:val="000000"/>
                <w:kern w:val="0"/>
                <w:sz w:val="21"/>
                <w:szCs w:val="21"/>
                <w:u w:val="none"/>
                <w:lang w:val="en-US" w:eastAsia="zh-CN" w:bidi="zh-CN"/>
              </w:rPr>
            </w:pPr>
            <w:r>
              <w:rPr>
                <w:rFonts w:hint="default" w:cs="宋体"/>
                <w:color w:val="000000"/>
                <w:kern w:val="0"/>
                <w:sz w:val="21"/>
                <w:szCs w:val="21"/>
                <w:u w:val="none"/>
                <w:lang w:val="en-US" w:eastAsia="zh-CN" w:bidi="zh-CN"/>
              </w:rPr>
              <w:t>54750</w:t>
            </w:r>
          </w:p>
        </w:tc>
        <w:tc>
          <w:tcPr>
            <w:tcW w:w="2331" w:type="dxa"/>
            <w:tcBorders>
              <w:tl2br w:val="nil"/>
              <w:tr2bl w:val="nil"/>
            </w:tcBorders>
            <w:vAlign w:val="center"/>
          </w:tcPr>
          <w:p w14:paraId="61AF81DE">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hint="eastAsia" w:cs="宋体"/>
                <w:color w:val="000000"/>
                <w:kern w:val="0"/>
                <w:sz w:val="21"/>
                <w:szCs w:val="21"/>
                <w:u w:val="none"/>
                <w:lang w:val="zh-CN" w:bidi="zh-CN"/>
              </w:rPr>
            </w:pPr>
            <w:r>
              <w:rPr>
                <w:rFonts w:hint="default" w:cs="宋体"/>
                <w:color w:val="000000"/>
                <w:kern w:val="0"/>
                <w:sz w:val="21"/>
                <w:szCs w:val="21"/>
                <w:u w:val="none"/>
                <w:lang w:val="en-US" w:eastAsia="zh-CN" w:bidi="zh-CN"/>
              </w:rPr>
              <w:t>4</w:t>
            </w:r>
          </w:p>
        </w:tc>
        <w:tc>
          <w:tcPr>
            <w:tcW w:w="2696" w:type="dxa"/>
            <w:tcBorders>
              <w:tl2br w:val="nil"/>
              <w:tr2bl w:val="nil"/>
            </w:tcBorders>
            <w:vAlign w:val="center"/>
          </w:tcPr>
          <w:p w14:paraId="7653855A">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hint="default" w:cs="宋体"/>
                <w:color w:val="000000"/>
                <w:kern w:val="0"/>
                <w:sz w:val="21"/>
                <w:szCs w:val="21"/>
                <w:u w:val="none"/>
                <w:lang w:val="en-US" w:eastAsia="zh-CN" w:bidi="zh-CN"/>
              </w:rPr>
            </w:pPr>
            <w:r>
              <w:rPr>
                <w:rFonts w:hint="default" w:cs="宋体"/>
                <w:color w:val="000000"/>
                <w:kern w:val="0"/>
                <w:sz w:val="21"/>
                <w:szCs w:val="21"/>
                <w:u w:val="none"/>
                <w:lang w:val="en-US" w:eastAsia="zh-CN" w:bidi="zh-CN"/>
              </w:rPr>
              <w:t>13687.5</w:t>
            </w:r>
          </w:p>
        </w:tc>
      </w:tr>
      <w:tr w14:paraId="54616E0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5" w:type="pct"/>
            <w:tcBorders>
              <w:tl2br w:val="nil"/>
              <w:tr2bl w:val="nil"/>
            </w:tcBorders>
            <w:vAlign w:val="center"/>
          </w:tcPr>
          <w:p w14:paraId="72ADF196">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color w:val="000000"/>
                <w:kern w:val="0"/>
                <w:sz w:val="21"/>
                <w:szCs w:val="21"/>
                <w:u w:val="none"/>
                <w:lang w:val="zh-CN" w:bidi="zh-CN"/>
              </w:rPr>
            </w:pPr>
            <w:r>
              <w:rPr>
                <w:rFonts w:hint="eastAsia" w:cs="宋体"/>
                <w:color w:val="000000"/>
                <w:kern w:val="0"/>
                <w:sz w:val="21"/>
                <w:szCs w:val="21"/>
                <w:u w:val="none"/>
                <w:lang w:val="zh-CN" w:bidi="zh-CN"/>
              </w:rPr>
              <w:t>4</w:t>
            </w:r>
          </w:p>
        </w:tc>
        <w:tc>
          <w:tcPr>
            <w:tcW w:w="598" w:type="pct"/>
            <w:tcBorders>
              <w:tl2br w:val="nil"/>
              <w:tr2bl w:val="nil"/>
            </w:tcBorders>
            <w:vAlign w:val="center"/>
          </w:tcPr>
          <w:p w14:paraId="1605F220">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color w:val="000000"/>
                <w:kern w:val="0"/>
                <w:sz w:val="21"/>
                <w:szCs w:val="21"/>
                <w:u w:val="none"/>
                <w:lang w:val="zh-CN" w:bidi="zh-CN"/>
              </w:rPr>
            </w:pPr>
            <w:r>
              <w:rPr>
                <w:rFonts w:hint="eastAsia" w:cs="宋体"/>
                <w:color w:val="000000"/>
                <w:kern w:val="0"/>
                <w:sz w:val="21"/>
                <w:szCs w:val="21"/>
                <w:u w:val="none"/>
                <w:lang w:val="zh-CN" w:bidi="zh-CN"/>
              </w:rPr>
              <w:t>T</w:t>
            </w:r>
            <w:r>
              <w:rPr>
                <w:rFonts w:cs="宋体"/>
                <w:color w:val="000000"/>
                <w:kern w:val="0"/>
                <w:sz w:val="21"/>
                <w:szCs w:val="21"/>
                <w:u w:val="none"/>
                <w:lang w:val="zh-CN" w:bidi="zh-CN"/>
              </w:rPr>
              <w:t>P</w:t>
            </w:r>
          </w:p>
        </w:tc>
        <w:tc>
          <w:tcPr>
            <w:tcW w:w="1750" w:type="dxa"/>
            <w:tcBorders>
              <w:tl2br w:val="nil"/>
              <w:tr2bl w:val="nil"/>
            </w:tcBorders>
            <w:vAlign w:val="center"/>
          </w:tcPr>
          <w:p w14:paraId="447989B0">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hint="default" w:cs="宋体"/>
                <w:color w:val="000000"/>
                <w:kern w:val="0"/>
                <w:sz w:val="21"/>
                <w:szCs w:val="21"/>
                <w:u w:val="none"/>
                <w:lang w:val="en-US" w:eastAsia="zh-CN" w:bidi="zh-CN"/>
              </w:rPr>
            </w:pPr>
            <w:r>
              <w:rPr>
                <w:rFonts w:hint="default" w:cs="宋体"/>
                <w:color w:val="000000"/>
                <w:kern w:val="0"/>
                <w:sz w:val="21"/>
                <w:szCs w:val="21"/>
                <w:u w:val="none"/>
                <w:lang w:val="en-US" w:eastAsia="zh-CN" w:bidi="zh-CN"/>
              </w:rPr>
              <w:t>2737.5</w:t>
            </w:r>
          </w:p>
        </w:tc>
        <w:tc>
          <w:tcPr>
            <w:tcW w:w="2331" w:type="dxa"/>
            <w:tcBorders>
              <w:tl2br w:val="nil"/>
              <w:tr2bl w:val="nil"/>
            </w:tcBorders>
            <w:vAlign w:val="center"/>
          </w:tcPr>
          <w:p w14:paraId="7291F324">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hint="eastAsia" w:cs="宋体"/>
                <w:color w:val="000000"/>
                <w:kern w:val="0"/>
                <w:sz w:val="21"/>
                <w:szCs w:val="21"/>
                <w:u w:val="none"/>
                <w:lang w:val="zh-CN" w:bidi="zh-CN"/>
              </w:rPr>
            </w:pPr>
            <w:r>
              <w:rPr>
                <w:rFonts w:hint="default" w:cs="宋体"/>
                <w:color w:val="000000"/>
                <w:kern w:val="0"/>
                <w:sz w:val="21"/>
                <w:szCs w:val="21"/>
                <w:u w:val="none"/>
                <w:lang w:val="en-US" w:eastAsia="zh-CN" w:bidi="zh-CN"/>
              </w:rPr>
              <w:t>0.25</w:t>
            </w:r>
          </w:p>
        </w:tc>
        <w:tc>
          <w:tcPr>
            <w:tcW w:w="2696" w:type="dxa"/>
            <w:tcBorders>
              <w:tl2br w:val="nil"/>
              <w:tr2bl w:val="nil"/>
            </w:tcBorders>
            <w:vAlign w:val="center"/>
          </w:tcPr>
          <w:p w14:paraId="02817D95">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hint="default" w:cs="宋体"/>
                <w:color w:val="000000"/>
                <w:kern w:val="0"/>
                <w:sz w:val="21"/>
                <w:szCs w:val="21"/>
                <w:u w:val="none"/>
                <w:lang w:val="en-US" w:eastAsia="zh-CN" w:bidi="zh-CN"/>
              </w:rPr>
            </w:pPr>
            <w:r>
              <w:rPr>
                <w:rFonts w:hint="default" w:cs="宋体"/>
                <w:color w:val="000000"/>
                <w:kern w:val="0"/>
                <w:sz w:val="21"/>
                <w:szCs w:val="21"/>
                <w:u w:val="none"/>
                <w:lang w:val="en-US" w:eastAsia="zh-CN" w:bidi="zh-CN"/>
              </w:rPr>
              <w:t>10950</w:t>
            </w:r>
          </w:p>
        </w:tc>
      </w:tr>
      <w:tr w14:paraId="10F75A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5" w:type="pct"/>
            <w:tcBorders>
              <w:tl2br w:val="nil"/>
              <w:tr2bl w:val="nil"/>
            </w:tcBorders>
            <w:vAlign w:val="center"/>
          </w:tcPr>
          <w:p w14:paraId="0386C6C3">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color w:val="000000"/>
                <w:kern w:val="0"/>
                <w:sz w:val="21"/>
                <w:szCs w:val="21"/>
                <w:u w:val="none"/>
                <w:lang w:val="zh-CN" w:bidi="zh-CN"/>
              </w:rPr>
            </w:pPr>
            <w:r>
              <w:rPr>
                <w:rFonts w:cs="宋体"/>
                <w:color w:val="000000"/>
                <w:kern w:val="0"/>
                <w:sz w:val="21"/>
                <w:szCs w:val="21"/>
                <w:u w:val="none"/>
                <w:lang w:val="zh-CN" w:bidi="zh-CN"/>
              </w:rPr>
              <w:t>5</w:t>
            </w:r>
          </w:p>
        </w:tc>
        <w:tc>
          <w:tcPr>
            <w:tcW w:w="598" w:type="pct"/>
            <w:tcBorders>
              <w:tl2br w:val="nil"/>
              <w:tr2bl w:val="nil"/>
            </w:tcBorders>
            <w:vAlign w:val="center"/>
          </w:tcPr>
          <w:p w14:paraId="00066F02">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color w:val="000000"/>
                <w:kern w:val="0"/>
                <w:sz w:val="21"/>
                <w:szCs w:val="21"/>
                <w:u w:val="none"/>
                <w:lang w:val="zh-CN" w:bidi="zh-CN"/>
              </w:rPr>
            </w:pPr>
            <w:r>
              <w:rPr>
                <w:rFonts w:cs="宋体"/>
                <w:color w:val="000000"/>
                <w:kern w:val="0"/>
                <w:sz w:val="21"/>
                <w:szCs w:val="21"/>
                <w:u w:val="none"/>
                <w:lang w:val="zh-CN" w:bidi="zh-CN"/>
              </w:rPr>
              <w:t>p</w:t>
            </w:r>
            <w:r>
              <w:rPr>
                <w:rFonts w:hint="eastAsia" w:cs="宋体"/>
                <w:color w:val="000000"/>
                <w:kern w:val="0"/>
                <w:sz w:val="21"/>
                <w:szCs w:val="21"/>
                <w:u w:val="none"/>
                <w:lang w:val="zh-CN" w:bidi="zh-CN"/>
              </w:rPr>
              <w:t>H</w:t>
            </w:r>
          </w:p>
        </w:tc>
        <w:tc>
          <w:tcPr>
            <w:tcW w:w="1026" w:type="pct"/>
            <w:tcBorders>
              <w:tl2br w:val="nil"/>
              <w:tr2bl w:val="nil"/>
            </w:tcBorders>
            <w:vAlign w:val="center"/>
          </w:tcPr>
          <w:p w14:paraId="16CE0F88">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color w:val="000000"/>
                <w:kern w:val="0"/>
                <w:sz w:val="21"/>
                <w:szCs w:val="21"/>
                <w:u w:val="none"/>
                <w:lang w:val="zh-CN" w:bidi="zh-CN"/>
              </w:rPr>
            </w:pPr>
            <w:r>
              <w:rPr>
                <w:rFonts w:hint="eastAsia" w:cs="宋体"/>
                <w:color w:val="000000"/>
                <w:kern w:val="0"/>
                <w:sz w:val="21"/>
                <w:szCs w:val="21"/>
                <w:u w:val="none"/>
                <w:lang w:val="zh-CN" w:bidi="zh-CN"/>
              </w:rPr>
              <w:t>6-9（无纲量）</w:t>
            </w:r>
          </w:p>
        </w:tc>
        <w:tc>
          <w:tcPr>
            <w:tcW w:w="1367" w:type="pct"/>
            <w:tcBorders>
              <w:tl2br w:val="nil"/>
              <w:tr2bl w:val="nil"/>
            </w:tcBorders>
            <w:vAlign w:val="center"/>
          </w:tcPr>
          <w:p w14:paraId="0AED1337">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color w:val="000000"/>
                <w:kern w:val="0"/>
                <w:sz w:val="21"/>
                <w:szCs w:val="21"/>
                <w:u w:val="none"/>
                <w:lang w:val="zh-CN" w:bidi="zh-CN"/>
              </w:rPr>
            </w:pPr>
            <w:r>
              <w:rPr>
                <w:rFonts w:hint="eastAsia" w:cs="宋体"/>
                <w:color w:val="000000"/>
                <w:kern w:val="0"/>
                <w:sz w:val="21"/>
                <w:szCs w:val="21"/>
                <w:u w:val="none"/>
                <w:lang w:val="zh-CN" w:bidi="zh-CN"/>
              </w:rPr>
              <w:t>/</w:t>
            </w:r>
          </w:p>
        </w:tc>
        <w:tc>
          <w:tcPr>
            <w:tcW w:w="1581" w:type="pct"/>
            <w:tcBorders>
              <w:tl2br w:val="nil"/>
              <w:tr2bl w:val="nil"/>
            </w:tcBorders>
            <w:vAlign w:val="center"/>
          </w:tcPr>
          <w:p w14:paraId="7839AB1C">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color w:val="000000"/>
                <w:kern w:val="0"/>
                <w:sz w:val="21"/>
                <w:szCs w:val="21"/>
                <w:u w:val="none"/>
                <w:lang w:val="zh-CN" w:bidi="zh-CN"/>
              </w:rPr>
            </w:pPr>
            <w:r>
              <w:rPr>
                <w:rFonts w:hint="eastAsia" w:cs="宋体"/>
                <w:color w:val="000000"/>
                <w:kern w:val="0"/>
                <w:sz w:val="21"/>
                <w:szCs w:val="21"/>
                <w:u w:val="none"/>
                <w:lang w:val="zh-CN" w:bidi="zh-CN"/>
              </w:rPr>
              <w:t>/</w:t>
            </w:r>
          </w:p>
        </w:tc>
      </w:tr>
    </w:tbl>
    <w:p w14:paraId="78B0BD0D">
      <w:pPr>
        <w:spacing w:line="360" w:lineRule="auto"/>
        <w:ind w:firstLine="480" w:firstLineChars="200"/>
        <w:rPr>
          <w:rFonts w:eastAsia="宋"/>
          <w:color w:val="auto"/>
          <w:sz w:val="24"/>
        </w:rPr>
      </w:pPr>
      <w:r>
        <w:rPr>
          <w:rFonts w:hint="eastAsia" w:eastAsia="宋"/>
          <w:color w:val="auto"/>
          <w:sz w:val="24"/>
        </w:rPr>
        <w:t>综上，废水排放量 Q=1.5万m</w:t>
      </w:r>
      <w:r>
        <w:rPr>
          <w:rFonts w:hint="eastAsia" w:eastAsia="宋"/>
          <w:color w:val="auto"/>
          <w:sz w:val="24"/>
          <w:vertAlign w:val="superscript"/>
        </w:rPr>
        <w:t>3</w:t>
      </w:r>
      <w:r>
        <w:rPr>
          <w:rFonts w:hint="eastAsia" w:eastAsia="宋"/>
          <w:color w:val="auto"/>
          <w:sz w:val="24"/>
        </w:rPr>
        <w:t>/d，Wmax=219000。</w:t>
      </w:r>
    </w:p>
    <w:p w14:paraId="300C90CD">
      <w:pPr>
        <w:spacing w:line="360" w:lineRule="auto"/>
        <w:ind w:firstLine="480" w:firstLineChars="200"/>
        <w:rPr>
          <w:rFonts w:hint="eastAsia" w:eastAsia="宋"/>
          <w:color w:val="auto"/>
          <w:sz w:val="24"/>
        </w:rPr>
      </w:pPr>
      <w:r>
        <w:rPr>
          <w:rFonts w:hint="eastAsia" w:eastAsia="宋"/>
          <w:color w:val="auto"/>
          <w:sz w:val="24"/>
        </w:rPr>
        <w:t>根据湘西州环境主管部门发布的《湘西州地表水控制断面水质情况》中跳鱼洞电站（果利河，项目地排污口下游900m）、民安街道三湾塘村（酉水，果利河汇入口下游670m）监测断面数据。跳鱼洞电站监测断面监测因子氨氮、总磷偶尔超标，其他因子均符合《地表水环境质量标准》（GB3838-2002）Ⅲ类标准要求。民安街道三湾塘村监测断面监测因子氨氮、溶解氧偶尔超标，其他因子均符合《地表水环境质量标准》（GB3838-2002）Ⅲ类标准要求。项目受纳水体水质超标，项目建设项目直接排放的污染物氨氮、总磷为受纳水体超标因子。</w:t>
      </w:r>
    </w:p>
    <w:p w14:paraId="4C4A924E">
      <w:pPr>
        <w:spacing w:line="360" w:lineRule="auto"/>
        <w:ind w:firstLine="480" w:firstLineChars="200"/>
        <w:rPr>
          <w:rFonts w:eastAsia="宋"/>
          <w:color w:val="auto"/>
          <w:sz w:val="24"/>
        </w:rPr>
      </w:pPr>
      <w:r>
        <w:rPr>
          <w:rFonts w:hint="eastAsia" w:eastAsia="宋"/>
          <w:color w:val="auto"/>
          <w:sz w:val="24"/>
        </w:rPr>
        <w:t xml:space="preserve">故根据《环境影响评价技术导则 地表水环境》（H2.3-2018）中的有关规定，地表水环境影响评价工作等级确定为二级。 </w:t>
      </w:r>
    </w:p>
    <w:bookmarkEnd w:id="48"/>
    <w:p w14:paraId="39B51064">
      <w:pPr>
        <w:spacing w:line="360" w:lineRule="auto"/>
        <w:outlineLvl w:val="1"/>
        <w:rPr>
          <w:rFonts w:ascii="Times New Roman" w:hAnsi="Times New Roman" w:eastAsia="宋体" w:cs="Times New Roman"/>
          <w:b/>
          <w:bCs/>
          <w:color w:val="auto"/>
          <w:sz w:val="30"/>
          <w:szCs w:val="30"/>
        </w:rPr>
      </w:pPr>
      <w:bookmarkStart w:id="49" w:name="_Toc4688"/>
      <w:bookmarkStart w:id="50" w:name="_Toc6739"/>
      <w:r>
        <w:rPr>
          <w:rFonts w:ascii="Times New Roman" w:hAnsi="Times New Roman" w:eastAsia="宋体" w:cs="Times New Roman"/>
          <w:b/>
          <w:bCs/>
          <w:color w:val="auto"/>
          <w:sz w:val="30"/>
          <w:szCs w:val="30"/>
        </w:rPr>
        <w:t>1.6</w:t>
      </w:r>
      <w:r>
        <w:rPr>
          <w:rFonts w:hint="eastAsia" w:ascii="Times New Roman" w:hAnsi="Times New Roman" w:eastAsia="宋体" w:cs="Times New Roman"/>
          <w:b/>
          <w:bCs/>
          <w:color w:val="auto"/>
          <w:sz w:val="30"/>
          <w:szCs w:val="30"/>
        </w:rPr>
        <w:t>评价范围</w:t>
      </w:r>
      <w:bookmarkEnd w:id="49"/>
      <w:bookmarkEnd w:id="50"/>
    </w:p>
    <w:p w14:paraId="1FCA0A28">
      <w:pPr>
        <w:spacing w:line="360" w:lineRule="auto"/>
        <w:ind w:firstLine="480" w:firstLineChars="200"/>
        <w:rPr>
          <w:rFonts w:ascii="Times New Roman" w:hAnsi="Times New Roman" w:eastAsia="宋" w:cs="Times New Roman"/>
          <w:color w:val="auto"/>
          <w:sz w:val="24"/>
        </w:rPr>
      </w:pPr>
      <w:r>
        <w:rPr>
          <w:rFonts w:hint="eastAsia" w:ascii="Times New Roman" w:hAnsi="Times New Roman" w:eastAsia="宋" w:cs="Times New Roman"/>
          <w:color w:val="auto"/>
          <w:sz w:val="24"/>
        </w:rPr>
        <w:t>根据</w:t>
      </w:r>
      <w:r>
        <w:rPr>
          <w:rFonts w:ascii="Times New Roman" w:hAnsi="Times New Roman" w:eastAsia="宋" w:cs="Times New Roman"/>
          <w:color w:val="auto"/>
          <w:sz w:val="24"/>
        </w:rPr>
        <w:t>《环境影响评价技术导则  地表水环境》（HJ/T2.3-2018）</w:t>
      </w:r>
      <w:r>
        <w:rPr>
          <w:rFonts w:hint="eastAsia" w:ascii="Times New Roman" w:hAnsi="Times New Roman" w:eastAsia="宋" w:cs="Times New Roman"/>
          <w:color w:val="auto"/>
          <w:sz w:val="24"/>
        </w:rPr>
        <w:t>中关于评价范围的划分原则：受纳水体为河流时，应满足覆盖对照断面、控制断面和消减断面的关心断面的要求，确定本项目地表水评价范围如下：</w:t>
      </w:r>
    </w:p>
    <w:p w14:paraId="321543D5">
      <w:pPr>
        <w:keepNext w:val="0"/>
        <w:keepLines w:val="0"/>
        <w:pageBreakBefore w:val="0"/>
        <w:widowControl w:val="0"/>
        <w:kinsoku/>
        <w:wordWrap/>
        <w:overflowPunct/>
        <w:topLinePunct w:val="0"/>
        <w:autoSpaceDE w:val="0"/>
        <w:autoSpaceDN w:val="0"/>
        <w:bidi w:val="0"/>
        <w:adjustRightInd w:val="0"/>
        <w:snapToGrid/>
        <w:spacing w:before="48" w:beforeLines="15" w:after="48" w:afterLines="15" w:line="240" w:lineRule="auto"/>
        <w:jc w:val="center"/>
        <w:textAlignment w:val="auto"/>
        <w:rPr>
          <w:rFonts w:hint="eastAsia"/>
          <w:b/>
          <w:bCs/>
          <w:color w:val="auto"/>
          <w:sz w:val="21"/>
          <w:szCs w:val="21"/>
        </w:rPr>
      </w:pPr>
      <w:r>
        <w:rPr>
          <w:b/>
          <w:bCs/>
          <w:color w:val="auto"/>
          <w:sz w:val="21"/>
          <w:szCs w:val="21"/>
        </w:rPr>
        <w:t>表</w:t>
      </w:r>
      <w:r>
        <w:rPr>
          <w:rFonts w:hint="eastAsia"/>
          <w:b/>
          <w:bCs/>
          <w:color w:val="auto"/>
          <w:sz w:val="21"/>
          <w:szCs w:val="21"/>
          <w:lang w:val="en-US" w:eastAsia="zh-CN"/>
        </w:rPr>
        <w:t>1.6-1</w:t>
      </w:r>
      <w:r>
        <w:rPr>
          <w:b/>
          <w:bCs/>
          <w:color w:val="auto"/>
          <w:sz w:val="21"/>
          <w:szCs w:val="21"/>
        </w:rPr>
        <w:t xml:space="preserve">  项目地表水评价</w:t>
      </w:r>
      <w:r>
        <w:rPr>
          <w:rFonts w:hint="eastAsia"/>
          <w:b/>
          <w:bCs/>
          <w:color w:val="auto"/>
          <w:sz w:val="21"/>
          <w:szCs w:val="21"/>
        </w:rPr>
        <w:t>范围</w:t>
      </w:r>
      <w:r>
        <w:rPr>
          <w:b/>
          <w:bCs/>
          <w:color w:val="auto"/>
          <w:sz w:val="21"/>
          <w:szCs w:val="21"/>
        </w:rPr>
        <w:t>确定</w:t>
      </w:r>
    </w:p>
    <w:tbl>
      <w:tblPr>
        <w:tblStyle w:val="32"/>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30"/>
        <w:gridCol w:w="3720"/>
        <w:gridCol w:w="3821"/>
      </w:tblGrid>
      <w:tr w14:paraId="6EF46B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0" w:type="dxa"/>
            <w:tcBorders>
              <w:tl2br w:val="nil"/>
              <w:tr2bl w:val="nil"/>
            </w:tcBorders>
            <w:vAlign w:val="center"/>
          </w:tcPr>
          <w:p w14:paraId="3020199F">
            <w:pPr>
              <w:adjustRightInd w:val="0"/>
              <w:snapToGrid w:val="0"/>
              <w:jc w:val="center"/>
              <w:rPr>
                <w:rFonts w:hint="eastAsia" w:eastAsia="宋"/>
                <w:b/>
                <w:color w:val="auto"/>
                <w:szCs w:val="21"/>
              </w:rPr>
            </w:pPr>
            <w:r>
              <w:rPr>
                <w:rFonts w:hint="eastAsia" w:eastAsia="宋"/>
                <w:b/>
                <w:color w:val="auto"/>
                <w:szCs w:val="21"/>
              </w:rPr>
              <w:t>评价类型</w:t>
            </w:r>
          </w:p>
        </w:tc>
        <w:tc>
          <w:tcPr>
            <w:tcW w:w="3720" w:type="dxa"/>
            <w:tcBorders>
              <w:tl2br w:val="nil"/>
              <w:tr2bl w:val="nil"/>
            </w:tcBorders>
            <w:vAlign w:val="center"/>
          </w:tcPr>
          <w:p w14:paraId="7DDA4739">
            <w:pPr>
              <w:adjustRightInd w:val="0"/>
              <w:snapToGrid w:val="0"/>
              <w:jc w:val="center"/>
              <w:rPr>
                <w:rFonts w:eastAsia="宋"/>
                <w:b/>
                <w:color w:val="auto"/>
                <w:szCs w:val="21"/>
              </w:rPr>
            </w:pPr>
            <w:r>
              <w:rPr>
                <w:rFonts w:hint="eastAsia" w:eastAsia="宋"/>
                <w:b/>
                <w:color w:val="auto"/>
                <w:szCs w:val="21"/>
              </w:rPr>
              <w:t>项目</w:t>
            </w:r>
            <w:r>
              <w:rPr>
                <w:rFonts w:eastAsia="宋"/>
                <w:b/>
                <w:color w:val="auto"/>
                <w:szCs w:val="21"/>
              </w:rPr>
              <w:t>名称</w:t>
            </w:r>
          </w:p>
        </w:tc>
        <w:tc>
          <w:tcPr>
            <w:tcW w:w="3821" w:type="dxa"/>
            <w:tcBorders>
              <w:tl2br w:val="nil"/>
              <w:tr2bl w:val="nil"/>
            </w:tcBorders>
            <w:vAlign w:val="center"/>
          </w:tcPr>
          <w:p w14:paraId="37FD6F68">
            <w:pPr>
              <w:adjustRightInd w:val="0"/>
              <w:snapToGrid w:val="0"/>
              <w:jc w:val="center"/>
              <w:rPr>
                <w:rFonts w:hint="eastAsia" w:eastAsia="宋"/>
                <w:b/>
                <w:color w:val="auto"/>
                <w:szCs w:val="21"/>
              </w:rPr>
            </w:pPr>
            <w:r>
              <w:rPr>
                <w:rFonts w:eastAsia="宋"/>
                <w:b/>
                <w:color w:val="auto"/>
                <w:szCs w:val="21"/>
              </w:rPr>
              <w:t>评价范围</w:t>
            </w:r>
          </w:p>
        </w:tc>
      </w:tr>
      <w:tr w14:paraId="415717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30" w:type="dxa"/>
            <w:tcBorders>
              <w:tl2br w:val="nil"/>
              <w:tr2bl w:val="nil"/>
            </w:tcBorders>
            <w:vAlign w:val="center"/>
          </w:tcPr>
          <w:p w14:paraId="1B786998">
            <w:pPr>
              <w:adjustRightInd w:val="0"/>
              <w:snapToGrid w:val="0"/>
              <w:jc w:val="center"/>
              <w:rPr>
                <w:rFonts w:eastAsia="宋"/>
                <w:color w:val="auto"/>
                <w:szCs w:val="21"/>
              </w:rPr>
            </w:pPr>
            <w:r>
              <w:rPr>
                <w:color w:val="auto"/>
                <w:szCs w:val="21"/>
              </w:rPr>
              <w:t>水污染影响型</w:t>
            </w:r>
          </w:p>
        </w:tc>
        <w:tc>
          <w:tcPr>
            <w:tcW w:w="3720" w:type="dxa"/>
            <w:tcBorders>
              <w:tl2br w:val="nil"/>
              <w:tr2bl w:val="nil"/>
            </w:tcBorders>
            <w:vAlign w:val="center"/>
          </w:tcPr>
          <w:p w14:paraId="56FCA484">
            <w:pPr>
              <w:adjustRightInd w:val="0"/>
              <w:snapToGrid w:val="0"/>
              <w:jc w:val="center"/>
              <w:rPr>
                <w:rFonts w:eastAsia="宋"/>
                <w:color w:val="auto"/>
                <w:szCs w:val="21"/>
              </w:rPr>
            </w:pPr>
            <w:r>
              <w:rPr>
                <w:rFonts w:hint="eastAsia"/>
                <w:bCs/>
                <w:color w:val="auto"/>
                <w:lang w:eastAsia="zh-CN"/>
              </w:rPr>
              <w:t>龙山县城区污水处理设施提质增效工程-高铁新区污水处理设施建设项目</w:t>
            </w:r>
          </w:p>
        </w:tc>
        <w:tc>
          <w:tcPr>
            <w:tcW w:w="3821" w:type="dxa"/>
            <w:tcBorders>
              <w:tl2br w:val="nil"/>
              <w:tr2bl w:val="nil"/>
            </w:tcBorders>
            <w:vAlign w:val="center"/>
          </w:tcPr>
          <w:p w14:paraId="49428295">
            <w:pPr>
              <w:adjustRightInd w:val="0"/>
              <w:snapToGrid w:val="0"/>
              <w:jc w:val="center"/>
              <w:rPr>
                <w:rFonts w:eastAsia="宋"/>
                <w:color w:val="auto"/>
                <w:szCs w:val="21"/>
              </w:rPr>
            </w:pPr>
            <w:r>
              <w:rPr>
                <w:rFonts w:hint="eastAsia" w:eastAsia="宋"/>
                <w:color w:val="auto"/>
                <w:szCs w:val="21"/>
              </w:rPr>
              <w:t>污水处理厂</w:t>
            </w:r>
            <w:r>
              <w:rPr>
                <w:rFonts w:eastAsia="宋"/>
                <w:color w:val="auto"/>
                <w:szCs w:val="21"/>
              </w:rPr>
              <w:t>排污口上游</w:t>
            </w:r>
            <w:r>
              <w:rPr>
                <w:rFonts w:hint="eastAsia" w:eastAsia="宋"/>
                <w:color w:val="auto"/>
                <w:szCs w:val="21"/>
              </w:rPr>
              <w:t>5</w:t>
            </w:r>
            <w:r>
              <w:rPr>
                <w:rFonts w:eastAsia="宋"/>
                <w:color w:val="auto"/>
                <w:szCs w:val="21"/>
              </w:rPr>
              <w:t>00m处起至下游2</w:t>
            </w:r>
            <w:r>
              <w:rPr>
                <w:rFonts w:hint="eastAsia" w:eastAsia="宋"/>
                <w:color w:val="auto"/>
                <w:szCs w:val="21"/>
                <w:lang w:val="en-US" w:eastAsia="zh-CN"/>
              </w:rPr>
              <w:t>5</w:t>
            </w:r>
            <w:r>
              <w:rPr>
                <w:rFonts w:eastAsia="宋"/>
                <w:color w:val="auto"/>
                <w:szCs w:val="21"/>
              </w:rPr>
              <w:t>00m处的河段</w:t>
            </w:r>
          </w:p>
        </w:tc>
      </w:tr>
    </w:tbl>
    <w:p w14:paraId="57936749">
      <w:pPr>
        <w:spacing w:line="360" w:lineRule="auto"/>
        <w:outlineLvl w:val="1"/>
        <w:rPr>
          <w:rFonts w:ascii="Times New Roman" w:hAnsi="Times New Roman" w:eastAsia="宋体" w:cs="Times New Roman"/>
          <w:b/>
          <w:bCs/>
          <w:color w:val="auto"/>
          <w:sz w:val="30"/>
          <w:szCs w:val="30"/>
        </w:rPr>
      </w:pPr>
      <w:bookmarkStart w:id="51" w:name="_Toc15248"/>
      <w:bookmarkStart w:id="52" w:name="_Toc22891"/>
      <w:r>
        <w:rPr>
          <w:rFonts w:ascii="Times New Roman" w:hAnsi="Times New Roman" w:eastAsia="宋体" w:cs="Times New Roman"/>
          <w:b/>
          <w:bCs/>
          <w:color w:val="auto"/>
          <w:sz w:val="30"/>
          <w:szCs w:val="30"/>
        </w:rPr>
        <w:t>1.7</w:t>
      </w:r>
      <w:r>
        <w:rPr>
          <w:rFonts w:hint="eastAsia" w:ascii="Times New Roman" w:hAnsi="Times New Roman" w:eastAsia="宋体" w:cs="Times New Roman"/>
          <w:b/>
          <w:bCs/>
          <w:color w:val="auto"/>
          <w:sz w:val="30"/>
          <w:szCs w:val="30"/>
        </w:rPr>
        <w:t>评价时期</w:t>
      </w:r>
      <w:bookmarkEnd w:id="51"/>
      <w:bookmarkEnd w:id="52"/>
    </w:p>
    <w:p w14:paraId="7CAEDD01">
      <w:pPr>
        <w:spacing w:line="360" w:lineRule="auto"/>
        <w:ind w:firstLine="480" w:firstLineChars="200"/>
        <w:rPr>
          <w:rFonts w:hint="eastAsia" w:ascii="Times New Roman" w:hAnsi="Times New Roman" w:eastAsia="宋" w:cs="Times New Roman"/>
          <w:color w:val="auto"/>
          <w:sz w:val="24"/>
        </w:rPr>
      </w:pPr>
      <w:r>
        <w:rPr>
          <w:rFonts w:hint="eastAsia" w:ascii="Times New Roman" w:hAnsi="Times New Roman" w:eastAsia="宋" w:cs="Times New Roman"/>
          <w:color w:val="auto"/>
          <w:sz w:val="24"/>
        </w:rPr>
        <w:t>根据《环境影响评价技术导则  地表水环境》（HJ/T2.3-2018），水污染影响型（二级）的河流评价时期为：丰水期和枯水期，至少枯水期。</w:t>
      </w:r>
    </w:p>
    <w:p w14:paraId="0F4FC623">
      <w:pPr>
        <w:spacing w:line="360" w:lineRule="auto"/>
        <w:ind w:firstLine="480" w:firstLineChars="200"/>
        <w:rPr>
          <w:rFonts w:hint="eastAsia" w:ascii="Times New Roman" w:hAnsi="Times New Roman" w:eastAsia="宋" w:cs="Times New Roman"/>
          <w:color w:val="auto"/>
          <w:sz w:val="24"/>
        </w:rPr>
      </w:pPr>
      <w:r>
        <w:rPr>
          <w:rFonts w:hint="eastAsia" w:ascii="Times New Roman" w:hAnsi="Times New Roman" w:eastAsia="宋" w:cs="Times New Roman"/>
          <w:color w:val="auto"/>
          <w:sz w:val="24"/>
        </w:rPr>
        <w:t>本项目地表水评价时期为枯水期。</w:t>
      </w:r>
    </w:p>
    <w:p w14:paraId="1328FB7F">
      <w:pPr>
        <w:spacing w:line="360" w:lineRule="auto"/>
        <w:outlineLvl w:val="1"/>
        <w:rPr>
          <w:rFonts w:ascii="Times New Roman" w:hAnsi="Times New Roman" w:eastAsia="宋体" w:cs="Times New Roman"/>
          <w:b/>
          <w:bCs/>
          <w:color w:val="auto"/>
          <w:sz w:val="30"/>
          <w:szCs w:val="30"/>
        </w:rPr>
      </w:pPr>
      <w:bookmarkStart w:id="53" w:name="_Toc12760"/>
      <w:bookmarkStart w:id="54" w:name="_Toc16381"/>
      <w:r>
        <w:rPr>
          <w:rFonts w:ascii="Times New Roman" w:hAnsi="Times New Roman" w:eastAsia="宋体" w:cs="Times New Roman"/>
          <w:b/>
          <w:bCs/>
          <w:color w:val="auto"/>
          <w:sz w:val="30"/>
          <w:szCs w:val="30"/>
        </w:rPr>
        <w:t>1.8地表</w:t>
      </w:r>
      <w:r>
        <w:rPr>
          <w:rFonts w:hint="eastAsia" w:ascii="Times New Roman" w:hAnsi="Times New Roman" w:eastAsia="宋体" w:cs="Times New Roman"/>
          <w:b/>
          <w:bCs/>
          <w:color w:val="auto"/>
          <w:sz w:val="30"/>
          <w:szCs w:val="30"/>
        </w:rPr>
        <w:t>水环境保护目标</w:t>
      </w:r>
      <w:bookmarkEnd w:id="53"/>
      <w:bookmarkEnd w:id="54"/>
    </w:p>
    <w:p w14:paraId="01777D2A">
      <w:pPr>
        <w:autoSpaceDE w:val="0"/>
        <w:autoSpaceDN w:val="0"/>
        <w:adjustRightInd w:val="0"/>
        <w:spacing w:line="360" w:lineRule="auto"/>
        <w:ind w:firstLine="480" w:firstLineChars="200"/>
        <w:rPr>
          <w:rFonts w:hint="eastAsia"/>
          <w:color w:val="auto"/>
          <w:kern w:val="0"/>
          <w:sz w:val="24"/>
        </w:rPr>
      </w:pPr>
      <w:r>
        <w:rPr>
          <w:color w:val="auto"/>
          <w:kern w:val="0"/>
          <w:sz w:val="24"/>
        </w:rPr>
        <w:t>本项目地表水环境保护目标为污水处理厂</w:t>
      </w:r>
      <w:r>
        <w:rPr>
          <w:rFonts w:hint="eastAsia"/>
          <w:color w:val="auto"/>
          <w:kern w:val="0"/>
          <w:sz w:val="24"/>
        </w:rPr>
        <w:t>的纳污河流：</w:t>
      </w:r>
      <w:r>
        <w:rPr>
          <w:rFonts w:hint="eastAsia" w:hAnsi="Times New Roman" w:cs="Times New Roman"/>
          <w:bCs/>
          <w:color w:val="auto"/>
          <w:sz w:val="24"/>
          <w:u w:val="single"/>
          <w:lang w:val="en-US" w:eastAsia="zh-CN"/>
        </w:rPr>
        <w:t>果利河</w:t>
      </w:r>
      <w:r>
        <w:rPr>
          <w:rFonts w:hint="eastAsia"/>
          <w:color w:val="auto"/>
          <w:kern w:val="0"/>
          <w:sz w:val="24"/>
        </w:rPr>
        <w:t>，水质</w:t>
      </w:r>
      <w:r>
        <w:rPr>
          <w:color w:val="auto"/>
          <w:kern w:val="0"/>
          <w:sz w:val="24"/>
        </w:rPr>
        <w:t>执行《地表水环境质量标准》（GB3838-2002）Ⅲ类标准限值要求。</w:t>
      </w:r>
      <w:r>
        <w:rPr>
          <w:rFonts w:hint="eastAsia"/>
          <w:color w:val="auto"/>
          <w:kern w:val="0"/>
          <w:sz w:val="24"/>
        </w:rPr>
        <w:t>根据现场调查，本项目地表水评价范围内不涉及《环境影响评价技术导则 地表水环境》（H2.3-2018）中规定的水环境保护目标（即饮用水水源保护区、饮用水取水口、涉水的自然保护区、风景名胜区、重要湿地、重点保护与珍稀水生生物的栖息地、重要水生生物的自然产卵场及索饵场、越冬场和洄游通道、天然渔场等渔业水体以及水产种质资源保护区等）。</w:t>
      </w:r>
    </w:p>
    <w:p w14:paraId="7D333F51">
      <w:pPr>
        <w:pStyle w:val="6"/>
        <w:sectPr>
          <w:pgSz w:w="11906" w:h="16838"/>
          <w:pgMar w:top="1440" w:right="1417" w:bottom="1440" w:left="1417" w:header="851" w:footer="850"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21AA62C1">
      <w:pPr>
        <w:spacing w:line="360" w:lineRule="auto"/>
        <w:outlineLvl w:val="0"/>
        <w:rPr>
          <w:rFonts w:hint="eastAsia" w:ascii="Times New Roman" w:hAnsi="Times New Roman" w:eastAsia="宋体" w:cs="Times New Roman"/>
          <w:b/>
          <w:bCs/>
          <w:strike w:val="0"/>
          <w:dstrike w:val="0"/>
          <w:color w:val="auto"/>
          <w:sz w:val="32"/>
          <w:szCs w:val="32"/>
          <w:lang w:eastAsia="zh-CN"/>
        </w:rPr>
      </w:pPr>
      <w:bookmarkStart w:id="55" w:name="_Toc18692"/>
      <w:bookmarkStart w:id="56" w:name="_Toc6008"/>
      <w:r>
        <w:rPr>
          <w:rFonts w:ascii="Times New Roman" w:hAnsi="Times New Roman" w:eastAsia="宋体" w:cs="Times New Roman"/>
          <w:b/>
          <w:bCs/>
          <w:strike w:val="0"/>
          <w:dstrike w:val="0"/>
          <w:color w:val="auto"/>
          <w:sz w:val="32"/>
          <w:szCs w:val="32"/>
        </w:rPr>
        <w:t>2</w:t>
      </w:r>
      <w:bookmarkEnd w:id="55"/>
      <w:bookmarkEnd w:id="56"/>
      <w:r>
        <w:rPr>
          <w:rFonts w:hint="eastAsia" w:cs="Times New Roman"/>
          <w:b/>
          <w:bCs/>
          <w:strike w:val="0"/>
          <w:dstrike w:val="0"/>
          <w:color w:val="auto"/>
          <w:sz w:val="32"/>
          <w:szCs w:val="32"/>
          <w:lang w:eastAsia="zh-CN"/>
        </w:rPr>
        <w:t>地表水环境现状调查</w:t>
      </w:r>
    </w:p>
    <w:p w14:paraId="0EDDC84A">
      <w:pPr>
        <w:keepNext w:val="0"/>
        <w:keepLines w:val="0"/>
        <w:pageBreakBefore w:val="0"/>
        <w:widowControl w:val="0"/>
        <w:kinsoku/>
        <w:wordWrap/>
        <w:overflowPunct w:val="0"/>
        <w:topLinePunct w:val="0"/>
        <w:autoSpaceDE w:val="0"/>
        <w:autoSpaceDN w:val="0"/>
        <w:bidi w:val="0"/>
        <w:spacing w:before="0" w:after="0" w:line="360" w:lineRule="auto"/>
        <w:ind w:right="0"/>
        <w:jc w:val="both"/>
        <w:rPr>
          <w:rFonts w:hint="eastAsia" w:cs="宋体"/>
          <w:b/>
          <w:bCs/>
          <w:kern w:val="0"/>
          <w:sz w:val="24"/>
          <w:szCs w:val="24"/>
          <w:u w:val="none"/>
          <w:lang w:val="en-US" w:eastAsia="zh-CN" w:bidi="zh-CN"/>
        </w:rPr>
      </w:pPr>
      <w:bookmarkStart w:id="57" w:name="_Toc25875"/>
      <w:bookmarkStart w:id="58" w:name="_Toc19256"/>
      <w:r>
        <w:rPr>
          <w:rFonts w:ascii="Times New Roman" w:hAnsi="Times New Roman" w:eastAsia="宋体" w:cs="Times New Roman"/>
          <w:b/>
          <w:bCs/>
          <w:strike w:val="0"/>
          <w:dstrike w:val="0"/>
          <w:color w:val="auto"/>
          <w:sz w:val="30"/>
          <w:szCs w:val="30"/>
        </w:rPr>
        <w:t>2.1</w:t>
      </w:r>
      <w:r>
        <w:rPr>
          <w:rFonts w:hint="eastAsia" w:cs="Times New Roman"/>
          <w:b/>
          <w:bCs/>
          <w:strike w:val="0"/>
          <w:dstrike w:val="0"/>
          <w:color w:val="auto"/>
          <w:sz w:val="30"/>
          <w:szCs w:val="30"/>
          <w:lang w:val="en-US" w:eastAsia="zh-CN"/>
        </w:rPr>
        <w:t xml:space="preserve"> </w:t>
      </w:r>
      <w:r>
        <w:rPr>
          <w:rFonts w:hint="eastAsia" w:ascii="Times New Roman" w:hAnsi="Times New Roman" w:eastAsia="宋体" w:cs="Times New Roman"/>
          <w:b/>
          <w:bCs/>
          <w:strike w:val="0"/>
          <w:dstrike w:val="0"/>
          <w:color w:val="auto"/>
          <w:sz w:val="30"/>
          <w:szCs w:val="30"/>
          <w:lang w:val="en-US" w:eastAsia="zh-CN"/>
        </w:rPr>
        <w:t>区域地表水现状调查</w:t>
      </w:r>
    </w:p>
    <w:bookmarkEnd w:id="57"/>
    <w:bookmarkEnd w:id="58"/>
    <w:p w14:paraId="1F6711D3">
      <w:pPr>
        <w:keepNext w:val="0"/>
        <w:keepLines w:val="0"/>
        <w:pageBreakBefore w:val="0"/>
        <w:widowControl w:val="0"/>
        <w:kinsoku/>
        <w:wordWrap/>
        <w:overflowPunct w:val="0"/>
        <w:topLinePunct w:val="0"/>
        <w:autoSpaceDE w:val="0"/>
        <w:autoSpaceDN w:val="0"/>
        <w:bidi w:val="0"/>
        <w:spacing w:before="0" w:after="0" w:line="360" w:lineRule="auto"/>
        <w:ind w:left="0" w:right="0" w:firstLine="480" w:firstLineChars="200"/>
        <w:jc w:val="left"/>
        <w:rPr>
          <w:rFonts w:hint="default" w:cs="宋体"/>
          <w:kern w:val="0"/>
          <w:sz w:val="24"/>
          <w:u w:val="none"/>
          <w:lang w:val="en-US" w:eastAsia="zh-CN" w:bidi="zh-CN"/>
        </w:rPr>
      </w:pPr>
      <w:r>
        <w:rPr>
          <w:rFonts w:hint="eastAsia" w:cs="宋体"/>
          <w:kern w:val="0"/>
          <w:sz w:val="24"/>
          <w:u w:val="none"/>
          <w:lang w:val="en-US" w:eastAsia="zh-CN" w:bidi="zh-CN"/>
        </w:rPr>
        <w:t>本项目污水处理厂</w:t>
      </w:r>
      <w:r>
        <w:rPr>
          <w:rFonts w:hint="default" w:cs="宋体"/>
          <w:kern w:val="0"/>
          <w:sz w:val="24"/>
          <w:u w:val="none"/>
          <w:lang w:val="en-US" w:eastAsia="zh-CN" w:bidi="zh-CN"/>
        </w:rPr>
        <w:t>纳污水体为</w:t>
      </w:r>
      <w:r>
        <w:rPr>
          <w:rFonts w:hint="eastAsia" w:cs="宋体"/>
          <w:kern w:val="0"/>
          <w:sz w:val="24"/>
          <w:u w:val="none"/>
          <w:lang w:val="en-US" w:eastAsia="zh-CN" w:bidi="zh-CN"/>
        </w:rPr>
        <w:t>果利河</w:t>
      </w:r>
      <w:r>
        <w:rPr>
          <w:rFonts w:hint="default" w:cs="宋体"/>
          <w:kern w:val="0"/>
          <w:sz w:val="24"/>
          <w:u w:val="none"/>
          <w:lang w:val="en-US" w:eastAsia="zh-CN" w:bidi="zh-CN"/>
        </w:rPr>
        <w:t>，湘西州环境监测站在</w:t>
      </w:r>
      <w:r>
        <w:rPr>
          <w:rFonts w:hint="eastAsia" w:cs="宋体"/>
          <w:kern w:val="0"/>
          <w:sz w:val="24"/>
          <w:u w:val="none"/>
          <w:lang w:val="en-US" w:eastAsia="zh-CN" w:bidi="zh-CN"/>
        </w:rPr>
        <w:t>龙山果利河、酉水</w:t>
      </w:r>
      <w:r>
        <w:rPr>
          <w:rFonts w:hint="default" w:cs="宋体"/>
          <w:kern w:val="0"/>
          <w:sz w:val="24"/>
          <w:u w:val="none"/>
          <w:lang w:val="en-US" w:eastAsia="zh-CN" w:bidi="zh-CN"/>
        </w:rPr>
        <w:t>设置了2个常规监测断面，分别为</w:t>
      </w:r>
      <w:r>
        <w:rPr>
          <w:rFonts w:hint="eastAsia"/>
          <w:color w:val="000000"/>
          <w:sz w:val="24"/>
          <w:szCs w:val="21"/>
        </w:rPr>
        <w:t>跳鱼洞电站</w:t>
      </w:r>
      <w:r>
        <w:rPr>
          <w:rFonts w:hint="eastAsia"/>
          <w:color w:val="000000"/>
          <w:sz w:val="24"/>
          <w:szCs w:val="21"/>
          <w:lang w:eastAsia="zh-CN"/>
        </w:rPr>
        <w:t>（</w:t>
      </w:r>
      <w:r>
        <w:rPr>
          <w:rFonts w:hint="eastAsia"/>
          <w:color w:val="000000"/>
          <w:sz w:val="24"/>
          <w:szCs w:val="21"/>
          <w:lang w:val="en-US" w:eastAsia="zh-CN"/>
        </w:rPr>
        <w:t>果利河，项目地排污口下游12000m</w:t>
      </w:r>
      <w:r>
        <w:rPr>
          <w:rFonts w:hint="eastAsia"/>
          <w:color w:val="000000"/>
          <w:sz w:val="24"/>
          <w:szCs w:val="21"/>
          <w:lang w:eastAsia="zh-CN"/>
        </w:rPr>
        <w:t>）、</w:t>
      </w:r>
      <w:r>
        <w:rPr>
          <w:rFonts w:hint="eastAsia"/>
          <w:color w:val="000000"/>
          <w:sz w:val="24"/>
          <w:szCs w:val="21"/>
          <w:lang w:val="en-US" w:eastAsia="zh-CN"/>
        </w:rPr>
        <w:t>民安街道三湾塘村（酉水，果利河汇入口下游670m）</w:t>
      </w:r>
      <w:r>
        <w:rPr>
          <w:rFonts w:hint="default" w:cs="宋体"/>
          <w:kern w:val="0"/>
          <w:sz w:val="24"/>
          <w:u w:val="none"/>
          <w:lang w:val="en-US" w:eastAsia="zh-CN" w:bidi="zh-CN"/>
        </w:rPr>
        <w:t>，本评价收集了</w:t>
      </w:r>
      <w:r>
        <w:rPr>
          <w:rFonts w:hint="eastAsia" w:cs="宋体"/>
          <w:kern w:val="0"/>
          <w:sz w:val="24"/>
          <w:u w:val="none"/>
          <w:lang w:val="en-US" w:eastAsia="zh-CN" w:bidi="zh-CN"/>
        </w:rPr>
        <w:t>监测断面</w:t>
      </w:r>
      <w:r>
        <w:rPr>
          <w:rFonts w:hint="default" w:cs="宋体"/>
          <w:kern w:val="0"/>
          <w:sz w:val="24"/>
          <w:u w:val="none"/>
          <w:lang w:val="en-US" w:eastAsia="zh-CN" w:bidi="zh-CN"/>
        </w:rPr>
        <w:t>常规监测断面近3年的常规监测数据，并且对其统计与评价，监测数据及达标情况详见表</w:t>
      </w:r>
      <w:r>
        <w:rPr>
          <w:rFonts w:hint="eastAsia" w:cs="宋体"/>
          <w:kern w:val="0"/>
          <w:sz w:val="24"/>
          <w:u w:val="none"/>
          <w:lang w:val="en-US" w:eastAsia="zh-CN" w:bidi="zh-CN"/>
        </w:rPr>
        <w:t>2.1</w:t>
      </w:r>
      <w:r>
        <w:rPr>
          <w:rFonts w:hint="default" w:cs="宋体"/>
          <w:kern w:val="0"/>
          <w:sz w:val="24"/>
          <w:u w:val="none"/>
          <w:lang w:val="en-US" w:eastAsia="zh-CN" w:bidi="zh-CN"/>
        </w:rPr>
        <w:t>-</w:t>
      </w:r>
      <w:r>
        <w:rPr>
          <w:rFonts w:hint="eastAsia" w:cs="宋体"/>
          <w:kern w:val="0"/>
          <w:sz w:val="24"/>
          <w:u w:val="none"/>
          <w:lang w:val="en-US" w:eastAsia="zh-CN" w:bidi="zh-CN"/>
        </w:rPr>
        <w:t>1、2.1-2</w:t>
      </w:r>
      <w:r>
        <w:rPr>
          <w:rFonts w:hint="default" w:cs="宋体"/>
          <w:kern w:val="0"/>
          <w:sz w:val="24"/>
          <w:u w:val="none"/>
          <w:lang w:val="en-US" w:eastAsia="zh-CN" w:bidi="zh-CN"/>
        </w:rPr>
        <w:t>。</w:t>
      </w:r>
    </w:p>
    <w:p w14:paraId="7E5730AA">
      <w:pPr>
        <w:rPr>
          <w:strike w:val="0"/>
          <w:dstrike w:val="0"/>
          <w:color w:val="auto"/>
          <w:kern w:val="0"/>
          <w:sz w:val="24"/>
        </w:rPr>
      </w:pPr>
      <w:r>
        <w:rPr>
          <w:strike w:val="0"/>
          <w:dstrike w:val="0"/>
          <w:color w:val="auto"/>
          <w:kern w:val="0"/>
          <w:sz w:val="24"/>
        </w:rPr>
        <w:br w:type="page"/>
      </w:r>
    </w:p>
    <w:p w14:paraId="244D5BA9">
      <w:pPr>
        <w:widowControl w:val="0"/>
        <w:ind w:firstLine="422"/>
        <w:jc w:val="center"/>
        <w:rPr>
          <w:b/>
          <w:color w:val="000000"/>
          <w:sz w:val="21"/>
          <w:szCs w:val="21"/>
          <w:u w:val="none"/>
        </w:rPr>
      </w:pPr>
      <w:r>
        <w:rPr>
          <w:b/>
          <w:color w:val="000000"/>
          <w:sz w:val="21"/>
          <w:szCs w:val="21"/>
          <w:u w:val="none"/>
        </w:rPr>
        <w:t>表</w:t>
      </w:r>
      <w:r>
        <w:rPr>
          <w:rFonts w:hint="eastAsia"/>
          <w:b/>
          <w:color w:val="000000"/>
          <w:sz w:val="21"/>
          <w:szCs w:val="21"/>
          <w:u w:val="none"/>
          <w:lang w:val="en-US" w:eastAsia="zh-CN"/>
        </w:rPr>
        <w:t>2.1</w:t>
      </w:r>
      <w:r>
        <w:rPr>
          <w:b/>
          <w:color w:val="000000"/>
          <w:sz w:val="21"/>
          <w:szCs w:val="21"/>
          <w:u w:val="none"/>
        </w:rPr>
        <w:t>-</w:t>
      </w:r>
      <w:r>
        <w:rPr>
          <w:rFonts w:hint="eastAsia"/>
          <w:b/>
          <w:color w:val="000000"/>
          <w:sz w:val="21"/>
          <w:szCs w:val="21"/>
          <w:u w:val="none"/>
          <w:lang w:val="en-US" w:eastAsia="zh-CN"/>
        </w:rPr>
        <w:t>1</w:t>
      </w:r>
      <w:r>
        <w:rPr>
          <w:rFonts w:hint="eastAsia"/>
          <w:b/>
          <w:color w:val="000000"/>
          <w:sz w:val="21"/>
          <w:szCs w:val="21"/>
          <w:u w:val="none"/>
        </w:rPr>
        <w:t xml:space="preserve"> </w:t>
      </w:r>
      <w:r>
        <w:rPr>
          <w:b/>
          <w:color w:val="000000"/>
          <w:sz w:val="21"/>
          <w:szCs w:val="21"/>
          <w:u w:val="none"/>
        </w:rPr>
        <w:t>地表水断面均值结果及达标情况</w:t>
      </w:r>
      <w:r>
        <w:rPr>
          <w:rFonts w:hint="eastAsia"/>
          <w:b/>
          <w:color w:val="000000"/>
          <w:sz w:val="21"/>
          <w:szCs w:val="21"/>
          <w:u w:val="none"/>
        </w:rPr>
        <w:t xml:space="preserve"> 浓度单位mg/L（PH除外）</w:t>
      </w:r>
    </w:p>
    <w:tbl>
      <w:tblPr>
        <w:tblStyle w:val="32"/>
        <w:tblW w:w="15593" w:type="dxa"/>
        <w:tblInd w:w="-836"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84"/>
        <w:gridCol w:w="567"/>
        <w:gridCol w:w="567"/>
        <w:gridCol w:w="709"/>
        <w:gridCol w:w="567"/>
        <w:gridCol w:w="567"/>
        <w:gridCol w:w="567"/>
        <w:gridCol w:w="709"/>
        <w:gridCol w:w="709"/>
        <w:gridCol w:w="850"/>
        <w:gridCol w:w="567"/>
        <w:gridCol w:w="567"/>
        <w:gridCol w:w="851"/>
        <w:gridCol w:w="567"/>
        <w:gridCol w:w="992"/>
        <w:gridCol w:w="567"/>
        <w:gridCol w:w="992"/>
        <w:gridCol w:w="992"/>
        <w:gridCol w:w="567"/>
        <w:gridCol w:w="567"/>
        <w:gridCol w:w="567"/>
        <w:gridCol w:w="567"/>
        <w:gridCol w:w="567"/>
        <w:gridCol w:w="567"/>
      </w:tblGrid>
      <w:tr w14:paraId="43FC21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blHeader/>
        </w:trPr>
        <w:tc>
          <w:tcPr>
            <w:tcW w:w="284" w:type="dxa"/>
            <w:tcBorders>
              <w:right w:val="single" w:color="auto" w:sz="4" w:space="0"/>
            </w:tcBorders>
            <w:noWrap w:val="0"/>
            <w:tcMar>
              <w:top w:w="15" w:type="dxa"/>
              <w:left w:w="15" w:type="dxa"/>
              <w:bottom w:w="15" w:type="dxa"/>
              <w:right w:w="15" w:type="dxa"/>
            </w:tcMar>
            <w:vAlign w:val="center"/>
          </w:tcPr>
          <w:p w14:paraId="75D54309">
            <w:pPr>
              <w:widowControl w:val="0"/>
              <w:spacing w:line="240" w:lineRule="auto"/>
              <w:ind w:firstLine="0" w:firstLineChars="0"/>
              <w:jc w:val="center"/>
              <w:rPr>
                <w:b/>
                <w:bCs/>
                <w:color w:val="000000"/>
                <w:sz w:val="13"/>
                <w:szCs w:val="13"/>
                <w:u w:val="none"/>
              </w:rPr>
            </w:pPr>
            <w:r>
              <w:rPr>
                <w:rFonts w:hint="eastAsia"/>
                <w:b/>
                <w:bCs/>
                <w:color w:val="000000"/>
                <w:sz w:val="13"/>
                <w:szCs w:val="13"/>
                <w:u w:val="none"/>
              </w:rPr>
              <w:t>断面</w:t>
            </w:r>
          </w:p>
        </w:tc>
        <w:tc>
          <w:tcPr>
            <w:tcW w:w="567" w:type="dxa"/>
            <w:tcBorders>
              <w:left w:val="single" w:color="auto" w:sz="4" w:space="0"/>
            </w:tcBorders>
            <w:noWrap w:val="0"/>
            <w:vAlign w:val="center"/>
          </w:tcPr>
          <w:p w14:paraId="1D671D53">
            <w:pPr>
              <w:widowControl w:val="0"/>
              <w:spacing w:line="240" w:lineRule="auto"/>
              <w:ind w:firstLine="0" w:firstLineChars="0"/>
              <w:jc w:val="center"/>
              <w:rPr>
                <w:b/>
                <w:bCs/>
                <w:color w:val="000000"/>
                <w:sz w:val="13"/>
                <w:szCs w:val="13"/>
                <w:u w:val="none"/>
              </w:rPr>
            </w:pPr>
            <w:r>
              <w:rPr>
                <w:rFonts w:hint="eastAsia"/>
                <w:b/>
                <w:bCs/>
                <w:color w:val="000000"/>
                <w:sz w:val="13"/>
                <w:szCs w:val="13"/>
                <w:u w:val="none"/>
              </w:rPr>
              <w:t>年份</w:t>
            </w:r>
          </w:p>
        </w:tc>
        <w:tc>
          <w:tcPr>
            <w:tcW w:w="567" w:type="dxa"/>
            <w:noWrap w:val="0"/>
            <w:tcMar>
              <w:top w:w="15" w:type="dxa"/>
              <w:left w:w="15" w:type="dxa"/>
              <w:bottom w:w="15" w:type="dxa"/>
              <w:right w:w="15" w:type="dxa"/>
            </w:tcMar>
            <w:vAlign w:val="center"/>
          </w:tcPr>
          <w:p w14:paraId="0E3BEC51">
            <w:pPr>
              <w:widowControl w:val="0"/>
              <w:spacing w:line="240" w:lineRule="auto"/>
              <w:ind w:firstLine="0" w:firstLineChars="0"/>
              <w:jc w:val="center"/>
              <w:rPr>
                <w:b/>
                <w:bCs/>
                <w:color w:val="000000"/>
                <w:sz w:val="13"/>
                <w:szCs w:val="13"/>
                <w:u w:val="none"/>
              </w:rPr>
            </w:pPr>
            <w:r>
              <w:rPr>
                <w:rFonts w:hint="eastAsia"/>
                <w:b/>
                <w:bCs/>
                <w:color w:val="000000"/>
                <w:sz w:val="13"/>
                <w:szCs w:val="13"/>
                <w:u w:val="none"/>
              </w:rPr>
              <w:t>项目</w:t>
            </w:r>
          </w:p>
        </w:tc>
        <w:tc>
          <w:tcPr>
            <w:tcW w:w="709" w:type="dxa"/>
            <w:noWrap w:val="0"/>
            <w:tcMar>
              <w:top w:w="15" w:type="dxa"/>
              <w:left w:w="15" w:type="dxa"/>
              <w:bottom w:w="15" w:type="dxa"/>
              <w:right w:w="15" w:type="dxa"/>
            </w:tcMar>
            <w:vAlign w:val="center"/>
          </w:tcPr>
          <w:p w14:paraId="650727E7">
            <w:pPr>
              <w:spacing w:line="240" w:lineRule="auto"/>
              <w:ind w:firstLine="0" w:firstLineChars="0"/>
              <w:jc w:val="center"/>
              <w:textAlignment w:val="center"/>
              <w:rPr>
                <w:b/>
                <w:bCs/>
                <w:color w:val="000000"/>
                <w:sz w:val="13"/>
                <w:szCs w:val="13"/>
                <w:u w:val="none"/>
              </w:rPr>
            </w:pPr>
            <w:r>
              <w:rPr>
                <w:b/>
                <w:bCs/>
                <w:color w:val="000000"/>
                <w:kern w:val="0"/>
                <w:sz w:val="13"/>
                <w:szCs w:val="13"/>
                <w:u w:val="none"/>
                <w:lang w:bidi="ar"/>
              </w:rPr>
              <w:t>pH</w:t>
            </w:r>
            <w:r>
              <w:rPr>
                <w:rFonts w:cs="宋体"/>
                <w:b/>
                <w:bCs/>
                <w:color w:val="000000"/>
                <w:sz w:val="13"/>
                <w:szCs w:val="13"/>
                <w:u w:val="none"/>
                <w:lang w:bidi="ar"/>
              </w:rPr>
              <w:t>值</w:t>
            </w:r>
          </w:p>
        </w:tc>
        <w:tc>
          <w:tcPr>
            <w:tcW w:w="567" w:type="dxa"/>
            <w:noWrap w:val="0"/>
            <w:tcMar>
              <w:top w:w="15" w:type="dxa"/>
              <w:left w:w="15" w:type="dxa"/>
              <w:bottom w:w="15" w:type="dxa"/>
              <w:right w:w="15" w:type="dxa"/>
            </w:tcMar>
            <w:vAlign w:val="center"/>
          </w:tcPr>
          <w:p w14:paraId="5F27478D">
            <w:pPr>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溶解氧</w:t>
            </w:r>
          </w:p>
        </w:tc>
        <w:tc>
          <w:tcPr>
            <w:tcW w:w="567" w:type="dxa"/>
            <w:noWrap w:val="0"/>
            <w:tcMar>
              <w:top w:w="15" w:type="dxa"/>
              <w:left w:w="15" w:type="dxa"/>
              <w:bottom w:w="15" w:type="dxa"/>
              <w:right w:w="15" w:type="dxa"/>
            </w:tcMar>
            <w:vAlign w:val="center"/>
          </w:tcPr>
          <w:p w14:paraId="54360F47">
            <w:pPr>
              <w:spacing w:line="240" w:lineRule="auto"/>
              <w:ind w:firstLine="0" w:firstLineChars="0"/>
              <w:jc w:val="center"/>
              <w:textAlignment w:val="center"/>
              <w:rPr>
                <w:b/>
                <w:bCs/>
                <w:color w:val="000000"/>
                <w:sz w:val="13"/>
                <w:szCs w:val="13"/>
                <w:u w:val="none"/>
              </w:rPr>
            </w:pPr>
            <w:r>
              <w:rPr>
                <w:rFonts w:hint="eastAsia"/>
                <w:b/>
                <w:bCs/>
                <w:color w:val="000000"/>
                <w:sz w:val="13"/>
                <w:szCs w:val="13"/>
                <w:u w:val="none"/>
              </w:rPr>
              <w:t>高锰酯盐指数</w:t>
            </w:r>
          </w:p>
        </w:tc>
        <w:tc>
          <w:tcPr>
            <w:tcW w:w="567" w:type="dxa"/>
            <w:noWrap w:val="0"/>
            <w:tcMar>
              <w:top w:w="15" w:type="dxa"/>
              <w:left w:w="15" w:type="dxa"/>
              <w:bottom w:w="15" w:type="dxa"/>
              <w:right w:w="15" w:type="dxa"/>
            </w:tcMar>
            <w:vAlign w:val="center"/>
          </w:tcPr>
          <w:p w14:paraId="50B0FF07">
            <w:pPr>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化学</w:t>
            </w:r>
            <w:r>
              <w:rPr>
                <w:rFonts w:cs="宋体"/>
                <w:b/>
                <w:bCs/>
                <w:color w:val="000000"/>
                <w:sz w:val="13"/>
                <w:szCs w:val="13"/>
                <w:u w:val="none"/>
                <w:lang w:bidi="ar"/>
              </w:rPr>
              <w:t xml:space="preserve">     </w:t>
            </w:r>
            <w:r>
              <w:rPr>
                <w:rFonts w:hint="eastAsia"/>
                <w:b/>
                <w:bCs/>
                <w:color w:val="000000"/>
                <w:kern w:val="0"/>
                <w:sz w:val="13"/>
                <w:szCs w:val="13"/>
                <w:u w:val="none"/>
                <w:lang w:bidi="ar"/>
              </w:rPr>
              <w:t>需氧量</w:t>
            </w:r>
          </w:p>
        </w:tc>
        <w:tc>
          <w:tcPr>
            <w:tcW w:w="709" w:type="dxa"/>
            <w:noWrap w:val="0"/>
            <w:tcMar>
              <w:top w:w="15" w:type="dxa"/>
              <w:left w:w="15" w:type="dxa"/>
              <w:bottom w:w="15" w:type="dxa"/>
              <w:right w:w="15" w:type="dxa"/>
            </w:tcMar>
            <w:vAlign w:val="center"/>
          </w:tcPr>
          <w:p w14:paraId="5E92B023">
            <w:pPr>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五日生化需氧量</w:t>
            </w:r>
          </w:p>
        </w:tc>
        <w:tc>
          <w:tcPr>
            <w:tcW w:w="709" w:type="dxa"/>
            <w:noWrap w:val="0"/>
            <w:tcMar>
              <w:top w:w="15" w:type="dxa"/>
              <w:left w:w="15" w:type="dxa"/>
              <w:bottom w:w="15" w:type="dxa"/>
              <w:right w:w="15" w:type="dxa"/>
            </w:tcMar>
            <w:vAlign w:val="center"/>
          </w:tcPr>
          <w:p w14:paraId="11501CCF">
            <w:pPr>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氨氮</w:t>
            </w:r>
          </w:p>
        </w:tc>
        <w:tc>
          <w:tcPr>
            <w:tcW w:w="850" w:type="dxa"/>
            <w:noWrap w:val="0"/>
            <w:tcMar>
              <w:top w:w="15" w:type="dxa"/>
              <w:left w:w="15" w:type="dxa"/>
              <w:bottom w:w="15" w:type="dxa"/>
              <w:right w:w="15" w:type="dxa"/>
            </w:tcMar>
            <w:vAlign w:val="center"/>
          </w:tcPr>
          <w:p w14:paraId="775AC49B">
            <w:pPr>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总磷</w:t>
            </w:r>
          </w:p>
        </w:tc>
        <w:tc>
          <w:tcPr>
            <w:tcW w:w="567" w:type="dxa"/>
            <w:noWrap w:val="0"/>
            <w:tcMar>
              <w:top w:w="15" w:type="dxa"/>
              <w:left w:w="15" w:type="dxa"/>
              <w:bottom w:w="15" w:type="dxa"/>
              <w:right w:w="15" w:type="dxa"/>
            </w:tcMar>
            <w:vAlign w:val="center"/>
          </w:tcPr>
          <w:p w14:paraId="5824EAE5">
            <w:pPr>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铜</w:t>
            </w:r>
          </w:p>
        </w:tc>
        <w:tc>
          <w:tcPr>
            <w:tcW w:w="567" w:type="dxa"/>
            <w:noWrap w:val="0"/>
            <w:tcMar>
              <w:top w:w="15" w:type="dxa"/>
              <w:left w:w="15" w:type="dxa"/>
              <w:bottom w:w="15" w:type="dxa"/>
              <w:right w:w="15" w:type="dxa"/>
            </w:tcMar>
            <w:vAlign w:val="center"/>
          </w:tcPr>
          <w:p w14:paraId="6BF27620">
            <w:pPr>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锌</w:t>
            </w:r>
          </w:p>
        </w:tc>
        <w:tc>
          <w:tcPr>
            <w:tcW w:w="851" w:type="dxa"/>
            <w:noWrap w:val="0"/>
            <w:tcMar>
              <w:top w:w="15" w:type="dxa"/>
              <w:left w:w="15" w:type="dxa"/>
              <w:bottom w:w="15" w:type="dxa"/>
              <w:right w:w="15" w:type="dxa"/>
            </w:tcMar>
            <w:vAlign w:val="center"/>
          </w:tcPr>
          <w:p w14:paraId="00229E31">
            <w:pPr>
              <w:spacing w:line="240" w:lineRule="auto"/>
              <w:ind w:firstLine="0" w:firstLineChars="0"/>
              <w:jc w:val="center"/>
              <w:textAlignment w:val="center"/>
              <w:rPr>
                <w:b/>
                <w:bCs/>
                <w:color w:val="000000"/>
                <w:sz w:val="13"/>
                <w:szCs w:val="13"/>
                <w:u w:val="none"/>
              </w:rPr>
            </w:pPr>
            <w:r>
              <w:rPr>
                <w:rFonts w:hint="eastAsia"/>
                <w:b/>
                <w:bCs/>
                <w:color w:val="000000"/>
                <w:sz w:val="13"/>
                <w:szCs w:val="13"/>
                <w:u w:val="none"/>
              </w:rPr>
              <w:t>氟化物</w:t>
            </w:r>
          </w:p>
        </w:tc>
        <w:tc>
          <w:tcPr>
            <w:tcW w:w="567" w:type="dxa"/>
            <w:noWrap w:val="0"/>
            <w:tcMar>
              <w:top w:w="15" w:type="dxa"/>
              <w:left w:w="15" w:type="dxa"/>
              <w:bottom w:w="15" w:type="dxa"/>
              <w:right w:w="15" w:type="dxa"/>
            </w:tcMar>
            <w:vAlign w:val="center"/>
          </w:tcPr>
          <w:p w14:paraId="536BD1E5">
            <w:pPr>
              <w:spacing w:line="240" w:lineRule="auto"/>
              <w:ind w:firstLine="0" w:firstLineChars="0"/>
              <w:jc w:val="center"/>
              <w:textAlignment w:val="center"/>
              <w:rPr>
                <w:b/>
                <w:bCs/>
                <w:color w:val="000000"/>
                <w:sz w:val="13"/>
                <w:szCs w:val="13"/>
                <w:u w:val="none"/>
              </w:rPr>
            </w:pPr>
            <w:r>
              <w:rPr>
                <w:rFonts w:hint="eastAsia"/>
                <w:b/>
                <w:bCs/>
                <w:color w:val="000000"/>
                <w:sz w:val="13"/>
                <w:szCs w:val="13"/>
                <w:u w:val="none"/>
              </w:rPr>
              <w:t>硒</w:t>
            </w:r>
          </w:p>
        </w:tc>
        <w:tc>
          <w:tcPr>
            <w:tcW w:w="992" w:type="dxa"/>
            <w:noWrap w:val="0"/>
            <w:tcMar>
              <w:top w:w="15" w:type="dxa"/>
              <w:left w:w="15" w:type="dxa"/>
              <w:bottom w:w="15" w:type="dxa"/>
              <w:right w:w="15" w:type="dxa"/>
            </w:tcMar>
            <w:vAlign w:val="center"/>
          </w:tcPr>
          <w:p w14:paraId="044A9FEF">
            <w:pPr>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砷</w:t>
            </w:r>
          </w:p>
        </w:tc>
        <w:tc>
          <w:tcPr>
            <w:tcW w:w="567" w:type="dxa"/>
            <w:noWrap w:val="0"/>
            <w:tcMar>
              <w:top w:w="15" w:type="dxa"/>
              <w:left w:w="15" w:type="dxa"/>
              <w:bottom w:w="15" w:type="dxa"/>
              <w:right w:w="15" w:type="dxa"/>
            </w:tcMar>
            <w:vAlign w:val="center"/>
          </w:tcPr>
          <w:p w14:paraId="0498B165">
            <w:pPr>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汞</w:t>
            </w:r>
          </w:p>
        </w:tc>
        <w:tc>
          <w:tcPr>
            <w:tcW w:w="992" w:type="dxa"/>
            <w:noWrap w:val="0"/>
            <w:tcMar>
              <w:top w:w="15" w:type="dxa"/>
              <w:left w:w="15" w:type="dxa"/>
              <w:bottom w:w="15" w:type="dxa"/>
              <w:right w:w="15" w:type="dxa"/>
            </w:tcMar>
            <w:vAlign w:val="center"/>
          </w:tcPr>
          <w:p w14:paraId="72E37AE0">
            <w:pPr>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镉</w:t>
            </w:r>
          </w:p>
        </w:tc>
        <w:tc>
          <w:tcPr>
            <w:tcW w:w="992" w:type="dxa"/>
            <w:noWrap w:val="0"/>
            <w:tcMar>
              <w:top w:w="15" w:type="dxa"/>
              <w:left w:w="15" w:type="dxa"/>
              <w:bottom w:w="15" w:type="dxa"/>
              <w:right w:w="15" w:type="dxa"/>
            </w:tcMar>
            <w:vAlign w:val="center"/>
          </w:tcPr>
          <w:p w14:paraId="5FBD8F4B">
            <w:pPr>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六价铬</w:t>
            </w:r>
          </w:p>
        </w:tc>
        <w:tc>
          <w:tcPr>
            <w:tcW w:w="567" w:type="dxa"/>
            <w:noWrap w:val="0"/>
            <w:tcMar>
              <w:top w:w="15" w:type="dxa"/>
              <w:left w:w="15" w:type="dxa"/>
              <w:bottom w:w="15" w:type="dxa"/>
              <w:right w:w="15" w:type="dxa"/>
            </w:tcMar>
            <w:vAlign w:val="center"/>
          </w:tcPr>
          <w:p w14:paraId="57F77950">
            <w:pPr>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铅</w:t>
            </w:r>
          </w:p>
        </w:tc>
        <w:tc>
          <w:tcPr>
            <w:tcW w:w="567" w:type="dxa"/>
            <w:noWrap w:val="0"/>
            <w:tcMar>
              <w:top w:w="15" w:type="dxa"/>
              <w:left w:w="15" w:type="dxa"/>
              <w:bottom w:w="15" w:type="dxa"/>
              <w:right w:w="15" w:type="dxa"/>
            </w:tcMar>
            <w:vAlign w:val="center"/>
          </w:tcPr>
          <w:p w14:paraId="1F16B14D">
            <w:pPr>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氰化物</w:t>
            </w:r>
          </w:p>
        </w:tc>
        <w:tc>
          <w:tcPr>
            <w:tcW w:w="567" w:type="dxa"/>
            <w:noWrap w:val="0"/>
            <w:tcMar>
              <w:top w:w="15" w:type="dxa"/>
              <w:left w:w="15" w:type="dxa"/>
              <w:bottom w:w="15" w:type="dxa"/>
              <w:right w:w="15" w:type="dxa"/>
            </w:tcMar>
            <w:vAlign w:val="center"/>
          </w:tcPr>
          <w:p w14:paraId="00649423">
            <w:pPr>
              <w:spacing w:line="240" w:lineRule="auto"/>
              <w:ind w:firstLine="0" w:firstLineChars="0"/>
              <w:jc w:val="center"/>
              <w:textAlignment w:val="center"/>
              <w:rPr>
                <w:b/>
                <w:bCs/>
                <w:color w:val="000000"/>
                <w:sz w:val="13"/>
                <w:szCs w:val="13"/>
                <w:u w:val="none"/>
              </w:rPr>
            </w:pPr>
            <w:r>
              <w:rPr>
                <w:rFonts w:hint="eastAsia"/>
                <w:b/>
                <w:bCs/>
                <w:color w:val="000000"/>
                <w:sz w:val="13"/>
                <w:szCs w:val="13"/>
                <w:u w:val="none"/>
              </w:rPr>
              <w:t>挥发酚</w:t>
            </w:r>
          </w:p>
        </w:tc>
        <w:tc>
          <w:tcPr>
            <w:tcW w:w="567" w:type="dxa"/>
            <w:noWrap w:val="0"/>
            <w:tcMar>
              <w:top w:w="15" w:type="dxa"/>
              <w:left w:w="15" w:type="dxa"/>
              <w:bottom w:w="15" w:type="dxa"/>
              <w:right w:w="15" w:type="dxa"/>
            </w:tcMar>
            <w:vAlign w:val="center"/>
          </w:tcPr>
          <w:p w14:paraId="22E1B802">
            <w:pPr>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石油类</w:t>
            </w:r>
          </w:p>
        </w:tc>
        <w:tc>
          <w:tcPr>
            <w:tcW w:w="567" w:type="dxa"/>
            <w:noWrap w:val="0"/>
            <w:tcMar>
              <w:top w:w="15" w:type="dxa"/>
              <w:left w:w="15" w:type="dxa"/>
              <w:bottom w:w="15" w:type="dxa"/>
              <w:right w:w="15" w:type="dxa"/>
            </w:tcMar>
            <w:vAlign w:val="center"/>
          </w:tcPr>
          <w:p w14:paraId="3667C36C">
            <w:pPr>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阴离子表面活性剂</w:t>
            </w:r>
          </w:p>
        </w:tc>
        <w:tc>
          <w:tcPr>
            <w:tcW w:w="567" w:type="dxa"/>
            <w:noWrap w:val="0"/>
            <w:tcMar>
              <w:top w:w="15" w:type="dxa"/>
              <w:left w:w="15" w:type="dxa"/>
              <w:bottom w:w="15" w:type="dxa"/>
              <w:right w:w="15" w:type="dxa"/>
            </w:tcMar>
            <w:vAlign w:val="center"/>
          </w:tcPr>
          <w:p w14:paraId="1B81BE5C">
            <w:pPr>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硫化物</w:t>
            </w:r>
          </w:p>
        </w:tc>
      </w:tr>
      <w:tr w14:paraId="79C178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284" w:type="dxa"/>
            <w:vMerge w:val="restart"/>
            <w:tcBorders>
              <w:right w:val="single" w:color="auto" w:sz="4" w:space="0"/>
            </w:tcBorders>
            <w:noWrap w:val="0"/>
            <w:tcMar>
              <w:top w:w="15" w:type="dxa"/>
              <w:left w:w="15" w:type="dxa"/>
              <w:bottom w:w="15" w:type="dxa"/>
              <w:right w:w="15" w:type="dxa"/>
            </w:tcMar>
            <w:vAlign w:val="center"/>
          </w:tcPr>
          <w:p w14:paraId="0FEDE452">
            <w:pPr>
              <w:widowControl w:val="0"/>
              <w:spacing w:line="240" w:lineRule="auto"/>
              <w:ind w:firstLine="0" w:firstLineChars="0"/>
              <w:jc w:val="center"/>
              <w:rPr>
                <w:rFonts w:hint="eastAsia"/>
                <w:color w:val="000000"/>
                <w:sz w:val="13"/>
                <w:szCs w:val="13"/>
                <w:u w:val="none"/>
                <w:lang w:val="en-US" w:eastAsia="zh-CN"/>
              </w:rPr>
            </w:pPr>
            <w:r>
              <w:rPr>
                <w:rFonts w:hint="eastAsia"/>
                <w:color w:val="000000"/>
                <w:sz w:val="13"/>
                <w:szCs w:val="13"/>
                <w:u w:val="none"/>
              </w:rPr>
              <w:t>民安街道三湾塘</w:t>
            </w:r>
            <w:r>
              <w:rPr>
                <w:rFonts w:hint="eastAsia"/>
                <w:color w:val="000000"/>
                <w:sz w:val="13"/>
                <w:szCs w:val="13"/>
                <w:u w:val="none"/>
                <w:lang w:val="en-US" w:eastAsia="zh-CN"/>
              </w:rPr>
              <w:t>村</w:t>
            </w:r>
          </w:p>
        </w:tc>
        <w:tc>
          <w:tcPr>
            <w:tcW w:w="567" w:type="dxa"/>
            <w:vMerge w:val="restart"/>
            <w:tcBorders>
              <w:left w:val="single" w:color="auto" w:sz="4" w:space="0"/>
            </w:tcBorders>
            <w:noWrap w:val="0"/>
            <w:vAlign w:val="center"/>
          </w:tcPr>
          <w:p w14:paraId="6B02A03C">
            <w:pPr>
              <w:widowControl w:val="0"/>
              <w:spacing w:line="240" w:lineRule="auto"/>
              <w:ind w:firstLine="0" w:firstLineChars="0"/>
              <w:jc w:val="center"/>
              <w:rPr>
                <w:rFonts w:hint="default"/>
                <w:color w:val="000000"/>
                <w:sz w:val="13"/>
                <w:szCs w:val="13"/>
                <w:u w:val="none"/>
                <w:lang w:val="en-US" w:eastAsia="zh-CN"/>
              </w:rPr>
            </w:pPr>
            <w:r>
              <w:rPr>
                <w:rFonts w:hint="eastAsia"/>
                <w:color w:val="000000"/>
                <w:sz w:val="13"/>
                <w:szCs w:val="13"/>
                <w:u w:val="none"/>
              </w:rPr>
              <w:t>20</w:t>
            </w:r>
            <w:r>
              <w:rPr>
                <w:rFonts w:hint="eastAsia"/>
                <w:color w:val="000000"/>
                <w:sz w:val="13"/>
                <w:szCs w:val="13"/>
                <w:u w:val="none"/>
                <w:lang w:val="en-US" w:eastAsia="zh-CN"/>
              </w:rPr>
              <w:t>21</w:t>
            </w:r>
          </w:p>
        </w:tc>
        <w:tc>
          <w:tcPr>
            <w:tcW w:w="567" w:type="dxa"/>
            <w:noWrap w:val="0"/>
            <w:tcMar>
              <w:top w:w="15" w:type="dxa"/>
              <w:left w:w="15" w:type="dxa"/>
              <w:bottom w:w="15" w:type="dxa"/>
              <w:right w:w="15" w:type="dxa"/>
            </w:tcMar>
            <w:vAlign w:val="center"/>
          </w:tcPr>
          <w:p w14:paraId="7AB4DF5C">
            <w:pPr>
              <w:widowControl w:val="0"/>
              <w:spacing w:line="240" w:lineRule="auto"/>
              <w:ind w:firstLine="0" w:firstLineChars="0"/>
              <w:jc w:val="center"/>
              <w:rPr>
                <w:color w:val="000000"/>
                <w:sz w:val="13"/>
                <w:szCs w:val="13"/>
                <w:u w:val="none"/>
              </w:rPr>
            </w:pPr>
            <w:r>
              <w:rPr>
                <w:rFonts w:hint="eastAsia"/>
                <w:color w:val="000000"/>
                <w:sz w:val="13"/>
                <w:szCs w:val="13"/>
                <w:u w:val="none"/>
              </w:rPr>
              <w:t>年均值</w:t>
            </w:r>
          </w:p>
        </w:tc>
        <w:tc>
          <w:tcPr>
            <w:tcW w:w="709" w:type="dxa"/>
            <w:noWrap w:val="0"/>
            <w:tcMar>
              <w:top w:w="15" w:type="dxa"/>
              <w:left w:w="15" w:type="dxa"/>
              <w:bottom w:w="15" w:type="dxa"/>
              <w:right w:w="15" w:type="dxa"/>
            </w:tcMar>
            <w:vAlign w:val="center"/>
          </w:tcPr>
          <w:p w14:paraId="7AE0B512">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8</w:t>
            </w:r>
          </w:p>
        </w:tc>
        <w:tc>
          <w:tcPr>
            <w:tcW w:w="567" w:type="dxa"/>
            <w:noWrap w:val="0"/>
            <w:tcMar>
              <w:top w:w="15" w:type="dxa"/>
              <w:left w:w="15" w:type="dxa"/>
              <w:bottom w:w="15" w:type="dxa"/>
              <w:right w:w="15" w:type="dxa"/>
            </w:tcMar>
            <w:vAlign w:val="center"/>
          </w:tcPr>
          <w:p w14:paraId="25149C4B">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7.95</w:t>
            </w:r>
          </w:p>
        </w:tc>
        <w:tc>
          <w:tcPr>
            <w:tcW w:w="567" w:type="dxa"/>
            <w:noWrap w:val="0"/>
            <w:tcMar>
              <w:top w:w="15" w:type="dxa"/>
              <w:left w:w="15" w:type="dxa"/>
              <w:bottom w:w="15" w:type="dxa"/>
              <w:right w:w="15" w:type="dxa"/>
            </w:tcMar>
            <w:vAlign w:val="center"/>
          </w:tcPr>
          <w:p w14:paraId="437B8FF2">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1.617 </w:t>
            </w:r>
          </w:p>
        </w:tc>
        <w:tc>
          <w:tcPr>
            <w:tcW w:w="567" w:type="dxa"/>
            <w:noWrap w:val="0"/>
            <w:tcMar>
              <w:top w:w="15" w:type="dxa"/>
              <w:left w:w="15" w:type="dxa"/>
              <w:bottom w:w="15" w:type="dxa"/>
              <w:right w:w="15" w:type="dxa"/>
            </w:tcMar>
            <w:vAlign w:val="center"/>
          </w:tcPr>
          <w:p w14:paraId="0BB7F809">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7.075</w:t>
            </w:r>
          </w:p>
        </w:tc>
        <w:tc>
          <w:tcPr>
            <w:tcW w:w="709" w:type="dxa"/>
            <w:noWrap w:val="0"/>
            <w:tcMar>
              <w:top w:w="15" w:type="dxa"/>
              <w:left w:w="15" w:type="dxa"/>
              <w:bottom w:w="15" w:type="dxa"/>
              <w:right w:w="15" w:type="dxa"/>
            </w:tcMar>
            <w:vAlign w:val="center"/>
          </w:tcPr>
          <w:p w14:paraId="49C17243">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0.65</w:t>
            </w:r>
          </w:p>
        </w:tc>
        <w:tc>
          <w:tcPr>
            <w:tcW w:w="709" w:type="dxa"/>
            <w:noWrap w:val="0"/>
            <w:tcMar>
              <w:top w:w="15" w:type="dxa"/>
              <w:left w:w="15" w:type="dxa"/>
              <w:bottom w:w="15" w:type="dxa"/>
              <w:right w:w="15" w:type="dxa"/>
            </w:tcMar>
            <w:vAlign w:val="center"/>
          </w:tcPr>
          <w:p w14:paraId="062DE3EF">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0.22</w:t>
            </w:r>
          </w:p>
        </w:tc>
        <w:tc>
          <w:tcPr>
            <w:tcW w:w="850" w:type="dxa"/>
            <w:noWrap w:val="0"/>
            <w:tcMar>
              <w:top w:w="15" w:type="dxa"/>
              <w:left w:w="15" w:type="dxa"/>
              <w:bottom w:w="15" w:type="dxa"/>
              <w:right w:w="15" w:type="dxa"/>
            </w:tcMar>
            <w:vAlign w:val="center"/>
          </w:tcPr>
          <w:p w14:paraId="11926A31">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0.073 </w:t>
            </w:r>
          </w:p>
        </w:tc>
        <w:tc>
          <w:tcPr>
            <w:tcW w:w="567" w:type="dxa"/>
            <w:noWrap w:val="0"/>
            <w:tcMar>
              <w:top w:w="15" w:type="dxa"/>
              <w:left w:w="15" w:type="dxa"/>
              <w:bottom w:w="15" w:type="dxa"/>
              <w:right w:w="15" w:type="dxa"/>
            </w:tcMar>
            <w:vAlign w:val="center"/>
          </w:tcPr>
          <w:p w14:paraId="7BC68B11">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0.002 </w:t>
            </w:r>
          </w:p>
        </w:tc>
        <w:tc>
          <w:tcPr>
            <w:tcW w:w="567" w:type="dxa"/>
            <w:noWrap w:val="0"/>
            <w:tcMar>
              <w:top w:w="15" w:type="dxa"/>
              <w:left w:w="15" w:type="dxa"/>
              <w:bottom w:w="15" w:type="dxa"/>
              <w:right w:w="15" w:type="dxa"/>
            </w:tcMar>
            <w:vAlign w:val="center"/>
          </w:tcPr>
          <w:p w14:paraId="393DE25C">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0.008 </w:t>
            </w:r>
          </w:p>
        </w:tc>
        <w:tc>
          <w:tcPr>
            <w:tcW w:w="851" w:type="dxa"/>
            <w:noWrap w:val="0"/>
            <w:tcMar>
              <w:top w:w="15" w:type="dxa"/>
              <w:left w:w="15" w:type="dxa"/>
              <w:bottom w:w="15" w:type="dxa"/>
              <w:right w:w="15" w:type="dxa"/>
            </w:tcMar>
            <w:vAlign w:val="center"/>
          </w:tcPr>
          <w:p w14:paraId="55AAE213">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0.096 </w:t>
            </w:r>
          </w:p>
        </w:tc>
        <w:tc>
          <w:tcPr>
            <w:tcW w:w="567" w:type="dxa"/>
            <w:noWrap w:val="0"/>
            <w:tcMar>
              <w:top w:w="15" w:type="dxa"/>
              <w:left w:w="15" w:type="dxa"/>
              <w:bottom w:w="15" w:type="dxa"/>
              <w:right w:w="15" w:type="dxa"/>
            </w:tcMar>
            <w:vAlign w:val="center"/>
          </w:tcPr>
          <w:p w14:paraId="7883C826">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0.00035 </w:t>
            </w:r>
          </w:p>
        </w:tc>
        <w:tc>
          <w:tcPr>
            <w:tcW w:w="992" w:type="dxa"/>
            <w:noWrap w:val="0"/>
            <w:tcMar>
              <w:top w:w="15" w:type="dxa"/>
              <w:left w:w="15" w:type="dxa"/>
              <w:bottom w:w="15" w:type="dxa"/>
              <w:right w:w="15" w:type="dxa"/>
            </w:tcMar>
            <w:vAlign w:val="center"/>
          </w:tcPr>
          <w:p w14:paraId="77439038">
            <w:pPr>
              <w:widowControl w:val="0"/>
              <w:spacing w:line="240" w:lineRule="auto"/>
              <w:ind w:firstLine="0" w:firstLineChars="0"/>
              <w:jc w:val="center"/>
              <w:rPr>
                <w:rFonts w:hint="eastAsia"/>
                <w:color w:val="000000"/>
                <w:sz w:val="13"/>
                <w:szCs w:val="13"/>
                <w:u w:val="none"/>
                <w:lang w:val="en-US" w:eastAsia="zh-CN"/>
              </w:rPr>
            </w:pPr>
            <w:r>
              <w:rPr>
                <w:rFonts w:hint="eastAsia"/>
                <w:color w:val="000000"/>
                <w:sz w:val="13"/>
                <w:szCs w:val="13"/>
                <w:u w:val="none"/>
                <w:lang w:val="en-US" w:eastAsia="zh-CN"/>
              </w:rPr>
              <w:t xml:space="preserve">0.00033 </w:t>
            </w:r>
          </w:p>
        </w:tc>
        <w:tc>
          <w:tcPr>
            <w:tcW w:w="567" w:type="dxa"/>
            <w:noWrap w:val="0"/>
            <w:tcMar>
              <w:top w:w="15" w:type="dxa"/>
              <w:left w:w="15" w:type="dxa"/>
              <w:bottom w:w="15" w:type="dxa"/>
              <w:right w:w="15" w:type="dxa"/>
            </w:tcMar>
            <w:vAlign w:val="center"/>
          </w:tcPr>
          <w:p w14:paraId="1E0115F4">
            <w:pPr>
              <w:widowControl w:val="0"/>
              <w:spacing w:line="240" w:lineRule="auto"/>
              <w:ind w:firstLine="0" w:firstLineChars="0"/>
              <w:jc w:val="center"/>
              <w:rPr>
                <w:rFonts w:hint="eastAsia"/>
                <w:color w:val="000000"/>
                <w:sz w:val="13"/>
                <w:szCs w:val="13"/>
                <w:u w:val="none"/>
                <w:lang w:val="en-US" w:eastAsia="zh-CN"/>
              </w:rPr>
            </w:pPr>
            <w:r>
              <w:rPr>
                <w:rFonts w:hint="eastAsia"/>
                <w:color w:val="000000"/>
                <w:sz w:val="13"/>
                <w:szCs w:val="13"/>
                <w:u w:val="none"/>
                <w:lang w:val="en-US" w:eastAsia="zh-CN"/>
              </w:rPr>
              <w:t xml:space="preserve">0.00002 </w:t>
            </w:r>
          </w:p>
        </w:tc>
        <w:tc>
          <w:tcPr>
            <w:tcW w:w="992" w:type="dxa"/>
            <w:noWrap w:val="0"/>
            <w:tcMar>
              <w:top w:w="15" w:type="dxa"/>
              <w:left w:w="15" w:type="dxa"/>
              <w:bottom w:w="15" w:type="dxa"/>
              <w:right w:w="15" w:type="dxa"/>
            </w:tcMar>
            <w:vAlign w:val="center"/>
          </w:tcPr>
          <w:p w14:paraId="27EBE7AB">
            <w:pPr>
              <w:widowControl w:val="0"/>
              <w:spacing w:line="240" w:lineRule="auto"/>
              <w:ind w:firstLine="0" w:firstLineChars="0"/>
              <w:jc w:val="center"/>
              <w:rPr>
                <w:rFonts w:hint="eastAsia"/>
                <w:color w:val="000000"/>
                <w:sz w:val="13"/>
                <w:szCs w:val="13"/>
                <w:u w:val="none"/>
                <w:lang w:val="en-US" w:eastAsia="zh-CN"/>
              </w:rPr>
            </w:pPr>
            <w:r>
              <w:rPr>
                <w:rFonts w:hint="eastAsia"/>
                <w:color w:val="000000"/>
                <w:sz w:val="13"/>
                <w:szCs w:val="13"/>
                <w:u w:val="none"/>
                <w:lang w:val="en-US" w:eastAsia="zh-CN"/>
              </w:rPr>
              <w:t xml:space="preserve">0.00004 </w:t>
            </w:r>
          </w:p>
        </w:tc>
        <w:tc>
          <w:tcPr>
            <w:tcW w:w="992" w:type="dxa"/>
            <w:noWrap w:val="0"/>
            <w:tcMar>
              <w:top w:w="15" w:type="dxa"/>
              <w:left w:w="15" w:type="dxa"/>
              <w:bottom w:w="15" w:type="dxa"/>
              <w:right w:w="15" w:type="dxa"/>
            </w:tcMar>
            <w:vAlign w:val="center"/>
          </w:tcPr>
          <w:p w14:paraId="291E2A4A">
            <w:pPr>
              <w:widowControl w:val="0"/>
              <w:spacing w:line="240" w:lineRule="auto"/>
              <w:ind w:firstLine="0" w:firstLineChars="0"/>
              <w:jc w:val="center"/>
              <w:rPr>
                <w:rFonts w:hint="eastAsia"/>
                <w:color w:val="000000"/>
                <w:sz w:val="13"/>
                <w:szCs w:val="13"/>
                <w:u w:val="none"/>
                <w:lang w:val="en-US" w:eastAsia="zh-CN"/>
              </w:rPr>
            </w:pPr>
            <w:r>
              <w:rPr>
                <w:rFonts w:hint="eastAsia"/>
                <w:color w:val="000000"/>
                <w:sz w:val="13"/>
                <w:szCs w:val="13"/>
                <w:u w:val="none"/>
                <w:lang w:val="en-US" w:eastAsia="zh-CN"/>
              </w:rPr>
              <w:t xml:space="preserve">0.002 </w:t>
            </w:r>
          </w:p>
        </w:tc>
        <w:tc>
          <w:tcPr>
            <w:tcW w:w="567" w:type="dxa"/>
            <w:noWrap w:val="0"/>
            <w:tcMar>
              <w:top w:w="15" w:type="dxa"/>
              <w:left w:w="15" w:type="dxa"/>
              <w:bottom w:w="15" w:type="dxa"/>
              <w:right w:w="15" w:type="dxa"/>
            </w:tcMar>
            <w:vAlign w:val="center"/>
          </w:tcPr>
          <w:p w14:paraId="4F5446D3">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0.001 </w:t>
            </w:r>
          </w:p>
        </w:tc>
        <w:tc>
          <w:tcPr>
            <w:tcW w:w="567" w:type="dxa"/>
            <w:noWrap w:val="0"/>
            <w:tcMar>
              <w:top w:w="15" w:type="dxa"/>
              <w:left w:w="15" w:type="dxa"/>
              <w:bottom w:w="15" w:type="dxa"/>
              <w:right w:w="15" w:type="dxa"/>
            </w:tcMar>
            <w:vAlign w:val="center"/>
          </w:tcPr>
          <w:p w14:paraId="4C7D6422">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0.002 </w:t>
            </w:r>
          </w:p>
        </w:tc>
        <w:tc>
          <w:tcPr>
            <w:tcW w:w="567" w:type="dxa"/>
            <w:noWrap w:val="0"/>
            <w:tcMar>
              <w:top w:w="15" w:type="dxa"/>
              <w:left w:w="15" w:type="dxa"/>
              <w:bottom w:w="15" w:type="dxa"/>
              <w:right w:w="15" w:type="dxa"/>
            </w:tcMar>
            <w:vAlign w:val="center"/>
          </w:tcPr>
          <w:p w14:paraId="756ED5D2">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0.0003 </w:t>
            </w:r>
          </w:p>
        </w:tc>
        <w:tc>
          <w:tcPr>
            <w:tcW w:w="567" w:type="dxa"/>
            <w:noWrap w:val="0"/>
            <w:tcMar>
              <w:top w:w="15" w:type="dxa"/>
              <w:left w:w="15" w:type="dxa"/>
              <w:bottom w:w="15" w:type="dxa"/>
              <w:right w:w="15" w:type="dxa"/>
            </w:tcMar>
            <w:vAlign w:val="center"/>
          </w:tcPr>
          <w:p w14:paraId="7E0C4E77">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0.005 </w:t>
            </w:r>
          </w:p>
        </w:tc>
        <w:tc>
          <w:tcPr>
            <w:tcW w:w="567" w:type="dxa"/>
            <w:noWrap w:val="0"/>
            <w:tcMar>
              <w:top w:w="15" w:type="dxa"/>
              <w:left w:w="15" w:type="dxa"/>
              <w:bottom w:w="15" w:type="dxa"/>
              <w:right w:w="15" w:type="dxa"/>
            </w:tcMar>
            <w:vAlign w:val="center"/>
          </w:tcPr>
          <w:p w14:paraId="514EC8E7">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0.020 </w:t>
            </w:r>
          </w:p>
        </w:tc>
        <w:tc>
          <w:tcPr>
            <w:tcW w:w="567" w:type="dxa"/>
            <w:noWrap w:val="0"/>
            <w:tcMar>
              <w:top w:w="15" w:type="dxa"/>
              <w:left w:w="15" w:type="dxa"/>
              <w:bottom w:w="15" w:type="dxa"/>
              <w:right w:w="15" w:type="dxa"/>
            </w:tcMar>
            <w:vAlign w:val="center"/>
          </w:tcPr>
          <w:p w14:paraId="2716E59F">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0.003 </w:t>
            </w:r>
          </w:p>
        </w:tc>
      </w:tr>
      <w:tr w14:paraId="58B8C8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284" w:type="dxa"/>
            <w:vMerge w:val="continue"/>
            <w:tcBorders>
              <w:right w:val="single" w:color="auto" w:sz="4" w:space="0"/>
            </w:tcBorders>
            <w:noWrap w:val="0"/>
            <w:vAlign w:val="center"/>
          </w:tcPr>
          <w:p w14:paraId="5A319D2A">
            <w:pPr>
              <w:widowControl w:val="0"/>
              <w:spacing w:line="240" w:lineRule="auto"/>
              <w:ind w:firstLine="0" w:firstLineChars="0"/>
              <w:jc w:val="center"/>
              <w:rPr>
                <w:color w:val="000000"/>
                <w:sz w:val="13"/>
                <w:szCs w:val="13"/>
                <w:u w:val="none"/>
              </w:rPr>
            </w:pPr>
          </w:p>
        </w:tc>
        <w:tc>
          <w:tcPr>
            <w:tcW w:w="567" w:type="dxa"/>
            <w:vMerge w:val="continue"/>
            <w:tcBorders>
              <w:left w:val="single" w:color="auto" w:sz="4" w:space="0"/>
            </w:tcBorders>
            <w:noWrap w:val="0"/>
            <w:vAlign w:val="center"/>
          </w:tcPr>
          <w:p w14:paraId="62B0D0B9">
            <w:pPr>
              <w:widowControl w:val="0"/>
              <w:spacing w:line="240" w:lineRule="auto"/>
              <w:ind w:firstLine="0" w:firstLineChars="0"/>
              <w:jc w:val="center"/>
              <w:rPr>
                <w:color w:val="000000"/>
                <w:sz w:val="13"/>
                <w:szCs w:val="13"/>
                <w:u w:val="none"/>
              </w:rPr>
            </w:pPr>
          </w:p>
        </w:tc>
        <w:tc>
          <w:tcPr>
            <w:tcW w:w="567" w:type="dxa"/>
            <w:noWrap w:val="0"/>
            <w:tcMar>
              <w:top w:w="15" w:type="dxa"/>
              <w:left w:w="15" w:type="dxa"/>
              <w:bottom w:w="15" w:type="dxa"/>
              <w:right w:w="15" w:type="dxa"/>
            </w:tcMar>
            <w:vAlign w:val="center"/>
          </w:tcPr>
          <w:p w14:paraId="411DA3E7">
            <w:pPr>
              <w:widowControl w:val="0"/>
              <w:spacing w:line="240" w:lineRule="auto"/>
              <w:ind w:firstLine="0" w:firstLineChars="0"/>
              <w:jc w:val="center"/>
              <w:rPr>
                <w:color w:val="000000"/>
                <w:sz w:val="13"/>
                <w:szCs w:val="13"/>
                <w:u w:val="none"/>
              </w:rPr>
            </w:pPr>
            <w:r>
              <w:rPr>
                <w:rFonts w:hint="eastAsia"/>
                <w:color w:val="000000"/>
                <w:sz w:val="13"/>
                <w:szCs w:val="13"/>
                <w:u w:val="none"/>
              </w:rPr>
              <w:t>超标率%</w:t>
            </w:r>
          </w:p>
        </w:tc>
        <w:tc>
          <w:tcPr>
            <w:tcW w:w="709" w:type="dxa"/>
            <w:noWrap w:val="0"/>
            <w:tcMar>
              <w:top w:w="15" w:type="dxa"/>
              <w:left w:w="15" w:type="dxa"/>
              <w:bottom w:w="15" w:type="dxa"/>
              <w:right w:w="15" w:type="dxa"/>
            </w:tcMar>
            <w:vAlign w:val="center"/>
          </w:tcPr>
          <w:p w14:paraId="1A4510D0">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39B8B0DA">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C432AA5">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0D700C46">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757AC805">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5B2A262E">
            <w:pPr>
              <w:widowControl w:val="0"/>
              <w:spacing w:line="240" w:lineRule="auto"/>
              <w:ind w:firstLine="0" w:firstLineChars="0"/>
              <w:jc w:val="center"/>
              <w:rPr>
                <w:color w:val="000000"/>
                <w:sz w:val="13"/>
                <w:szCs w:val="13"/>
                <w:u w:val="none"/>
              </w:rPr>
            </w:pPr>
            <w:r>
              <w:rPr>
                <w:color w:val="000000"/>
                <w:sz w:val="13"/>
                <w:szCs w:val="13"/>
                <w:u w:val="none"/>
              </w:rPr>
              <w:t>/</w:t>
            </w:r>
          </w:p>
        </w:tc>
        <w:tc>
          <w:tcPr>
            <w:tcW w:w="850" w:type="dxa"/>
            <w:noWrap w:val="0"/>
            <w:tcMar>
              <w:top w:w="15" w:type="dxa"/>
              <w:left w:w="15" w:type="dxa"/>
              <w:bottom w:w="15" w:type="dxa"/>
              <w:right w:w="15" w:type="dxa"/>
            </w:tcMar>
            <w:vAlign w:val="center"/>
          </w:tcPr>
          <w:p w14:paraId="5831FE38">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1E2BE16D">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2E36BA39">
            <w:pPr>
              <w:widowControl w:val="0"/>
              <w:spacing w:line="240" w:lineRule="auto"/>
              <w:ind w:firstLine="0" w:firstLineChars="0"/>
              <w:jc w:val="center"/>
              <w:rPr>
                <w:color w:val="000000"/>
                <w:sz w:val="13"/>
                <w:szCs w:val="13"/>
                <w:u w:val="none"/>
              </w:rPr>
            </w:pPr>
            <w:r>
              <w:rPr>
                <w:color w:val="000000"/>
                <w:sz w:val="13"/>
                <w:szCs w:val="13"/>
                <w:u w:val="none"/>
              </w:rPr>
              <w:t>/</w:t>
            </w:r>
          </w:p>
        </w:tc>
        <w:tc>
          <w:tcPr>
            <w:tcW w:w="851" w:type="dxa"/>
            <w:noWrap w:val="0"/>
            <w:tcMar>
              <w:top w:w="15" w:type="dxa"/>
              <w:left w:w="15" w:type="dxa"/>
              <w:bottom w:w="15" w:type="dxa"/>
              <w:right w:w="15" w:type="dxa"/>
            </w:tcMar>
            <w:vAlign w:val="center"/>
          </w:tcPr>
          <w:p w14:paraId="6AA52666">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14E8051A">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0D76C49E">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2F52C86">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4DE1AD69">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6D671E37">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04BE61E5">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343601CC">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3AC63FD7">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258F41D3">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73DAFD54">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1A66707F">
            <w:pPr>
              <w:widowControl w:val="0"/>
              <w:spacing w:line="240" w:lineRule="auto"/>
              <w:ind w:firstLine="0" w:firstLineChars="0"/>
              <w:jc w:val="center"/>
              <w:rPr>
                <w:color w:val="000000"/>
                <w:sz w:val="13"/>
                <w:szCs w:val="13"/>
                <w:u w:val="none"/>
              </w:rPr>
            </w:pPr>
          </w:p>
        </w:tc>
      </w:tr>
      <w:tr w14:paraId="27EFC5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284" w:type="dxa"/>
            <w:vMerge w:val="continue"/>
            <w:tcBorders>
              <w:right w:val="single" w:color="auto" w:sz="4" w:space="0"/>
            </w:tcBorders>
            <w:noWrap w:val="0"/>
            <w:vAlign w:val="center"/>
          </w:tcPr>
          <w:p w14:paraId="0C5BE656">
            <w:pPr>
              <w:widowControl w:val="0"/>
              <w:spacing w:line="240" w:lineRule="auto"/>
              <w:ind w:firstLine="0" w:firstLineChars="0"/>
              <w:jc w:val="center"/>
              <w:rPr>
                <w:color w:val="000000"/>
                <w:sz w:val="13"/>
                <w:szCs w:val="13"/>
                <w:u w:val="none"/>
              </w:rPr>
            </w:pPr>
          </w:p>
        </w:tc>
        <w:tc>
          <w:tcPr>
            <w:tcW w:w="567" w:type="dxa"/>
            <w:vMerge w:val="continue"/>
            <w:tcBorders>
              <w:left w:val="single" w:color="auto" w:sz="4" w:space="0"/>
            </w:tcBorders>
            <w:noWrap w:val="0"/>
            <w:vAlign w:val="center"/>
          </w:tcPr>
          <w:p w14:paraId="384329AA">
            <w:pPr>
              <w:widowControl w:val="0"/>
              <w:spacing w:line="240" w:lineRule="auto"/>
              <w:ind w:firstLine="0" w:firstLineChars="0"/>
              <w:jc w:val="center"/>
              <w:rPr>
                <w:color w:val="000000"/>
                <w:sz w:val="13"/>
                <w:szCs w:val="13"/>
                <w:u w:val="none"/>
              </w:rPr>
            </w:pPr>
          </w:p>
        </w:tc>
        <w:tc>
          <w:tcPr>
            <w:tcW w:w="567" w:type="dxa"/>
            <w:noWrap w:val="0"/>
            <w:tcMar>
              <w:top w:w="15" w:type="dxa"/>
              <w:left w:w="15" w:type="dxa"/>
              <w:bottom w:w="15" w:type="dxa"/>
              <w:right w:w="15" w:type="dxa"/>
            </w:tcMar>
            <w:vAlign w:val="center"/>
          </w:tcPr>
          <w:p w14:paraId="75F17AA5">
            <w:pPr>
              <w:widowControl w:val="0"/>
              <w:spacing w:line="240" w:lineRule="auto"/>
              <w:ind w:firstLine="0" w:firstLineChars="0"/>
              <w:jc w:val="center"/>
              <w:rPr>
                <w:color w:val="000000"/>
                <w:sz w:val="13"/>
                <w:szCs w:val="13"/>
                <w:u w:val="none"/>
              </w:rPr>
            </w:pPr>
            <w:r>
              <w:rPr>
                <w:rFonts w:hint="eastAsia"/>
                <w:color w:val="000000"/>
                <w:sz w:val="13"/>
                <w:szCs w:val="13"/>
                <w:u w:val="none"/>
              </w:rPr>
              <w:t>超标倍数</w:t>
            </w:r>
          </w:p>
        </w:tc>
        <w:tc>
          <w:tcPr>
            <w:tcW w:w="709" w:type="dxa"/>
            <w:noWrap w:val="0"/>
            <w:tcMar>
              <w:top w:w="15" w:type="dxa"/>
              <w:left w:w="15" w:type="dxa"/>
              <w:bottom w:w="15" w:type="dxa"/>
              <w:right w:w="15" w:type="dxa"/>
            </w:tcMar>
            <w:vAlign w:val="center"/>
          </w:tcPr>
          <w:p w14:paraId="65CA0138">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272F3A3">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4EC0C0D1">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32672699">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5F7D2FF4">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2F276B0D">
            <w:pPr>
              <w:widowControl w:val="0"/>
              <w:spacing w:line="240" w:lineRule="auto"/>
              <w:ind w:firstLine="0" w:firstLineChars="0"/>
              <w:jc w:val="center"/>
              <w:rPr>
                <w:color w:val="000000"/>
                <w:sz w:val="13"/>
                <w:szCs w:val="13"/>
                <w:u w:val="none"/>
              </w:rPr>
            </w:pPr>
            <w:r>
              <w:rPr>
                <w:color w:val="000000"/>
                <w:sz w:val="13"/>
                <w:szCs w:val="13"/>
                <w:u w:val="none"/>
              </w:rPr>
              <w:t>/</w:t>
            </w:r>
          </w:p>
        </w:tc>
        <w:tc>
          <w:tcPr>
            <w:tcW w:w="850" w:type="dxa"/>
            <w:noWrap w:val="0"/>
            <w:tcMar>
              <w:top w:w="15" w:type="dxa"/>
              <w:left w:w="15" w:type="dxa"/>
              <w:bottom w:w="15" w:type="dxa"/>
              <w:right w:w="15" w:type="dxa"/>
            </w:tcMar>
            <w:vAlign w:val="center"/>
          </w:tcPr>
          <w:p w14:paraId="0A1FFDC0">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DA43F84">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428387F9">
            <w:pPr>
              <w:widowControl w:val="0"/>
              <w:spacing w:line="240" w:lineRule="auto"/>
              <w:ind w:firstLine="0" w:firstLineChars="0"/>
              <w:jc w:val="center"/>
              <w:rPr>
                <w:color w:val="000000"/>
                <w:sz w:val="13"/>
                <w:szCs w:val="13"/>
                <w:u w:val="none"/>
              </w:rPr>
            </w:pPr>
            <w:r>
              <w:rPr>
                <w:color w:val="000000"/>
                <w:sz w:val="13"/>
                <w:szCs w:val="13"/>
                <w:u w:val="none"/>
              </w:rPr>
              <w:t>/</w:t>
            </w:r>
          </w:p>
        </w:tc>
        <w:tc>
          <w:tcPr>
            <w:tcW w:w="851" w:type="dxa"/>
            <w:noWrap w:val="0"/>
            <w:tcMar>
              <w:top w:w="15" w:type="dxa"/>
              <w:left w:w="15" w:type="dxa"/>
              <w:bottom w:w="15" w:type="dxa"/>
              <w:right w:w="15" w:type="dxa"/>
            </w:tcMar>
            <w:vAlign w:val="center"/>
          </w:tcPr>
          <w:p w14:paraId="1007624B">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46B5517A">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11B81013">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55194626">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1EB820AB">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05D16154">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056727A8">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A56B1A4">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3A032991">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20B39EFF">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9E211CC">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29FEE92A">
            <w:pPr>
              <w:widowControl w:val="0"/>
              <w:spacing w:line="240" w:lineRule="auto"/>
              <w:ind w:firstLine="0" w:firstLineChars="0"/>
              <w:jc w:val="center"/>
              <w:rPr>
                <w:color w:val="000000"/>
                <w:sz w:val="13"/>
                <w:szCs w:val="13"/>
                <w:u w:val="none"/>
              </w:rPr>
            </w:pPr>
          </w:p>
        </w:tc>
      </w:tr>
      <w:tr w14:paraId="4AB720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284" w:type="dxa"/>
            <w:vMerge w:val="continue"/>
            <w:tcBorders>
              <w:right w:val="single" w:color="auto" w:sz="4" w:space="0"/>
            </w:tcBorders>
            <w:noWrap w:val="0"/>
            <w:tcMar>
              <w:top w:w="15" w:type="dxa"/>
              <w:left w:w="15" w:type="dxa"/>
              <w:bottom w:w="15" w:type="dxa"/>
              <w:right w:w="15" w:type="dxa"/>
            </w:tcMar>
            <w:vAlign w:val="center"/>
          </w:tcPr>
          <w:p w14:paraId="05AF9FD3">
            <w:pPr>
              <w:widowControl w:val="0"/>
              <w:spacing w:line="240" w:lineRule="auto"/>
              <w:ind w:firstLine="0" w:firstLineChars="0"/>
              <w:jc w:val="center"/>
              <w:rPr>
                <w:color w:val="000000"/>
                <w:sz w:val="13"/>
                <w:szCs w:val="13"/>
                <w:u w:val="none"/>
              </w:rPr>
            </w:pPr>
          </w:p>
        </w:tc>
        <w:tc>
          <w:tcPr>
            <w:tcW w:w="567" w:type="dxa"/>
            <w:vMerge w:val="restart"/>
            <w:tcBorders>
              <w:left w:val="single" w:color="auto" w:sz="4" w:space="0"/>
            </w:tcBorders>
            <w:noWrap w:val="0"/>
            <w:vAlign w:val="center"/>
          </w:tcPr>
          <w:p w14:paraId="33F8EE07">
            <w:pPr>
              <w:widowControl w:val="0"/>
              <w:spacing w:line="240" w:lineRule="auto"/>
              <w:ind w:firstLine="0" w:firstLineChars="0"/>
              <w:jc w:val="center"/>
              <w:rPr>
                <w:rFonts w:hint="default"/>
                <w:color w:val="000000"/>
                <w:sz w:val="13"/>
                <w:szCs w:val="13"/>
                <w:u w:val="none"/>
                <w:lang w:val="en-US" w:eastAsia="zh-CN"/>
              </w:rPr>
            </w:pPr>
            <w:r>
              <w:rPr>
                <w:rFonts w:hint="eastAsia"/>
                <w:color w:val="000000"/>
                <w:sz w:val="13"/>
                <w:szCs w:val="13"/>
                <w:u w:val="none"/>
              </w:rPr>
              <w:t>20</w:t>
            </w:r>
            <w:r>
              <w:rPr>
                <w:rFonts w:hint="eastAsia"/>
                <w:color w:val="000000"/>
                <w:sz w:val="13"/>
                <w:szCs w:val="13"/>
                <w:u w:val="none"/>
                <w:lang w:val="en-US" w:eastAsia="zh-CN"/>
              </w:rPr>
              <w:t>22</w:t>
            </w:r>
          </w:p>
        </w:tc>
        <w:tc>
          <w:tcPr>
            <w:tcW w:w="567" w:type="dxa"/>
            <w:noWrap w:val="0"/>
            <w:tcMar>
              <w:top w:w="15" w:type="dxa"/>
              <w:left w:w="15" w:type="dxa"/>
              <w:bottom w:w="15" w:type="dxa"/>
              <w:right w:w="15" w:type="dxa"/>
            </w:tcMar>
            <w:vAlign w:val="center"/>
          </w:tcPr>
          <w:p w14:paraId="36B2F281">
            <w:pPr>
              <w:widowControl w:val="0"/>
              <w:spacing w:line="240" w:lineRule="auto"/>
              <w:ind w:firstLine="0" w:firstLineChars="0"/>
              <w:jc w:val="center"/>
              <w:rPr>
                <w:color w:val="000000"/>
                <w:sz w:val="13"/>
                <w:szCs w:val="13"/>
                <w:u w:val="none"/>
              </w:rPr>
            </w:pPr>
            <w:r>
              <w:rPr>
                <w:rFonts w:hint="eastAsia"/>
                <w:color w:val="000000"/>
                <w:sz w:val="13"/>
                <w:szCs w:val="13"/>
                <w:u w:val="none"/>
              </w:rPr>
              <w:t>年均值</w:t>
            </w:r>
          </w:p>
        </w:tc>
        <w:tc>
          <w:tcPr>
            <w:tcW w:w="709" w:type="dxa"/>
            <w:noWrap w:val="0"/>
            <w:tcMar>
              <w:top w:w="15" w:type="dxa"/>
              <w:left w:w="15" w:type="dxa"/>
              <w:bottom w:w="15" w:type="dxa"/>
              <w:right w:w="15" w:type="dxa"/>
            </w:tcMar>
            <w:vAlign w:val="center"/>
          </w:tcPr>
          <w:p w14:paraId="17FAE868">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 xml:space="preserve">8 </w:t>
            </w:r>
          </w:p>
        </w:tc>
        <w:tc>
          <w:tcPr>
            <w:tcW w:w="567" w:type="dxa"/>
            <w:noWrap w:val="0"/>
            <w:tcMar>
              <w:top w:w="15" w:type="dxa"/>
              <w:left w:w="15" w:type="dxa"/>
              <w:bottom w:w="15" w:type="dxa"/>
              <w:right w:w="15" w:type="dxa"/>
            </w:tcMar>
            <w:vAlign w:val="center"/>
          </w:tcPr>
          <w:p w14:paraId="194D9646">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7.28 </w:t>
            </w:r>
          </w:p>
        </w:tc>
        <w:tc>
          <w:tcPr>
            <w:tcW w:w="567" w:type="dxa"/>
            <w:noWrap w:val="0"/>
            <w:tcMar>
              <w:top w:w="15" w:type="dxa"/>
              <w:left w:w="15" w:type="dxa"/>
              <w:bottom w:w="15" w:type="dxa"/>
              <w:right w:w="15" w:type="dxa"/>
            </w:tcMar>
            <w:vAlign w:val="center"/>
          </w:tcPr>
          <w:p w14:paraId="409DB209">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2.04 </w:t>
            </w:r>
          </w:p>
        </w:tc>
        <w:tc>
          <w:tcPr>
            <w:tcW w:w="567" w:type="dxa"/>
            <w:noWrap w:val="0"/>
            <w:tcMar>
              <w:top w:w="15" w:type="dxa"/>
              <w:left w:w="15" w:type="dxa"/>
              <w:bottom w:w="15" w:type="dxa"/>
              <w:right w:w="15" w:type="dxa"/>
            </w:tcMar>
            <w:vAlign w:val="center"/>
          </w:tcPr>
          <w:p w14:paraId="591D48E1">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8.68 </w:t>
            </w:r>
          </w:p>
        </w:tc>
        <w:tc>
          <w:tcPr>
            <w:tcW w:w="709" w:type="dxa"/>
            <w:noWrap w:val="0"/>
            <w:tcMar>
              <w:top w:w="15" w:type="dxa"/>
              <w:left w:w="15" w:type="dxa"/>
              <w:bottom w:w="15" w:type="dxa"/>
              <w:right w:w="15" w:type="dxa"/>
            </w:tcMar>
            <w:vAlign w:val="center"/>
          </w:tcPr>
          <w:p w14:paraId="145F3EA3">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1.43 </w:t>
            </w:r>
          </w:p>
        </w:tc>
        <w:tc>
          <w:tcPr>
            <w:tcW w:w="709" w:type="dxa"/>
            <w:noWrap w:val="0"/>
            <w:tcMar>
              <w:top w:w="15" w:type="dxa"/>
              <w:left w:w="15" w:type="dxa"/>
              <w:bottom w:w="15" w:type="dxa"/>
              <w:right w:w="15" w:type="dxa"/>
            </w:tcMar>
            <w:vAlign w:val="center"/>
          </w:tcPr>
          <w:p w14:paraId="1CB62A4D">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0.44 </w:t>
            </w:r>
          </w:p>
        </w:tc>
        <w:tc>
          <w:tcPr>
            <w:tcW w:w="850" w:type="dxa"/>
            <w:noWrap w:val="0"/>
            <w:tcMar>
              <w:top w:w="15" w:type="dxa"/>
              <w:left w:w="15" w:type="dxa"/>
              <w:bottom w:w="15" w:type="dxa"/>
              <w:right w:w="15" w:type="dxa"/>
            </w:tcMar>
            <w:vAlign w:val="center"/>
          </w:tcPr>
          <w:p w14:paraId="75EB7F41">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0.08 </w:t>
            </w:r>
          </w:p>
        </w:tc>
        <w:tc>
          <w:tcPr>
            <w:tcW w:w="567" w:type="dxa"/>
            <w:noWrap w:val="0"/>
            <w:tcMar>
              <w:top w:w="15" w:type="dxa"/>
              <w:left w:w="15" w:type="dxa"/>
              <w:bottom w:w="15" w:type="dxa"/>
              <w:right w:w="15" w:type="dxa"/>
            </w:tcMar>
            <w:vAlign w:val="center"/>
          </w:tcPr>
          <w:p w14:paraId="3F1C0799">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0.0009 </w:t>
            </w:r>
          </w:p>
        </w:tc>
        <w:tc>
          <w:tcPr>
            <w:tcW w:w="567" w:type="dxa"/>
            <w:noWrap w:val="0"/>
            <w:tcMar>
              <w:top w:w="15" w:type="dxa"/>
              <w:left w:w="15" w:type="dxa"/>
              <w:bottom w:w="15" w:type="dxa"/>
              <w:right w:w="15" w:type="dxa"/>
            </w:tcMar>
            <w:vAlign w:val="center"/>
          </w:tcPr>
          <w:p w14:paraId="67136016">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0.003 </w:t>
            </w:r>
          </w:p>
        </w:tc>
        <w:tc>
          <w:tcPr>
            <w:tcW w:w="851" w:type="dxa"/>
            <w:noWrap w:val="0"/>
            <w:tcMar>
              <w:top w:w="15" w:type="dxa"/>
              <w:left w:w="15" w:type="dxa"/>
              <w:bottom w:w="15" w:type="dxa"/>
              <w:right w:w="15" w:type="dxa"/>
            </w:tcMar>
            <w:vAlign w:val="center"/>
          </w:tcPr>
          <w:p w14:paraId="79D397B4">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0.107 </w:t>
            </w:r>
          </w:p>
        </w:tc>
        <w:tc>
          <w:tcPr>
            <w:tcW w:w="567" w:type="dxa"/>
            <w:noWrap w:val="0"/>
            <w:tcMar>
              <w:top w:w="15" w:type="dxa"/>
              <w:left w:w="15" w:type="dxa"/>
              <w:bottom w:w="15" w:type="dxa"/>
              <w:right w:w="15" w:type="dxa"/>
            </w:tcMar>
            <w:vAlign w:val="center"/>
          </w:tcPr>
          <w:p w14:paraId="047B45FC">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0.0003 </w:t>
            </w:r>
          </w:p>
        </w:tc>
        <w:tc>
          <w:tcPr>
            <w:tcW w:w="992" w:type="dxa"/>
            <w:noWrap w:val="0"/>
            <w:tcMar>
              <w:top w:w="15" w:type="dxa"/>
              <w:left w:w="15" w:type="dxa"/>
              <w:bottom w:w="15" w:type="dxa"/>
              <w:right w:w="15" w:type="dxa"/>
            </w:tcMar>
            <w:vAlign w:val="center"/>
          </w:tcPr>
          <w:p w14:paraId="709653D6">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0.00013 </w:t>
            </w:r>
          </w:p>
        </w:tc>
        <w:tc>
          <w:tcPr>
            <w:tcW w:w="567" w:type="dxa"/>
            <w:noWrap w:val="0"/>
            <w:tcMar>
              <w:top w:w="15" w:type="dxa"/>
              <w:left w:w="15" w:type="dxa"/>
              <w:bottom w:w="15" w:type="dxa"/>
              <w:right w:w="15" w:type="dxa"/>
            </w:tcMar>
            <w:vAlign w:val="center"/>
          </w:tcPr>
          <w:p w14:paraId="691B72D4">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0.00002 </w:t>
            </w:r>
          </w:p>
        </w:tc>
        <w:tc>
          <w:tcPr>
            <w:tcW w:w="992" w:type="dxa"/>
            <w:noWrap w:val="0"/>
            <w:tcMar>
              <w:top w:w="15" w:type="dxa"/>
              <w:left w:w="15" w:type="dxa"/>
              <w:bottom w:w="15" w:type="dxa"/>
              <w:right w:w="15" w:type="dxa"/>
            </w:tcMar>
            <w:vAlign w:val="center"/>
          </w:tcPr>
          <w:p w14:paraId="099CBC09">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0.00003 </w:t>
            </w:r>
          </w:p>
        </w:tc>
        <w:tc>
          <w:tcPr>
            <w:tcW w:w="992" w:type="dxa"/>
            <w:noWrap w:val="0"/>
            <w:tcMar>
              <w:top w:w="15" w:type="dxa"/>
              <w:left w:w="15" w:type="dxa"/>
              <w:bottom w:w="15" w:type="dxa"/>
              <w:right w:w="15" w:type="dxa"/>
            </w:tcMar>
            <w:vAlign w:val="center"/>
          </w:tcPr>
          <w:p w14:paraId="4B7E4FCC">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0.002 </w:t>
            </w:r>
          </w:p>
        </w:tc>
        <w:tc>
          <w:tcPr>
            <w:tcW w:w="567" w:type="dxa"/>
            <w:noWrap w:val="0"/>
            <w:tcMar>
              <w:top w:w="15" w:type="dxa"/>
              <w:left w:w="15" w:type="dxa"/>
              <w:bottom w:w="15" w:type="dxa"/>
              <w:right w:w="15" w:type="dxa"/>
            </w:tcMar>
            <w:vAlign w:val="center"/>
          </w:tcPr>
          <w:p w14:paraId="252E4CE9">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0.00028 </w:t>
            </w:r>
          </w:p>
        </w:tc>
        <w:tc>
          <w:tcPr>
            <w:tcW w:w="567" w:type="dxa"/>
            <w:noWrap w:val="0"/>
            <w:tcMar>
              <w:top w:w="15" w:type="dxa"/>
              <w:left w:w="15" w:type="dxa"/>
              <w:bottom w:w="15" w:type="dxa"/>
              <w:right w:w="15" w:type="dxa"/>
            </w:tcMar>
            <w:vAlign w:val="center"/>
          </w:tcPr>
          <w:p w14:paraId="39D428F8">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0.002 </w:t>
            </w:r>
          </w:p>
        </w:tc>
        <w:tc>
          <w:tcPr>
            <w:tcW w:w="567" w:type="dxa"/>
            <w:noWrap w:val="0"/>
            <w:tcMar>
              <w:top w:w="15" w:type="dxa"/>
              <w:left w:w="15" w:type="dxa"/>
              <w:bottom w:w="15" w:type="dxa"/>
              <w:right w:w="15" w:type="dxa"/>
            </w:tcMar>
            <w:vAlign w:val="center"/>
          </w:tcPr>
          <w:p w14:paraId="787234FC">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0.000 </w:t>
            </w:r>
          </w:p>
        </w:tc>
        <w:tc>
          <w:tcPr>
            <w:tcW w:w="567" w:type="dxa"/>
            <w:noWrap w:val="0"/>
            <w:tcMar>
              <w:top w:w="15" w:type="dxa"/>
              <w:left w:w="15" w:type="dxa"/>
              <w:bottom w:w="15" w:type="dxa"/>
              <w:right w:w="15" w:type="dxa"/>
            </w:tcMar>
            <w:vAlign w:val="center"/>
          </w:tcPr>
          <w:p w14:paraId="6F924D62">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0.005 </w:t>
            </w:r>
          </w:p>
        </w:tc>
        <w:tc>
          <w:tcPr>
            <w:tcW w:w="567" w:type="dxa"/>
            <w:noWrap w:val="0"/>
            <w:tcMar>
              <w:top w:w="15" w:type="dxa"/>
              <w:left w:w="15" w:type="dxa"/>
              <w:bottom w:w="15" w:type="dxa"/>
              <w:right w:w="15" w:type="dxa"/>
            </w:tcMar>
            <w:vAlign w:val="center"/>
          </w:tcPr>
          <w:p w14:paraId="4FA7E7BD">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0.020 </w:t>
            </w:r>
          </w:p>
        </w:tc>
        <w:tc>
          <w:tcPr>
            <w:tcW w:w="567" w:type="dxa"/>
            <w:noWrap w:val="0"/>
            <w:tcMar>
              <w:top w:w="15" w:type="dxa"/>
              <w:left w:w="15" w:type="dxa"/>
              <w:bottom w:w="15" w:type="dxa"/>
              <w:right w:w="15" w:type="dxa"/>
            </w:tcMar>
            <w:vAlign w:val="center"/>
          </w:tcPr>
          <w:p w14:paraId="61C5ACE9">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0.004 </w:t>
            </w:r>
          </w:p>
        </w:tc>
      </w:tr>
      <w:tr w14:paraId="6F9858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284" w:type="dxa"/>
            <w:vMerge w:val="continue"/>
            <w:tcBorders>
              <w:right w:val="single" w:color="auto" w:sz="4" w:space="0"/>
            </w:tcBorders>
            <w:noWrap w:val="0"/>
            <w:vAlign w:val="center"/>
          </w:tcPr>
          <w:p w14:paraId="12D83F15">
            <w:pPr>
              <w:widowControl w:val="0"/>
              <w:spacing w:line="240" w:lineRule="auto"/>
              <w:ind w:firstLine="0" w:firstLineChars="0"/>
              <w:jc w:val="center"/>
              <w:rPr>
                <w:color w:val="000000"/>
                <w:sz w:val="13"/>
                <w:szCs w:val="13"/>
                <w:u w:val="none"/>
              </w:rPr>
            </w:pPr>
          </w:p>
        </w:tc>
        <w:tc>
          <w:tcPr>
            <w:tcW w:w="567" w:type="dxa"/>
            <w:vMerge w:val="continue"/>
            <w:tcBorders>
              <w:left w:val="single" w:color="auto" w:sz="4" w:space="0"/>
            </w:tcBorders>
            <w:noWrap w:val="0"/>
            <w:vAlign w:val="center"/>
          </w:tcPr>
          <w:p w14:paraId="1AE7F101">
            <w:pPr>
              <w:widowControl w:val="0"/>
              <w:spacing w:line="240" w:lineRule="auto"/>
              <w:ind w:firstLine="0" w:firstLineChars="0"/>
              <w:jc w:val="center"/>
              <w:rPr>
                <w:color w:val="000000"/>
                <w:sz w:val="13"/>
                <w:szCs w:val="13"/>
                <w:u w:val="none"/>
              </w:rPr>
            </w:pPr>
          </w:p>
        </w:tc>
        <w:tc>
          <w:tcPr>
            <w:tcW w:w="567" w:type="dxa"/>
            <w:noWrap w:val="0"/>
            <w:tcMar>
              <w:top w:w="15" w:type="dxa"/>
              <w:left w:w="15" w:type="dxa"/>
              <w:bottom w:w="15" w:type="dxa"/>
              <w:right w:w="15" w:type="dxa"/>
            </w:tcMar>
            <w:vAlign w:val="center"/>
          </w:tcPr>
          <w:p w14:paraId="099BBFBF">
            <w:pPr>
              <w:widowControl w:val="0"/>
              <w:spacing w:line="240" w:lineRule="auto"/>
              <w:ind w:firstLine="0" w:firstLineChars="0"/>
              <w:jc w:val="center"/>
              <w:rPr>
                <w:color w:val="000000"/>
                <w:sz w:val="13"/>
                <w:szCs w:val="13"/>
                <w:u w:val="none"/>
              </w:rPr>
            </w:pPr>
            <w:r>
              <w:rPr>
                <w:rFonts w:hint="eastAsia"/>
                <w:color w:val="000000"/>
                <w:sz w:val="13"/>
                <w:szCs w:val="13"/>
                <w:u w:val="none"/>
              </w:rPr>
              <w:t>超标率%</w:t>
            </w:r>
          </w:p>
        </w:tc>
        <w:tc>
          <w:tcPr>
            <w:tcW w:w="709" w:type="dxa"/>
            <w:noWrap w:val="0"/>
            <w:tcMar>
              <w:top w:w="15" w:type="dxa"/>
              <w:left w:w="15" w:type="dxa"/>
              <w:bottom w:w="15" w:type="dxa"/>
              <w:right w:w="15" w:type="dxa"/>
            </w:tcMar>
            <w:vAlign w:val="center"/>
          </w:tcPr>
          <w:p w14:paraId="07293318">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5D44FF82">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4B336455">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329F241A">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3CD9D57B">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7131BBC5">
            <w:pPr>
              <w:widowControl w:val="0"/>
              <w:spacing w:line="240" w:lineRule="auto"/>
              <w:ind w:firstLine="0" w:firstLineChars="0"/>
              <w:jc w:val="center"/>
              <w:rPr>
                <w:color w:val="000000"/>
                <w:sz w:val="13"/>
                <w:szCs w:val="13"/>
                <w:u w:val="none"/>
              </w:rPr>
            </w:pPr>
            <w:r>
              <w:rPr>
                <w:color w:val="000000"/>
                <w:sz w:val="13"/>
                <w:szCs w:val="13"/>
                <w:u w:val="none"/>
              </w:rPr>
              <w:t>/</w:t>
            </w:r>
          </w:p>
        </w:tc>
        <w:tc>
          <w:tcPr>
            <w:tcW w:w="850" w:type="dxa"/>
            <w:noWrap w:val="0"/>
            <w:tcMar>
              <w:top w:w="15" w:type="dxa"/>
              <w:left w:w="15" w:type="dxa"/>
              <w:bottom w:w="15" w:type="dxa"/>
              <w:right w:w="15" w:type="dxa"/>
            </w:tcMar>
            <w:vAlign w:val="center"/>
          </w:tcPr>
          <w:p w14:paraId="0C5C60D9">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11DD5EA9">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30AF4B53">
            <w:pPr>
              <w:widowControl w:val="0"/>
              <w:spacing w:line="240" w:lineRule="auto"/>
              <w:ind w:firstLine="0" w:firstLineChars="0"/>
              <w:jc w:val="center"/>
              <w:rPr>
                <w:color w:val="000000"/>
                <w:sz w:val="13"/>
                <w:szCs w:val="13"/>
                <w:u w:val="none"/>
              </w:rPr>
            </w:pPr>
            <w:r>
              <w:rPr>
                <w:color w:val="000000"/>
                <w:sz w:val="13"/>
                <w:szCs w:val="13"/>
                <w:u w:val="none"/>
              </w:rPr>
              <w:t>/</w:t>
            </w:r>
          </w:p>
        </w:tc>
        <w:tc>
          <w:tcPr>
            <w:tcW w:w="851" w:type="dxa"/>
            <w:noWrap w:val="0"/>
            <w:tcMar>
              <w:top w:w="15" w:type="dxa"/>
              <w:left w:w="15" w:type="dxa"/>
              <w:bottom w:w="15" w:type="dxa"/>
              <w:right w:w="15" w:type="dxa"/>
            </w:tcMar>
            <w:vAlign w:val="center"/>
          </w:tcPr>
          <w:p w14:paraId="49684582">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002FE847">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4D2866F3">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168F0BDD">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5DEFE3CF">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41A01832">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21E54E59">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2D2DFD0A">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013C83A8">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4E5BB217">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359961D6">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567C1B22">
            <w:pPr>
              <w:widowControl w:val="0"/>
              <w:spacing w:line="240" w:lineRule="auto"/>
              <w:ind w:firstLine="0" w:firstLineChars="0"/>
              <w:jc w:val="center"/>
              <w:rPr>
                <w:color w:val="000000"/>
                <w:sz w:val="13"/>
                <w:szCs w:val="13"/>
                <w:u w:val="none"/>
              </w:rPr>
            </w:pPr>
          </w:p>
        </w:tc>
      </w:tr>
      <w:tr w14:paraId="29F08A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284" w:type="dxa"/>
            <w:vMerge w:val="continue"/>
            <w:tcBorders>
              <w:right w:val="single" w:color="auto" w:sz="4" w:space="0"/>
            </w:tcBorders>
            <w:noWrap w:val="0"/>
            <w:vAlign w:val="center"/>
          </w:tcPr>
          <w:p w14:paraId="70F3CA58">
            <w:pPr>
              <w:widowControl w:val="0"/>
              <w:spacing w:line="240" w:lineRule="auto"/>
              <w:ind w:firstLine="0" w:firstLineChars="0"/>
              <w:jc w:val="center"/>
              <w:rPr>
                <w:color w:val="000000"/>
                <w:sz w:val="13"/>
                <w:szCs w:val="13"/>
                <w:u w:val="none"/>
              </w:rPr>
            </w:pPr>
          </w:p>
        </w:tc>
        <w:tc>
          <w:tcPr>
            <w:tcW w:w="567" w:type="dxa"/>
            <w:vMerge w:val="continue"/>
            <w:tcBorders>
              <w:left w:val="single" w:color="auto" w:sz="4" w:space="0"/>
            </w:tcBorders>
            <w:noWrap w:val="0"/>
            <w:vAlign w:val="center"/>
          </w:tcPr>
          <w:p w14:paraId="03CC8788">
            <w:pPr>
              <w:widowControl w:val="0"/>
              <w:spacing w:line="240" w:lineRule="auto"/>
              <w:ind w:firstLine="0" w:firstLineChars="0"/>
              <w:jc w:val="center"/>
              <w:rPr>
                <w:color w:val="000000"/>
                <w:sz w:val="13"/>
                <w:szCs w:val="13"/>
                <w:u w:val="none"/>
              </w:rPr>
            </w:pPr>
          </w:p>
        </w:tc>
        <w:tc>
          <w:tcPr>
            <w:tcW w:w="567" w:type="dxa"/>
            <w:noWrap w:val="0"/>
            <w:tcMar>
              <w:top w:w="15" w:type="dxa"/>
              <w:left w:w="15" w:type="dxa"/>
              <w:bottom w:w="15" w:type="dxa"/>
              <w:right w:w="15" w:type="dxa"/>
            </w:tcMar>
            <w:vAlign w:val="center"/>
          </w:tcPr>
          <w:p w14:paraId="7A74864B">
            <w:pPr>
              <w:widowControl w:val="0"/>
              <w:spacing w:line="240" w:lineRule="auto"/>
              <w:ind w:firstLine="0" w:firstLineChars="0"/>
              <w:jc w:val="center"/>
              <w:rPr>
                <w:color w:val="000000"/>
                <w:sz w:val="13"/>
                <w:szCs w:val="13"/>
                <w:u w:val="none"/>
              </w:rPr>
            </w:pPr>
            <w:r>
              <w:rPr>
                <w:rFonts w:hint="eastAsia"/>
                <w:color w:val="000000"/>
                <w:sz w:val="13"/>
                <w:szCs w:val="13"/>
                <w:u w:val="none"/>
              </w:rPr>
              <w:t>超标倍数</w:t>
            </w:r>
          </w:p>
        </w:tc>
        <w:tc>
          <w:tcPr>
            <w:tcW w:w="709" w:type="dxa"/>
            <w:noWrap w:val="0"/>
            <w:tcMar>
              <w:top w:w="15" w:type="dxa"/>
              <w:left w:w="15" w:type="dxa"/>
              <w:bottom w:w="15" w:type="dxa"/>
              <w:right w:w="15" w:type="dxa"/>
            </w:tcMar>
            <w:vAlign w:val="center"/>
          </w:tcPr>
          <w:p w14:paraId="47561157">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510013D9">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CF88C9E">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7C557D29">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0CAB6266">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7506D571">
            <w:pPr>
              <w:widowControl w:val="0"/>
              <w:spacing w:line="240" w:lineRule="auto"/>
              <w:ind w:firstLine="0" w:firstLineChars="0"/>
              <w:jc w:val="center"/>
              <w:rPr>
                <w:color w:val="000000"/>
                <w:sz w:val="13"/>
                <w:szCs w:val="13"/>
                <w:u w:val="none"/>
              </w:rPr>
            </w:pPr>
            <w:r>
              <w:rPr>
                <w:color w:val="000000"/>
                <w:sz w:val="13"/>
                <w:szCs w:val="13"/>
                <w:u w:val="none"/>
              </w:rPr>
              <w:t>/</w:t>
            </w:r>
          </w:p>
        </w:tc>
        <w:tc>
          <w:tcPr>
            <w:tcW w:w="850" w:type="dxa"/>
            <w:noWrap w:val="0"/>
            <w:tcMar>
              <w:top w:w="15" w:type="dxa"/>
              <w:left w:w="15" w:type="dxa"/>
              <w:bottom w:w="15" w:type="dxa"/>
              <w:right w:w="15" w:type="dxa"/>
            </w:tcMar>
            <w:vAlign w:val="center"/>
          </w:tcPr>
          <w:p w14:paraId="34015164">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4BD2B7C3">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01F75BF2">
            <w:pPr>
              <w:widowControl w:val="0"/>
              <w:spacing w:line="240" w:lineRule="auto"/>
              <w:ind w:firstLine="0" w:firstLineChars="0"/>
              <w:jc w:val="center"/>
              <w:rPr>
                <w:color w:val="000000"/>
                <w:sz w:val="13"/>
                <w:szCs w:val="13"/>
                <w:u w:val="none"/>
              </w:rPr>
            </w:pPr>
            <w:r>
              <w:rPr>
                <w:color w:val="000000"/>
                <w:sz w:val="13"/>
                <w:szCs w:val="13"/>
                <w:u w:val="none"/>
              </w:rPr>
              <w:t>/</w:t>
            </w:r>
          </w:p>
        </w:tc>
        <w:tc>
          <w:tcPr>
            <w:tcW w:w="851" w:type="dxa"/>
            <w:noWrap w:val="0"/>
            <w:tcMar>
              <w:top w:w="15" w:type="dxa"/>
              <w:left w:w="15" w:type="dxa"/>
              <w:bottom w:w="15" w:type="dxa"/>
              <w:right w:w="15" w:type="dxa"/>
            </w:tcMar>
            <w:vAlign w:val="center"/>
          </w:tcPr>
          <w:p w14:paraId="75DA3E1F">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2D3CE59C">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4EDE0D81">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31DB50A3">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3F293A26">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6BD063CC">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1D8B80BC">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45E2D9C2">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25E5CDA3">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5935B3D6">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383965A4">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109FD128">
            <w:pPr>
              <w:widowControl w:val="0"/>
              <w:spacing w:line="240" w:lineRule="auto"/>
              <w:ind w:firstLine="0" w:firstLineChars="0"/>
              <w:jc w:val="center"/>
              <w:rPr>
                <w:color w:val="000000"/>
                <w:sz w:val="13"/>
                <w:szCs w:val="13"/>
                <w:u w:val="none"/>
              </w:rPr>
            </w:pPr>
          </w:p>
        </w:tc>
      </w:tr>
      <w:tr w14:paraId="7A026C3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284" w:type="dxa"/>
            <w:vMerge w:val="continue"/>
            <w:tcBorders>
              <w:right w:val="single" w:color="auto" w:sz="4" w:space="0"/>
            </w:tcBorders>
            <w:noWrap w:val="0"/>
            <w:tcMar>
              <w:top w:w="15" w:type="dxa"/>
              <w:left w:w="15" w:type="dxa"/>
              <w:bottom w:w="15" w:type="dxa"/>
              <w:right w:w="15" w:type="dxa"/>
            </w:tcMar>
            <w:vAlign w:val="center"/>
          </w:tcPr>
          <w:p w14:paraId="3E6548BB">
            <w:pPr>
              <w:widowControl w:val="0"/>
              <w:spacing w:line="240" w:lineRule="auto"/>
              <w:ind w:firstLine="0" w:firstLineChars="0"/>
              <w:jc w:val="center"/>
              <w:rPr>
                <w:color w:val="000000"/>
                <w:sz w:val="13"/>
                <w:szCs w:val="13"/>
                <w:u w:val="none"/>
              </w:rPr>
            </w:pPr>
          </w:p>
        </w:tc>
        <w:tc>
          <w:tcPr>
            <w:tcW w:w="567" w:type="dxa"/>
            <w:vMerge w:val="restart"/>
            <w:tcBorders>
              <w:left w:val="single" w:color="auto" w:sz="4" w:space="0"/>
            </w:tcBorders>
            <w:noWrap w:val="0"/>
            <w:vAlign w:val="center"/>
          </w:tcPr>
          <w:p w14:paraId="1879A422">
            <w:pPr>
              <w:widowControl w:val="0"/>
              <w:spacing w:line="240" w:lineRule="auto"/>
              <w:ind w:firstLine="0" w:firstLineChars="0"/>
              <w:jc w:val="center"/>
              <w:rPr>
                <w:rFonts w:hint="default"/>
                <w:color w:val="000000"/>
                <w:sz w:val="13"/>
                <w:szCs w:val="13"/>
                <w:u w:val="none"/>
                <w:lang w:val="en-US" w:eastAsia="zh-CN"/>
              </w:rPr>
            </w:pPr>
            <w:r>
              <w:rPr>
                <w:rFonts w:hint="eastAsia"/>
                <w:color w:val="000000"/>
                <w:sz w:val="13"/>
                <w:szCs w:val="13"/>
                <w:u w:val="none"/>
              </w:rPr>
              <w:t>20</w:t>
            </w:r>
            <w:r>
              <w:rPr>
                <w:rFonts w:hint="eastAsia"/>
                <w:color w:val="000000"/>
                <w:sz w:val="13"/>
                <w:szCs w:val="13"/>
                <w:u w:val="none"/>
                <w:lang w:val="en-US" w:eastAsia="zh-CN"/>
              </w:rPr>
              <w:t>23</w:t>
            </w:r>
          </w:p>
        </w:tc>
        <w:tc>
          <w:tcPr>
            <w:tcW w:w="567" w:type="dxa"/>
            <w:noWrap w:val="0"/>
            <w:tcMar>
              <w:top w:w="15" w:type="dxa"/>
              <w:left w:w="15" w:type="dxa"/>
              <w:bottom w:w="15" w:type="dxa"/>
              <w:right w:w="15" w:type="dxa"/>
            </w:tcMar>
            <w:vAlign w:val="center"/>
          </w:tcPr>
          <w:p w14:paraId="65B95803">
            <w:pPr>
              <w:widowControl w:val="0"/>
              <w:spacing w:line="240" w:lineRule="auto"/>
              <w:ind w:firstLine="0" w:firstLineChars="0"/>
              <w:jc w:val="center"/>
              <w:rPr>
                <w:color w:val="000000"/>
                <w:sz w:val="13"/>
                <w:szCs w:val="13"/>
                <w:u w:val="none"/>
              </w:rPr>
            </w:pPr>
            <w:r>
              <w:rPr>
                <w:rFonts w:hint="eastAsia"/>
                <w:color w:val="000000"/>
                <w:sz w:val="13"/>
                <w:szCs w:val="13"/>
                <w:u w:val="none"/>
              </w:rPr>
              <w:t>年均值</w:t>
            </w:r>
          </w:p>
        </w:tc>
        <w:tc>
          <w:tcPr>
            <w:tcW w:w="709" w:type="dxa"/>
            <w:noWrap w:val="0"/>
            <w:tcMar>
              <w:top w:w="15" w:type="dxa"/>
              <w:left w:w="15" w:type="dxa"/>
              <w:bottom w:w="15" w:type="dxa"/>
              <w:right w:w="15" w:type="dxa"/>
            </w:tcMar>
            <w:vAlign w:val="center"/>
          </w:tcPr>
          <w:p w14:paraId="563B33B6">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7.8 </w:t>
            </w:r>
          </w:p>
        </w:tc>
        <w:tc>
          <w:tcPr>
            <w:tcW w:w="567" w:type="dxa"/>
            <w:noWrap w:val="0"/>
            <w:tcMar>
              <w:top w:w="15" w:type="dxa"/>
              <w:left w:w="15" w:type="dxa"/>
              <w:bottom w:w="15" w:type="dxa"/>
              <w:right w:w="15" w:type="dxa"/>
            </w:tcMar>
            <w:vAlign w:val="center"/>
          </w:tcPr>
          <w:p w14:paraId="5126D32F">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7.7 </w:t>
            </w:r>
          </w:p>
        </w:tc>
        <w:tc>
          <w:tcPr>
            <w:tcW w:w="567" w:type="dxa"/>
            <w:noWrap w:val="0"/>
            <w:tcMar>
              <w:top w:w="15" w:type="dxa"/>
              <w:left w:w="15" w:type="dxa"/>
              <w:bottom w:w="15" w:type="dxa"/>
              <w:right w:w="15" w:type="dxa"/>
            </w:tcMar>
            <w:vAlign w:val="center"/>
          </w:tcPr>
          <w:p w14:paraId="0287724E">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1.8 </w:t>
            </w:r>
          </w:p>
        </w:tc>
        <w:tc>
          <w:tcPr>
            <w:tcW w:w="567" w:type="dxa"/>
            <w:noWrap w:val="0"/>
            <w:tcMar>
              <w:top w:w="15" w:type="dxa"/>
              <w:left w:w="15" w:type="dxa"/>
              <w:bottom w:w="15" w:type="dxa"/>
              <w:right w:w="15" w:type="dxa"/>
            </w:tcMar>
            <w:vAlign w:val="center"/>
          </w:tcPr>
          <w:p w14:paraId="7E9687B3">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5.5</w:t>
            </w:r>
          </w:p>
        </w:tc>
        <w:tc>
          <w:tcPr>
            <w:tcW w:w="709" w:type="dxa"/>
            <w:noWrap w:val="0"/>
            <w:tcMar>
              <w:top w:w="15" w:type="dxa"/>
              <w:left w:w="15" w:type="dxa"/>
              <w:bottom w:w="15" w:type="dxa"/>
              <w:right w:w="15" w:type="dxa"/>
            </w:tcMar>
            <w:vAlign w:val="center"/>
          </w:tcPr>
          <w:p w14:paraId="149DC3BE">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0.6</w:t>
            </w:r>
          </w:p>
        </w:tc>
        <w:tc>
          <w:tcPr>
            <w:tcW w:w="709" w:type="dxa"/>
            <w:noWrap w:val="0"/>
            <w:tcMar>
              <w:top w:w="15" w:type="dxa"/>
              <w:left w:w="15" w:type="dxa"/>
              <w:bottom w:w="15" w:type="dxa"/>
              <w:right w:w="15" w:type="dxa"/>
            </w:tcMar>
            <w:vAlign w:val="center"/>
          </w:tcPr>
          <w:p w14:paraId="18822C9F">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0.40 </w:t>
            </w:r>
          </w:p>
        </w:tc>
        <w:tc>
          <w:tcPr>
            <w:tcW w:w="850" w:type="dxa"/>
            <w:noWrap w:val="0"/>
            <w:tcMar>
              <w:top w:w="15" w:type="dxa"/>
              <w:left w:w="15" w:type="dxa"/>
              <w:bottom w:w="15" w:type="dxa"/>
              <w:right w:w="15" w:type="dxa"/>
            </w:tcMar>
            <w:vAlign w:val="center"/>
          </w:tcPr>
          <w:p w14:paraId="4A90B09E">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0.084 </w:t>
            </w:r>
          </w:p>
        </w:tc>
        <w:tc>
          <w:tcPr>
            <w:tcW w:w="567" w:type="dxa"/>
            <w:noWrap w:val="0"/>
            <w:tcMar>
              <w:top w:w="15" w:type="dxa"/>
              <w:left w:w="15" w:type="dxa"/>
              <w:bottom w:w="15" w:type="dxa"/>
              <w:right w:w="15" w:type="dxa"/>
            </w:tcMar>
            <w:vAlign w:val="center"/>
          </w:tcPr>
          <w:p w14:paraId="4EDF59DE">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0.003 </w:t>
            </w:r>
          </w:p>
        </w:tc>
        <w:tc>
          <w:tcPr>
            <w:tcW w:w="567" w:type="dxa"/>
            <w:noWrap w:val="0"/>
            <w:tcMar>
              <w:top w:w="15" w:type="dxa"/>
              <w:left w:w="15" w:type="dxa"/>
              <w:bottom w:w="15" w:type="dxa"/>
              <w:right w:w="15" w:type="dxa"/>
            </w:tcMar>
            <w:vAlign w:val="center"/>
          </w:tcPr>
          <w:p w14:paraId="468B6CD8">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0.002 </w:t>
            </w:r>
          </w:p>
        </w:tc>
        <w:tc>
          <w:tcPr>
            <w:tcW w:w="851" w:type="dxa"/>
            <w:noWrap w:val="0"/>
            <w:tcMar>
              <w:top w:w="15" w:type="dxa"/>
              <w:left w:w="15" w:type="dxa"/>
              <w:bottom w:w="15" w:type="dxa"/>
              <w:right w:w="15" w:type="dxa"/>
            </w:tcMar>
            <w:vAlign w:val="center"/>
          </w:tcPr>
          <w:p w14:paraId="62F93A8D">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0.117 </w:t>
            </w:r>
          </w:p>
        </w:tc>
        <w:tc>
          <w:tcPr>
            <w:tcW w:w="567" w:type="dxa"/>
            <w:noWrap w:val="0"/>
            <w:tcMar>
              <w:top w:w="15" w:type="dxa"/>
              <w:left w:w="15" w:type="dxa"/>
              <w:bottom w:w="15" w:type="dxa"/>
              <w:right w:w="15" w:type="dxa"/>
            </w:tcMar>
            <w:vAlign w:val="center"/>
          </w:tcPr>
          <w:p w14:paraId="226E11F7">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0.00020 </w:t>
            </w:r>
          </w:p>
        </w:tc>
        <w:tc>
          <w:tcPr>
            <w:tcW w:w="992" w:type="dxa"/>
            <w:noWrap w:val="0"/>
            <w:tcMar>
              <w:top w:w="15" w:type="dxa"/>
              <w:left w:w="15" w:type="dxa"/>
              <w:bottom w:w="15" w:type="dxa"/>
              <w:right w:w="15" w:type="dxa"/>
            </w:tcMar>
            <w:vAlign w:val="center"/>
          </w:tcPr>
          <w:p w14:paraId="4FF623FE">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0.00020 </w:t>
            </w:r>
          </w:p>
        </w:tc>
        <w:tc>
          <w:tcPr>
            <w:tcW w:w="567" w:type="dxa"/>
            <w:noWrap w:val="0"/>
            <w:tcMar>
              <w:top w:w="15" w:type="dxa"/>
              <w:left w:w="15" w:type="dxa"/>
              <w:bottom w:w="15" w:type="dxa"/>
              <w:right w:w="15" w:type="dxa"/>
            </w:tcMar>
            <w:vAlign w:val="center"/>
          </w:tcPr>
          <w:p w14:paraId="2F8B1FB1">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0.00002 </w:t>
            </w:r>
          </w:p>
        </w:tc>
        <w:tc>
          <w:tcPr>
            <w:tcW w:w="992" w:type="dxa"/>
            <w:noWrap w:val="0"/>
            <w:tcMar>
              <w:top w:w="15" w:type="dxa"/>
              <w:left w:w="15" w:type="dxa"/>
              <w:bottom w:w="15" w:type="dxa"/>
              <w:right w:w="15" w:type="dxa"/>
            </w:tcMar>
            <w:vAlign w:val="center"/>
          </w:tcPr>
          <w:p w14:paraId="7C591235">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0.00005 </w:t>
            </w:r>
          </w:p>
        </w:tc>
        <w:tc>
          <w:tcPr>
            <w:tcW w:w="992" w:type="dxa"/>
            <w:noWrap w:val="0"/>
            <w:tcMar>
              <w:top w:w="15" w:type="dxa"/>
              <w:left w:w="15" w:type="dxa"/>
              <w:bottom w:w="15" w:type="dxa"/>
              <w:right w:w="15" w:type="dxa"/>
            </w:tcMar>
            <w:vAlign w:val="center"/>
          </w:tcPr>
          <w:p w14:paraId="5450801E">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0.002 </w:t>
            </w:r>
          </w:p>
        </w:tc>
        <w:tc>
          <w:tcPr>
            <w:tcW w:w="567" w:type="dxa"/>
            <w:noWrap w:val="0"/>
            <w:tcMar>
              <w:top w:w="15" w:type="dxa"/>
              <w:left w:w="15" w:type="dxa"/>
              <w:bottom w:w="15" w:type="dxa"/>
              <w:right w:w="15" w:type="dxa"/>
            </w:tcMar>
            <w:vAlign w:val="center"/>
          </w:tcPr>
          <w:p w14:paraId="7B7CDC4B">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0.001 </w:t>
            </w:r>
          </w:p>
        </w:tc>
        <w:tc>
          <w:tcPr>
            <w:tcW w:w="567" w:type="dxa"/>
            <w:noWrap w:val="0"/>
            <w:tcMar>
              <w:top w:w="15" w:type="dxa"/>
              <w:left w:w="15" w:type="dxa"/>
              <w:bottom w:w="15" w:type="dxa"/>
              <w:right w:w="15" w:type="dxa"/>
            </w:tcMar>
            <w:vAlign w:val="center"/>
          </w:tcPr>
          <w:p w14:paraId="478DD36C">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0.002 </w:t>
            </w:r>
          </w:p>
        </w:tc>
        <w:tc>
          <w:tcPr>
            <w:tcW w:w="567" w:type="dxa"/>
            <w:noWrap w:val="0"/>
            <w:tcMar>
              <w:top w:w="15" w:type="dxa"/>
              <w:left w:w="15" w:type="dxa"/>
              <w:bottom w:w="15" w:type="dxa"/>
              <w:right w:w="15" w:type="dxa"/>
            </w:tcMar>
            <w:vAlign w:val="center"/>
          </w:tcPr>
          <w:p w14:paraId="505A8B51">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0.0002 </w:t>
            </w:r>
          </w:p>
        </w:tc>
        <w:tc>
          <w:tcPr>
            <w:tcW w:w="567" w:type="dxa"/>
            <w:noWrap w:val="0"/>
            <w:tcMar>
              <w:top w:w="15" w:type="dxa"/>
              <w:left w:w="15" w:type="dxa"/>
              <w:bottom w:w="15" w:type="dxa"/>
              <w:right w:w="15" w:type="dxa"/>
            </w:tcMar>
            <w:vAlign w:val="center"/>
          </w:tcPr>
          <w:p w14:paraId="367D02EC">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0.005 </w:t>
            </w:r>
          </w:p>
        </w:tc>
        <w:tc>
          <w:tcPr>
            <w:tcW w:w="567" w:type="dxa"/>
            <w:noWrap w:val="0"/>
            <w:tcMar>
              <w:top w:w="15" w:type="dxa"/>
              <w:left w:w="15" w:type="dxa"/>
              <w:bottom w:w="15" w:type="dxa"/>
              <w:right w:w="15" w:type="dxa"/>
            </w:tcMar>
            <w:vAlign w:val="center"/>
          </w:tcPr>
          <w:p w14:paraId="2C154E60">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0.020 </w:t>
            </w:r>
          </w:p>
        </w:tc>
        <w:tc>
          <w:tcPr>
            <w:tcW w:w="567" w:type="dxa"/>
            <w:noWrap w:val="0"/>
            <w:tcMar>
              <w:top w:w="15" w:type="dxa"/>
              <w:left w:w="15" w:type="dxa"/>
              <w:bottom w:w="15" w:type="dxa"/>
              <w:right w:w="15" w:type="dxa"/>
            </w:tcMar>
            <w:vAlign w:val="center"/>
          </w:tcPr>
          <w:p w14:paraId="4EA17C9A">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0.005 </w:t>
            </w:r>
          </w:p>
        </w:tc>
      </w:tr>
      <w:tr w14:paraId="2DE62CD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284" w:type="dxa"/>
            <w:vMerge w:val="continue"/>
            <w:tcBorders>
              <w:right w:val="single" w:color="auto" w:sz="4" w:space="0"/>
            </w:tcBorders>
            <w:noWrap w:val="0"/>
            <w:vAlign w:val="center"/>
          </w:tcPr>
          <w:p w14:paraId="666F1523">
            <w:pPr>
              <w:widowControl w:val="0"/>
              <w:spacing w:line="240" w:lineRule="auto"/>
              <w:ind w:firstLine="0" w:firstLineChars="0"/>
              <w:jc w:val="center"/>
              <w:rPr>
                <w:color w:val="000000"/>
                <w:sz w:val="13"/>
                <w:szCs w:val="13"/>
                <w:u w:val="none"/>
              </w:rPr>
            </w:pPr>
          </w:p>
        </w:tc>
        <w:tc>
          <w:tcPr>
            <w:tcW w:w="567" w:type="dxa"/>
            <w:vMerge w:val="continue"/>
            <w:tcBorders>
              <w:left w:val="single" w:color="auto" w:sz="4" w:space="0"/>
            </w:tcBorders>
            <w:noWrap w:val="0"/>
            <w:vAlign w:val="center"/>
          </w:tcPr>
          <w:p w14:paraId="2DA9A0CD">
            <w:pPr>
              <w:widowControl w:val="0"/>
              <w:spacing w:line="240" w:lineRule="auto"/>
              <w:ind w:firstLine="0" w:firstLineChars="0"/>
              <w:jc w:val="center"/>
              <w:rPr>
                <w:color w:val="000000"/>
                <w:sz w:val="13"/>
                <w:szCs w:val="13"/>
                <w:u w:val="none"/>
              </w:rPr>
            </w:pPr>
          </w:p>
        </w:tc>
        <w:tc>
          <w:tcPr>
            <w:tcW w:w="567" w:type="dxa"/>
            <w:noWrap w:val="0"/>
            <w:tcMar>
              <w:top w:w="15" w:type="dxa"/>
              <w:left w:w="15" w:type="dxa"/>
              <w:bottom w:w="15" w:type="dxa"/>
              <w:right w:w="15" w:type="dxa"/>
            </w:tcMar>
            <w:vAlign w:val="center"/>
          </w:tcPr>
          <w:p w14:paraId="4F7BF8C6">
            <w:pPr>
              <w:widowControl w:val="0"/>
              <w:spacing w:line="240" w:lineRule="auto"/>
              <w:ind w:firstLine="0" w:firstLineChars="0"/>
              <w:jc w:val="center"/>
              <w:rPr>
                <w:color w:val="000000"/>
                <w:sz w:val="13"/>
                <w:szCs w:val="13"/>
                <w:u w:val="none"/>
              </w:rPr>
            </w:pPr>
            <w:r>
              <w:rPr>
                <w:rFonts w:hint="eastAsia"/>
                <w:color w:val="000000"/>
                <w:sz w:val="13"/>
                <w:szCs w:val="13"/>
                <w:u w:val="none"/>
              </w:rPr>
              <w:t>超标率%</w:t>
            </w:r>
          </w:p>
        </w:tc>
        <w:tc>
          <w:tcPr>
            <w:tcW w:w="709" w:type="dxa"/>
            <w:noWrap w:val="0"/>
            <w:tcMar>
              <w:top w:w="15" w:type="dxa"/>
              <w:left w:w="15" w:type="dxa"/>
              <w:bottom w:w="15" w:type="dxa"/>
              <w:right w:w="15" w:type="dxa"/>
            </w:tcMar>
            <w:vAlign w:val="center"/>
          </w:tcPr>
          <w:p w14:paraId="29AD1F9A">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06539CC2">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59AD4BF1">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2CDDD907">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611789CF">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20B86E2E">
            <w:pPr>
              <w:widowControl w:val="0"/>
              <w:spacing w:line="240" w:lineRule="auto"/>
              <w:ind w:firstLine="0" w:firstLineChars="0"/>
              <w:jc w:val="center"/>
              <w:rPr>
                <w:color w:val="000000"/>
                <w:sz w:val="13"/>
                <w:szCs w:val="13"/>
                <w:u w:val="none"/>
              </w:rPr>
            </w:pPr>
            <w:r>
              <w:rPr>
                <w:color w:val="000000"/>
                <w:sz w:val="13"/>
                <w:szCs w:val="13"/>
                <w:u w:val="none"/>
              </w:rPr>
              <w:t>/</w:t>
            </w:r>
          </w:p>
        </w:tc>
        <w:tc>
          <w:tcPr>
            <w:tcW w:w="850" w:type="dxa"/>
            <w:noWrap w:val="0"/>
            <w:tcMar>
              <w:top w:w="15" w:type="dxa"/>
              <w:left w:w="15" w:type="dxa"/>
              <w:bottom w:w="15" w:type="dxa"/>
              <w:right w:w="15" w:type="dxa"/>
            </w:tcMar>
            <w:vAlign w:val="center"/>
          </w:tcPr>
          <w:p w14:paraId="6D06B05C">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5F6A2619">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15DA01A8">
            <w:pPr>
              <w:widowControl w:val="0"/>
              <w:spacing w:line="240" w:lineRule="auto"/>
              <w:ind w:firstLine="0" w:firstLineChars="0"/>
              <w:jc w:val="center"/>
              <w:rPr>
                <w:color w:val="000000"/>
                <w:sz w:val="13"/>
                <w:szCs w:val="13"/>
                <w:u w:val="none"/>
              </w:rPr>
            </w:pPr>
            <w:r>
              <w:rPr>
                <w:color w:val="000000"/>
                <w:sz w:val="13"/>
                <w:szCs w:val="13"/>
                <w:u w:val="none"/>
              </w:rPr>
              <w:t>/</w:t>
            </w:r>
          </w:p>
        </w:tc>
        <w:tc>
          <w:tcPr>
            <w:tcW w:w="851" w:type="dxa"/>
            <w:noWrap w:val="0"/>
            <w:tcMar>
              <w:top w:w="15" w:type="dxa"/>
              <w:left w:w="15" w:type="dxa"/>
              <w:bottom w:w="15" w:type="dxa"/>
              <w:right w:w="15" w:type="dxa"/>
            </w:tcMar>
            <w:vAlign w:val="center"/>
          </w:tcPr>
          <w:p w14:paraId="013C631F">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4876F0DB">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6A3014D9">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05700A8F">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12D90872">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113F469B">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7B506A84">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19E0A6FD">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512EF869">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72F4AFE4">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2BDD01F4">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2A55A9E7">
            <w:pPr>
              <w:widowControl w:val="0"/>
              <w:spacing w:line="240" w:lineRule="auto"/>
              <w:ind w:firstLine="0" w:firstLineChars="0"/>
              <w:jc w:val="center"/>
              <w:rPr>
                <w:color w:val="000000"/>
                <w:sz w:val="13"/>
                <w:szCs w:val="13"/>
                <w:u w:val="none"/>
              </w:rPr>
            </w:pPr>
          </w:p>
        </w:tc>
      </w:tr>
      <w:tr w14:paraId="3803C2D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284" w:type="dxa"/>
            <w:vMerge w:val="continue"/>
            <w:tcBorders>
              <w:right w:val="single" w:color="auto" w:sz="4" w:space="0"/>
            </w:tcBorders>
            <w:noWrap w:val="0"/>
            <w:vAlign w:val="center"/>
          </w:tcPr>
          <w:p w14:paraId="1FD6F120">
            <w:pPr>
              <w:widowControl w:val="0"/>
              <w:spacing w:line="240" w:lineRule="auto"/>
              <w:ind w:firstLine="0" w:firstLineChars="0"/>
              <w:jc w:val="center"/>
              <w:rPr>
                <w:color w:val="000000"/>
                <w:sz w:val="13"/>
                <w:szCs w:val="13"/>
                <w:u w:val="none"/>
              </w:rPr>
            </w:pPr>
          </w:p>
        </w:tc>
        <w:tc>
          <w:tcPr>
            <w:tcW w:w="567" w:type="dxa"/>
            <w:vMerge w:val="continue"/>
            <w:tcBorders>
              <w:left w:val="single" w:color="auto" w:sz="4" w:space="0"/>
            </w:tcBorders>
            <w:noWrap w:val="0"/>
            <w:vAlign w:val="center"/>
          </w:tcPr>
          <w:p w14:paraId="08837D6F">
            <w:pPr>
              <w:widowControl w:val="0"/>
              <w:spacing w:line="240" w:lineRule="auto"/>
              <w:ind w:firstLine="0" w:firstLineChars="0"/>
              <w:jc w:val="center"/>
              <w:rPr>
                <w:color w:val="000000"/>
                <w:sz w:val="13"/>
                <w:szCs w:val="13"/>
                <w:u w:val="none"/>
              </w:rPr>
            </w:pPr>
          </w:p>
        </w:tc>
        <w:tc>
          <w:tcPr>
            <w:tcW w:w="567" w:type="dxa"/>
            <w:noWrap w:val="0"/>
            <w:tcMar>
              <w:top w:w="15" w:type="dxa"/>
              <w:left w:w="15" w:type="dxa"/>
              <w:bottom w:w="15" w:type="dxa"/>
              <w:right w:w="15" w:type="dxa"/>
            </w:tcMar>
            <w:vAlign w:val="center"/>
          </w:tcPr>
          <w:p w14:paraId="1DBCB55F">
            <w:pPr>
              <w:widowControl w:val="0"/>
              <w:spacing w:line="240" w:lineRule="auto"/>
              <w:ind w:firstLine="0" w:firstLineChars="0"/>
              <w:jc w:val="center"/>
              <w:rPr>
                <w:color w:val="000000"/>
                <w:sz w:val="13"/>
                <w:szCs w:val="13"/>
                <w:u w:val="none"/>
              </w:rPr>
            </w:pPr>
            <w:r>
              <w:rPr>
                <w:rFonts w:hint="eastAsia"/>
                <w:color w:val="000000"/>
                <w:sz w:val="13"/>
                <w:szCs w:val="13"/>
                <w:u w:val="none"/>
              </w:rPr>
              <w:t>超标倍数</w:t>
            </w:r>
          </w:p>
        </w:tc>
        <w:tc>
          <w:tcPr>
            <w:tcW w:w="709" w:type="dxa"/>
            <w:noWrap w:val="0"/>
            <w:tcMar>
              <w:top w:w="15" w:type="dxa"/>
              <w:left w:w="15" w:type="dxa"/>
              <w:bottom w:w="15" w:type="dxa"/>
              <w:right w:w="15" w:type="dxa"/>
            </w:tcMar>
            <w:vAlign w:val="center"/>
          </w:tcPr>
          <w:p w14:paraId="1086788B">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44CE1277">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56F3086E">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45924517">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1B7E3FD9">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2E881108">
            <w:pPr>
              <w:widowControl w:val="0"/>
              <w:spacing w:line="240" w:lineRule="auto"/>
              <w:ind w:firstLine="0" w:firstLineChars="0"/>
              <w:jc w:val="center"/>
              <w:rPr>
                <w:color w:val="000000"/>
                <w:sz w:val="13"/>
                <w:szCs w:val="13"/>
                <w:u w:val="none"/>
              </w:rPr>
            </w:pPr>
            <w:r>
              <w:rPr>
                <w:color w:val="000000"/>
                <w:sz w:val="13"/>
                <w:szCs w:val="13"/>
                <w:u w:val="none"/>
              </w:rPr>
              <w:t>/</w:t>
            </w:r>
          </w:p>
        </w:tc>
        <w:tc>
          <w:tcPr>
            <w:tcW w:w="850" w:type="dxa"/>
            <w:noWrap w:val="0"/>
            <w:tcMar>
              <w:top w:w="15" w:type="dxa"/>
              <w:left w:w="15" w:type="dxa"/>
              <w:bottom w:w="15" w:type="dxa"/>
              <w:right w:w="15" w:type="dxa"/>
            </w:tcMar>
            <w:vAlign w:val="center"/>
          </w:tcPr>
          <w:p w14:paraId="255C2820">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28220A2D">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023715C">
            <w:pPr>
              <w:widowControl w:val="0"/>
              <w:spacing w:line="240" w:lineRule="auto"/>
              <w:ind w:firstLine="0" w:firstLineChars="0"/>
              <w:jc w:val="center"/>
              <w:rPr>
                <w:color w:val="000000"/>
                <w:sz w:val="13"/>
                <w:szCs w:val="13"/>
                <w:u w:val="none"/>
              </w:rPr>
            </w:pPr>
            <w:r>
              <w:rPr>
                <w:color w:val="000000"/>
                <w:sz w:val="13"/>
                <w:szCs w:val="13"/>
                <w:u w:val="none"/>
              </w:rPr>
              <w:t>/</w:t>
            </w:r>
          </w:p>
        </w:tc>
        <w:tc>
          <w:tcPr>
            <w:tcW w:w="851" w:type="dxa"/>
            <w:noWrap w:val="0"/>
            <w:tcMar>
              <w:top w:w="15" w:type="dxa"/>
              <w:left w:w="15" w:type="dxa"/>
              <w:bottom w:w="15" w:type="dxa"/>
              <w:right w:w="15" w:type="dxa"/>
            </w:tcMar>
            <w:vAlign w:val="center"/>
          </w:tcPr>
          <w:p w14:paraId="73EB84FD">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5501344A">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7C17F049">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394B9967">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1E79CF1D">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2C4C2FE0">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1FD84A43">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2E0868AC">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53EE3DB">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CE4B8DF">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03838307">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481710A4">
            <w:pPr>
              <w:widowControl w:val="0"/>
              <w:spacing w:line="240" w:lineRule="auto"/>
              <w:ind w:firstLine="0" w:firstLineChars="0"/>
              <w:jc w:val="center"/>
              <w:rPr>
                <w:color w:val="000000"/>
                <w:sz w:val="13"/>
                <w:szCs w:val="13"/>
                <w:u w:val="none"/>
              </w:rPr>
            </w:pPr>
          </w:p>
        </w:tc>
      </w:tr>
      <w:tr w14:paraId="2218B36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284" w:type="dxa"/>
            <w:vMerge w:val="restart"/>
            <w:tcBorders>
              <w:right w:val="single" w:color="auto" w:sz="4" w:space="0"/>
            </w:tcBorders>
            <w:noWrap w:val="0"/>
            <w:tcMar>
              <w:top w:w="15" w:type="dxa"/>
              <w:left w:w="15" w:type="dxa"/>
              <w:bottom w:w="15" w:type="dxa"/>
              <w:right w:w="15" w:type="dxa"/>
            </w:tcMar>
            <w:vAlign w:val="center"/>
          </w:tcPr>
          <w:p w14:paraId="6187E023">
            <w:pPr>
              <w:widowControl w:val="0"/>
              <w:spacing w:line="240" w:lineRule="auto"/>
              <w:ind w:firstLine="0" w:firstLineChars="0"/>
              <w:jc w:val="center"/>
              <w:rPr>
                <w:color w:val="000000"/>
                <w:sz w:val="13"/>
                <w:szCs w:val="13"/>
                <w:u w:val="none"/>
              </w:rPr>
            </w:pPr>
            <w:r>
              <w:rPr>
                <w:rFonts w:hint="eastAsia"/>
                <w:color w:val="000000"/>
                <w:sz w:val="13"/>
                <w:szCs w:val="13"/>
                <w:u w:val="none"/>
              </w:rPr>
              <w:t xml:space="preserve">跳鱼洞电站 </w:t>
            </w:r>
          </w:p>
        </w:tc>
        <w:tc>
          <w:tcPr>
            <w:tcW w:w="567" w:type="dxa"/>
            <w:vMerge w:val="restart"/>
            <w:tcBorders>
              <w:left w:val="single" w:color="auto" w:sz="4" w:space="0"/>
            </w:tcBorders>
            <w:noWrap w:val="0"/>
            <w:vAlign w:val="center"/>
          </w:tcPr>
          <w:p w14:paraId="5588FF07">
            <w:pPr>
              <w:widowControl w:val="0"/>
              <w:spacing w:line="240" w:lineRule="auto"/>
              <w:ind w:firstLine="0" w:firstLineChars="0"/>
              <w:jc w:val="center"/>
              <w:rPr>
                <w:color w:val="000000"/>
                <w:sz w:val="13"/>
                <w:szCs w:val="13"/>
                <w:u w:val="none"/>
              </w:rPr>
            </w:pPr>
            <w:r>
              <w:rPr>
                <w:rFonts w:hint="eastAsia"/>
                <w:color w:val="000000"/>
                <w:sz w:val="13"/>
                <w:szCs w:val="13"/>
                <w:u w:val="none"/>
              </w:rPr>
              <w:t>20</w:t>
            </w:r>
            <w:r>
              <w:rPr>
                <w:rFonts w:hint="eastAsia"/>
                <w:color w:val="000000"/>
                <w:sz w:val="13"/>
                <w:szCs w:val="13"/>
                <w:u w:val="none"/>
                <w:lang w:val="en-US" w:eastAsia="zh-CN"/>
              </w:rPr>
              <w:t>21</w:t>
            </w:r>
          </w:p>
        </w:tc>
        <w:tc>
          <w:tcPr>
            <w:tcW w:w="567" w:type="dxa"/>
            <w:noWrap w:val="0"/>
            <w:tcMar>
              <w:top w:w="15" w:type="dxa"/>
              <w:left w:w="15" w:type="dxa"/>
              <w:bottom w:w="15" w:type="dxa"/>
              <w:right w:w="15" w:type="dxa"/>
            </w:tcMar>
            <w:vAlign w:val="center"/>
          </w:tcPr>
          <w:p w14:paraId="6105E742">
            <w:pPr>
              <w:widowControl w:val="0"/>
              <w:spacing w:line="240" w:lineRule="auto"/>
              <w:ind w:firstLine="0" w:firstLineChars="0"/>
              <w:jc w:val="center"/>
              <w:rPr>
                <w:color w:val="000000"/>
                <w:sz w:val="13"/>
                <w:szCs w:val="13"/>
                <w:u w:val="none"/>
              </w:rPr>
            </w:pPr>
            <w:r>
              <w:rPr>
                <w:rFonts w:hint="eastAsia"/>
                <w:color w:val="000000"/>
                <w:sz w:val="13"/>
                <w:szCs w:val="13"/>
                <w:u w:val="none"/>
              </w:rPr>
              <w:t>年均值</w:t>
            </w:r>
          </w:p>
        </w:tc>
        <w:tc>
          <w:tcPr>
            <w:tcW w:w="709" w:type="dxa"/>
            <w:noWrap w:val="0"/>
            <w:tcMar>
              <w:top w:w="15" w:type="dxa"/>
              <w:left w:w="15" w:type="dxa"/>
              <w:bottom w:w="15" w:type="dxa"/>
              <w:right w:w="15" w:type="dxa"/>
            </w:tcMar>
            <w:vAlign w:val="center"/>
          </w:tcPr>
          <w:p w14:paraId="7BBE7F3D">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 xml:space="preserve">7.7 </w:t>
            </w:r>
          </w:p>
        </w:tc>
        <w:tc>
          <w:tcPr>
            <w:tcW w:w="567" w:type="dxa"/>
            <w:noWrap w:val="0"/>
            <w:tcMar>
              <w:top w:w="15" w:type="dxa"/>
              <w:left w:w="15" w:type="dxa"/>
              <w:bottom w:w="15" w:type="dxa"/>
              <w:right w:w="15" w:type="dxa"/>
            </w:tcMar>
            <w:vAlign w:val="center"/>
          </w:tcPr>
          <w:p w14:paraId="393EE022">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 xml:space="preserve">7.3 </w:t>
            </w:r>
          </w:p>
        </w:tc>
        <w:tc>
          <w:tcPr>
            <w:tcW w:w="567" w:type="dxa"/>
            <w:noWrap w:val="0"/>
            <w:tcMar>
              <w:top w:w="15" w:type="dxa"/>
              <w:left w:w="15" w:type="dxa"/>
              <w:bottom w:w="15" w:type="dxa"/>
              <w:right w:w="15" w:type="dxa"/>
            </w:tcMar>
            <w:vAlign w:val="center"/>
          </w:tcPr>
          <w:p w14:paraId="469466CA">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 xml:space="preserve">2.5 </w:t>
            </w:r>
          </w:p>
        </w:tc>
        <w:tc>
          <w:tcPr>
            <w:tcW w:w="567" w:type="dxa"/>
            <w:noWrap w:val="0"/>
            <w:tcMar>
              <w:top w:w="15" w:type="dxa"/>
              <w:left w:w="15" w:type="dxa"/>
              <w:bottom w:w="15" w:type="dxa"/>
              <w:right w:w="15" w:type="dxa"/>
            </w:tcMar>
            <w:vAlign w:val="center"/>
          </w:tcPr>
          <w:p w14:paraId="69AAB6FC">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 xml:space="preserve">14.8 </w:t>
            </w:r>
          </w:p>
        </w:tc>
        <w:tc>
          <w:tcPr>
            <w:tcW w:w="709" w:type="dxa"/>
            <w:noWrap w:val="0"/>
            <w:tcMar>
              <w:top w:w="15" w:type="dxa"/>
              <w:left w:w="15" w:type="dxa"/>
              <w:bottom w:w="15" w:type="dxa"/>
              <w:right w:w="15" w:type="dxa"/>
            </w:tcMar>
            <w:vAlign w:val="center"/>
          </w:tcPr>
          <w:p w14:paraId="06BB4B87">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 xml:space="preserve">2.1 </w:t>
            </w:r>
          </w:p>
        </w:tc>
        <w:tc>
          <w:tcPr>
            <w:tcW w:w="709" w:type="dxa"/>
            <w:noWrap w:val="0"/>
            <w:tcMar>
              <w:top w:w="15" w:type="dxa"/>
              <w:left w:w="15" w:type="dxa"/>
              <w:bottom w:w="15" w:type="dxa"/>
              <w:right w:w="15" w:type="dxa"/>
            </w:tcMar>
            <w:vAlign w:val="center"/>
          </w:tcPr>
          <w:p w14:paraId="3AC3F4D8">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 xml:space="preserve">0.71 </w:t>
            </w:r>
          </w:p>
        </w:tc>
        <w:tc>
          <w:tcPr>
            <w:tcW w:w="850" w:type="dxa"/>
            <w:noWrap w:val="0"/>
            <w:tcMar>
              <w:top w:w="15" w:type="dxa"/>
              <w:left w:w="15" w:type="dxa"/>
              <w:bottom w:w="15" w:type="dxa"/>
              <w:right w:w="15" w:type="dxa"/>
            </w:tcMar>
            <w:vAlign w:val="center"/>
          </w:tcPr>
          <w:p w14:paraId="31DEA88C">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 xml:space="preserve">0.13 </w:t>
            </w:r>
          </w:p>
        </w:tc>
        <w:tc>
          <w:tcPr>
            <w:tcW w:w="567" w:type="dxa"/>
            <w:noWrap w:val="0"/>
            <w:tcMar>
              <w:top w:w="15" w:type="dxa"/>
              <w:left w:w="15" w:type="dxa"/>
              <w:bottom w:w="15" w:type="dxa"/>
              <w:right w:w="15" w:type="dxa"/>
            </w:tcMar>
            <w:vAlign w:val="center"/>
          </w:tcPr>
          <w:p w14:paraId="693DB18B">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 xml:space="preserve">0.00086 </w:t>
            </w:r>
          </w:p>
        </w:tc>
        <w:tc>
          <w:tcPr>
            <w:tcW w:w="567" w:type="dxa"/>
            <w:noWrap w:val="0"/>
            <w:tcMar>
              <w:top w:w="15" w:type="dxa"/>
              <w:left w:w="15" w:type="dxa"/>
              <w:bottom w:w="15" w:type="dxa"/>
              <w:right w:w="15" w:type="dxa"/>
            </w:tcMar>
            <w:vAlign w:val="center"/>
          </w:tcPr>
          <w:p w14:paraId="4CB1D899">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 xml:space="preserve">0.0047 </w:t>
            </w:r>
          </w:p>
        </w:tc>
        <w:tc>
          <w:tcPr>
            <w:tcW w:w="851" w:type="dxa"/>
            <w:noWrap w:val="0"/>
            <w:tcMar>
              <w:top w:w="15" w:type="dxa"/>
              <w:left w:w="15" w:type="dxa"/>
              <w:bottom w:w="15" w:type="dxa"/>
              <w:right w:w="15" w:type="dxa"/>
            </w:tcMar>
            <w:vAlign w:val="center"/>
          </w:tcPr>
          <w:p w14:paraId="4D67D50B">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 xml:space="preserve">0.109 </w:t>
            </w:r>
          </w:p>
        </w:tc>
        <w:tc>
          <w:tcPr>
            <w:tcW w:w="567" w:type="dxa"/>
            <w:noWrap w:val="0"/>
            <w:tcMar>
              <w:top w:w="15" w:type="dxa"/>
              <w:left w:w="15" w:type="dxa"/>
              <w:bottom w:w="15" w:type="dxa"/>
              <w:right w:w="15" w:type="dxa"/>
            </w:tcMar>
            <w:vAlign w:val="center"/>
          </w:tcPr>
          <w:p w14:paraId="220D1AF7">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0.0004L</w:t>
            </w:r>
          </w:p>
        </w:tc>
        <w:tc>
          <w:tcPr>
            <w:tcW w:w="992" w:type="dxa"/>
            <w:noWrap w:val="0"/>
            <w:tcMar>
              <w:top w:w="15" w:type="dxa"/>
              <w:left w:w="15" w:type="dxa"/>
              <w:bottom w:w="15" w:type="dxa"/>
              <w:right w:w="15" w:type="dxa"/>
            </w:tcMar>
            <w:vAlign w:val="center"/>
          </w:tcPr>
          <w:p w14:paraId="7215727A">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 xml:space="preserve">0.00134 </w:t>
            </w:r>
          </w:p>
        </w:tc>
        <w:tc>
          <w:tcPr>
            <w:tcW w:w="567" w:type="dxa"/>
            <w:noWrap w:val="0"/>
            <w:tcMar>
              <w:top w:w="15" w:type="dxa"/>
              <w:left w:w="15" w:type="dxa"/>
              <w:bottom w:w="15" w:type="dxa"/>
              <w:right w:w="15" w:type="dxa"/>
            </w:tcMar>
            <w:vAlign w:val="center"/>
          </w:tcPr>
          <w:p w14:paraId="66CD93B1">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0.0004L</w:t>
            </w:r>
          </w:p>
        </w:tc>
        <w:tc>
          <w:tcPr>
            <w:tcW w:w="992" w:type="dxa"/>
            <w:noWrap w:val="0"/>
            <w:tcMar>
              <w:top w:w="15" w:type="dxa"/>
              <w:left w:w="15" w:type="dxa"/>
              <w:bottom w:w="15" w:type="dxa"/>
              <w:right w:w="15" w:type="dxa"/>
            </w:tcMar>
            <w:vAlign w:val="center"/>
          </w:tcPr>
          <w:p w14:paraId="1A8CE145">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 xml:space="preserve">0.00006 </w:t>
            </w:r>
          </w:p>
        </w:tc>
        <w:tc>
          <w:tcPr>
            <w:tcW w:w="992" w:type="dxa"/>
            <w:noWrap w:val="0"/>
            <w:tcMar>
              <w:top w:w="15" w:type="dxa"/>
              <w:left w:w="15" w:type="dxa"/>
              <w:bottom w:w="15" w:type="dxa"/>
              <w:right w:w="15" w:type="dxa"/>
            </w:tcMar>
            <w:vAlign w:val="center"/>
          </w:tcPr>
          <w:p w14:paraId="067EE3D8">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0.004L</w:t>
            </w:r>
          </w:p>
        </w:tc>
        <w:tc>
          <w:tcPr>
            <w:tcW w:w="567" w:type="dxa"/>
            <w:noWrap w:val="0"/>
            <w:tcMar>
              <w:top w:w="15" w:type="dxa"/>
              <w:left w:w="15" w:type="dxa"/>
              <w:bottom w:w="15" w:type="dxa"/>
              <w:right w:w="15" w:type="dxa"/>
            </w:tcMar>
            <w:vAlign w:val="center"/>
          </w:tcPr>
          <w:p w14:paraId="1C8EA627">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 xml:space="preserve">0.00029 </w:t>
            </w:r>
          </w:p>
        </w:tc>
        <w:tc>
          <w:tcPr>
            <w:tcW w:w="567" w:type="dxa"/>
            <w:noWrap w:val="0"/>
            <w:tcMar>
              <w:top w:w="15" w:type="dxa"/>
              <w:left w:w="15" w:type="dxa"/>
              <w:bottom w:w="15" w:type="dxa"/>
              <w:right w:w="15" w:type="dxa"/>
            </w:tcMar>
            <w:vAlign w:val="center"/>
          </w:tcPr>
          <w:p w14:paraId="0335B711">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0.001L</w:t>
            </w:r>
          </w:p>
        </w:tc>
        <w:tc>
          <w:tcPr>
            <w:tcW w:w="567" w:type="dxa"/>
            <w:noWrap w:val="0"/>
            <w:tcMar>
              <w:top w:w="15" w:type="dxa"/>
              <w:left w:w="15" w:type="dxa"/>
              <w:bottom w:w="15" w:type="dxa"/>
              <w:right w:w="15" w:type="dxa"/>
            </w:tcMar>
            <w:vAlign w:val="center"/>
          </w:tcPr>
          <w:p w14:paraId="03543852">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0.0003L</w:t>
            </w:r>
          </w:p>
        </w:tc>
        <w:tc>
          <w:tcPr>
            <w:tcW w:w="567" w:type="dxa"/>
            <w:noWrap w:val="0"/>
            <w:tcMar>
              <w:top w:w="15" w:type="dxa"/>
              <w:left w:w="15" w:type="dxa"/>
              <w:bottom w:w="15" w:type="dxa"/>
              <w:right w:w="15" w:type="dxa"/>
            </w:tcMar>
            <w:vAlign w:val="center"/>
          </w:tcPr>
          <w:p w14:paraId="0D2E1D0C">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0.01L</w:t>
            </w:r>
          </w:p>
        </w:tc>
        <w:tc>
          <w:tcPr>
            <w:tcW w:w="567" w:type="dxa"/>
            <w:noWrap w:val="0"/>
            <w:tcMar>
              <w:top w:w="15" w:type="dxa"/>
              <w:left w:w="15" w:type="dxa"/>
              <w:bottom w:w="15" w:type="dxa"/>
              <w:right w:w="15" w:type="dxa"/>
            </w:tcMar>
            <w:vAlign w:val="center"/>
          </w:tcPr>
          <w:p w14:paraId="69C04C6B">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0.05L</w:t>
            </w:r>
          </w:p>
        </w:tc>
        <w:tc>
          <w:tcPr>
            <w:tcW w:w="567" w:type="dxa"/>
            <w:noWrap w:val="0"/>
            <w:tcMar>
              <w:top w:w="15" w:type="dxa"/>
              <w:left w:w="15" w:type="dxa"/>
              <w:bottom w:w="15" w:type="dxa"/>
              <w:right w:w="15" w:type="dxa"/>
            </w:tcMar>
            <w:vAlign w:val="center"/>
          </w:tcPr>
          <w:p w14:paraId="494A6C75">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0.005L</w:t>
            </w:r>
          </w:p>
        </w:tc>
      </w:tr>
      <w:tr w14:paraId="298F40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284" w:type="dxa"/>
            <w:vMerge w:val="continue"/>
            <w:tcBorders>
              <w:right w:val="single" w:color="auto" w:sz="4" w:space="0"/>
            </w:tcBorders>
            <w:noWrap w:val="0"/>
            <w:vAlign w:val="center"/>
          </w:tcPr>
          <w:p w14:paraId="3098C715">
            <w:pPr>
              <w:widowControl w:val="0"/>
              <w:spacing w:line="240" w:lineRule="auto"/>
              <w:ind w:firstLine="0" w:firstLineChars="0"/>
              <w:jc w:val="center"/>
              <w:rPr>
                <w:color w:val="000000"/>
                <w:sz w:val="13"/>
                <w:szCs w:val="13"/>
                <w:u w:val="none"/>
              </w:rPr>
            </w:pPr>
          </w:p>
        </w:tc>
        <w:tc>
          <w:tcPr>
            <w:tcW w:w="567" w:type="dxa"/>
            <w:vMerge w:val="continue"/>
            <w:tcBorders>
              <w:left w:val="single" w:color="auto" w:sz="4" w:space="0"/>
            </w:tcBorders>
            <w:noWrap w:val="0"/>
            <w:vAlign w:val="center"/>
          </w:tcPr>
          <w:p w14:paraId="7DE254EF">
            <w:pPr>
              <w:widowControl w:val="0"/>
              <w:spacing w:line="240" w:lineRule="auto"/>
              <w:ind w:firstLine="0" w:firstLineChars="0"/>
              <w:jc w:val="center"/>
              <w:rPr>
                <w:color w:val="000000"/>
                <w:sz w:val="13"/>
                <w:szCs w:val="13"/>
                <w:u w:val="none"/>
              </w:rPr>
            </w:pPr>
          </w:p>
        </w:tc>
        <w:tc>
          <w:tcPr>
            <w:tcW w:w="567" w:type="dxa"/>
            <w:noWrap w:val="0"/>
            <w:tcMar>
              <w:top w:w="15" w:type="dxa"/>
              <w:left w:w="15" w:type="dxa"/>
              <w:bottom w:w="15" w:type="dxa"/>
              <w:right w:w="15" w:type="dxa"/>
            </w:tcMar>
            <w:vAlign w:val="center"/>
          </w:tcPr>
          <w:p w14:paraId="41B82B62">
            <w:pPr>
              <w:widowControl w:val="0"/>
              <w:spacing w:line="240" w:lineRule="auto"/>
              <w:ind w:firstLine="0" w:firstLineChars="0"/>
              <w:jc w:val="center"/>
              <w:rPr>
                <w:color w:val="000000"/>
                <w:sz w:val="13"/>
                <w:szCs w:val="13"/>
                <w:u w:val="none"/>
              </w:rPr>
            </w:pPr>
            <w:r>
              <w:rPr>
                <w:rFonts w:hint="eastAsia"/>
                <w:color w:val="000000"/>
                <w:sz w:val="13"/>
                <w:szCs w:val="13"/>
                <w:u w:val="none"/>
              </w:rPr>
              <w:t>超标率%</w:t>
            </w:r>
          </w:p>
        </w:tc>
        <w:tc>
          <w:tcPr>
            <w:tcW w:w="709" w:type="dxa"/>
            <w:noWrap w:val="0"/>
            <w:tcMar>
              <w:top w:w="15" w:type="dxa"/>
              <w:left w:w="15" w:type="dxa"/>
              <w:bottom w:w="15" w:type="dxa"/>
              <w:right w:w="15" w:type="dxa"/>
            </w:tcMar>
            <w:vAlign w:val="center"/>
          </w:tcPr>
          <w:p w14:paraId="6E6FA6A0">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3039D7A7">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00BF5869">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79138B32">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02B28037">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508D3881">
            <w:pPr>
              <w:widowControl w:val="0"/>
              <w:spacing w:line="240" w:lineRule="auto"/>
              <w:ind w:firstLine="0" w:firstLineChars="0"/>
              <w:jc w:val="center"/>
              <w:rPr>
                <w:color w:val="000000"/>
                <w:sz w:val="13"/>
                <w:szCs w:val="13"/>
                <w:u w:val="none"/>
              </w:rPr>
            </w:pPr>
            <w:r>
              <w:rPr>
                <w:color w:val="000000"/>
                <w:sz w:val="13"/>
                <w:szCs w:val="13"/>
                <w:u w:val="none"/>
              </w:rPr>
              <w:t>/</w:t>
            </w:r>
          </w:p>
        </w:tc>
        <w:tc>
          <w:tcPr>
            <w:tcW w:w="850" w:type="dxa"/>
            <w:noWrap w:val="0"/>
            <w:tcMar>
              <w:top w:w="15" w:type="dxa"/>
              <w:left w:w="15" w:type="dxa"/>
              <w:bottom w:w="15" w:type="dxa"/>
              <w:right w:w="15" w:type="dxa"/>
            </w:tcMar>
            <w:vAlign w:val="center"/>
          </w:tcPr>
          <w:p w14:paraId="586DDF26">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B54AFA1">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4FD2ED39">
            <w:pPr>
              <w:widowControl w:val="0"/>
              <w:spacing w:line="240" w:lineRule="auto"/>
              <w:ind w:firstLine="0" w:firstLineChars="0"/>
              <w:jc w:val="center"/>
              <w:rPr>
                <w:color w:val="000000"/>
                <w:sz w:val="13"/>
                <w:szCs w:val="13"/>
                <w:u w:val="none"/>
              </w:rPr>
            </w:pPr>
            <w:r>
              <w:rPr>
                <w:color w:val="000000"/>
                <w:sz w:val="13"/>
                <w:szCs w:val="13"/>
                <w:u w:val="none"/>
              </w:rPr>
              <w:t>/</w:t>
            </w:r>
          </w:p>
        </w:tc>
        <w:tc>
          <w:tcPr>
            <w:tcW w:w="851" w:type="dxa"/>
            <w:noWrap w:val="0"/>
            <w:tcMar>
              <w:top w:w="15" w:type="dxa"/>
              <w:left w:w="15" w:type="dxa"/>
              <w:bottom w:w="15" w:type="dxa"/>
              <w:right w:w="15" w:type="dxa"/>
            </w:tcMar>
            <w:vAlign w:val="center"/>
          </w:tcPr>
          <w:p w14:paraId="59589A22">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778D86F0">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4CB332FA">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3510E8D9">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1B120A8E">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03D9C4C0">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2DCDE29B">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5D2B180F">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23EE27E3">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3C1FA1B1">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6F21A87">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7BB8F466">
            <w:pPr>
              <w:widowControl w:val="0"/>
              <w:spacing w:line="240" w:lineRule="auto"/>
              <w:ind w:firstLine="0" w:firstLineChars="0"/>
              <w:jc w:val="center"/>
              <w:rPr>
                <w:color w:val="000000"/>
                <w:sz w:val="13"/>
                <w:szCs w:val="13"/>
                <w:u w:val="none"/>
              </w:rPr>
            </w:pPr>
          </w:p>
        </w:tc>
      </w:tr>
      <w:tr w14:paraId="6DB294E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284" w:type="dxa"/>
            <w:vMerge w:val="continue"/>
            <w:tcBorders>
              <w:right w:val="single" w:color="auto" w:sz="4" w:space="0"/>
            </w:tcBorders>
            <w:noWrap w:val="0"/>
            <w:vAlign w:val="center"/>
          </w:tcPr>
          <w:p w14:paraId="30D96F2D">
            <w:pPr>
              <w:widowControl w:val="0"/>
              <w:spacing w:line="240" w:lineRule="auto"/>
              <w:ind w:firstLine="0" w:firstLineChars="0"/>
              <w:jc w:val="center"/>
              <w:rPr>
                <w:color w:val="000000"/>
                <w:sz w:val="13"/>
                <w:szCs w:val="13"/>
                <w:u w:val="none"/>
              </w:rPr>
            </w:pPr>
          </w:p>
        </w:tc>
        <w:tc>
          <w:tcPr>
            <w:tcW w:w="567" w:type="dxa"/>
            <w:vMerge w:val="continue"/>
            <w:tcBorders>
              <w:left w:val="single" w:color="auto" w:sz="4" w:space="0"/>
            </w:tcBorders>
            <w:noWrap w:val="0"/>
            <w:vAlign w:val="center"/>
          </w:tcPr>
          <w:p w14:paraId="0D749EE2">
            <w:pPr>
              <w:widowControl w:val="0"/>
              <w:spacing w:line="240" w:lineRule="auto"/>
              <w:ind w:firstLine="0" w:firstLineChars="0"/>
              <w:jc w:val="center"/>
              <w:rPr>
                <w:color w:val="000000"/>
                <w:sz w:val="13"/>
                <w:szCs w:val="13"/>
                <w:u w:val="none"/>
              </w:rPr>
            </w:pPr>
          </w:p>
        </w:tc>
        <w:tc>
          <w:tcPr>
            <w:tcW w:w="567" w:type="dxa"/>
            <w:noWrap w:val="0"/>
            <w:tcMar>
              <w:top w:w="15" w:type="dxa"/>
              <w:left w:w="15" w:type="dxa"/>
              <w:bottom w:w="15" w:type="dxa"/>
              <w:right w:w="15" w:type="dxa"/>
            </w:tcMar>
            <w:vAlign w:val="center"/>
          </w:tcPr>
          <w:p w14:paraId="45F583AF">
            <w:pPr>
              <w:widowControl w:val="0"/>
              <w:spacing w:line="240" w:lineRule="auto"/>
              <w:ind w:firstLine="0" w:firstLineChars="0"/>
              <w:jc w:val="center"/>
              <w:rPr>
                <w:color w:val="000000"/>
                <w:sz w:val="13"/>
                <w:szCs w:val="13"/>
                <w:u w:val="none"/>
              </w:rPr>
            </w:pPr>
            <w:r>
              <w:rPr>
                <w:rFonts w:hint="eastAsia"/>
                <w:color w:val="000000"/>
                <w:sz w:val="13"/>
                <w:szCs w:val="13"/>
                <w:u w:val="none"/>
              </w:rPr>
              <w:t>超标倍数</w:t>
            </w:r>
          </w:p>
        </w:tc>
        <w:tc>
          <w:tcPr>
            <w:tcW w:w="709" w:type="dxa"/>
            <w:noWrap w:val="0"/>
            <w:tcMar>
              <w:top w:w="15" w:type="dxa"/>
              <w:left w:w="15" w:type="dxa"/>
              <w:bottom w:w="15" w:type="dxa"/>
              <w:right w:w="15" w:type="dxa"/>
            </w:tcMar>
            <w:vAlign w:val="center"/>
          </w:tcPr>
          <w:p w14:paraId="4E9B8469">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3B2DD301">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52D3FED6">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45909E72">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3E228B5C">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4C0DB2C9">
            <w:pPr>
              <w:widowControl w:val="0"/>
              <w:spacing w:line="240" w:lineRule="auto"/>
              <w:ind w:firstLine="0" w:firstLineChars="0"/>
              <w:jc w:val="center"/>
              <w:rPr>
                <w:color w:val="000000"/>
                <w:sz w:val="13"/>
                <w:szCs w:val="13"/>
                <w:u w:val="none"/>
              </w:rPr>
            </w:pPr>
            <w:r>
              <w:rPr>
                <w:color w:val="000000"/>
                <w:sz w:val="13"/>
                <w:szCs w:val="13"/>
                <w:u w:val="none"/>
              </w:rPr>
              <w:t>/</w:t>
            </w:r>
          </w:p>
        </w:tc>
        <w:tc>
          <w:tcPr>
            <w:tcW w:w="850" w:type="dxa"/>
            <w:noWrap w:val="0"/>
            <w:tcMar>
              <w:top w:w="15" w:type="dxa"/>
              <w:left w:w="15" w:type="dxa"/>
              <w:bottom w:w="15" w:type="dxa"/>
              <w:right w:w="15" w:type="dxa"/>
            </w:tcMar>
            <w:vAlign w:val="center"/>
          </w:tcPr>
          <w:p w14:paraId="3F2AAAF9">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5DDA838F">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2AEC5D54">
            <w:pPr>
              <w:widowControl w:val="0"/>
              <w:spacing w:line="240" w:lineRule="auto"/>
              <w:ind w:firstLine="0" w:firstLineChars="0"/>
              <w:jc w:val="center"/>
              <w:rPr>
                <w:color w:val="000000"/>
                <w:sz w:val="13"/>
                <w:szCs w:val="13"/>
                <w:u w:val="none"/>
              </w:rPr>
            </w:pPr>
            <w:r>
              <w:rPr>
                <w:color w:val="000000"/>
                <w:sz w:val="13"/>
                <w:szCs w:val="13"/>
                <w:u w:val="none"/>
              </w:rPr>
              <w:t>/</w:t>
            </w:r>
          </w:p>
        </w:tc>
        <w:tc>
          <w:tcPr>
            <w:tcW w:w="851" w:type="dxa"/>
            <w:noWrap w:val="0"/>
            <w:tcMar>
              <w:top w:w="15" w:type="dxa"/>
              <w:left w:w="15" w:type="dxa"/>
              <w:bottom w:w="15" w:type="dxa"/>
              <w:right w:w="15" w:type="dxa"/>
            </w:tcMar>
            <w:vAlign w:val="center"/>
          </w:tcPr>
          <w:p w14:paraId="62ED110E">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4D0AB688">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3C7CAC76">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9AD5207">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351A993A">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07C87966">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7DF5DE6D">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3101AA57">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9478ECF">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0EEFED76">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17FF1948">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0446CC22">
            <w:pPr>
              <w:widowControl w:val="0"/>
              <w:spacing w:line="240" w:lineRule="auto"/>
              <w:ind w:firstLine="0" w:firstLineChars="0"/>
              <w:jc w:val="center"/>
              <w:rPr>
                <w:color w:val="000000"/>
                <w:sz w:val="13"/>
                <w:szCs w:val="13"/>
                <w:u w:val="none"/>
              </w:rPr>
            </w:pPr>
          </w:p>
        </w:tc>
      </w:tr>
      <w:tr w14:paraId="00433B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284" w:type="dxa"/>
            <w:vMerge w:val="continue"/>
            <w:tcBorders>
              <w:right w:val="single" w:color="auto" w:sz="4" w:space="0"/>
            </w:tcBorders>
            <w:noWrap w:val="0"/>
            <w:tcMar>
              <w:top w:w="15" w:type="dxa"/>
              <w:left w:w="15" w:type="dxa"/>
              <w:bottom w:w="15" w:type="dxa"/>
              <w:right w:w="15" w:type="dxa"/>
            </w:tcMar>
            <w:vAlign w:val="center"/>
          </w:tcPr>
          <w:p w14:paraId="002AC1FF">
            <w:pPr>
              <w:widowControl w:val="0"/>
              <w:spacing w:line="240" w:lineRule="auto"/>
              <w:ind w:firstLine="0" w:firstLineChars="0"/>
              <w:jc w:val="center"/>
              <w:rPr>
                <w:color w:val="000000"/>
                <w:sz w:val="13"/>
                <w:szCs w:val="13"/>
                <w:u w:val="none"/>
              </w:rPr>
            </w:pPr>
          </w:p>
        </w:tc>
        <w:tc>
          <w:tcPr>
            <w:tcW w:w="567" w:type="dxa"/>
            <w:vMerge w:val="restart"/>
            <w:tcBorders>
              <w:left w:val="single" w:color="auto" w:sz="4" w:space="0"/>
            </w:tcBorders>
            <w:noWrap w:val="0"/>
            <w:vAlign w:val="center"/>
          </w:tcPr>
          <w:p w14:paraId="4B225D28">
            <w:pPr>
              <w:widowControl w:val="0"/>
              <w:spacing w:line="240" w:lineRule="auto"/>
              <w:ind w:firstLine="0" w:firstLineChars="0"/>
              <w:jc w:val="center"/>
              <w:rPr>
                <w:color w:val="000000"/>
                <w:sz w:val="13"/>
                <w:szCs w:val="13"/>
                <w:u w:val="none"/>
              </w:rPr>
            </w:pPr>
            <w:r>
              <w:rPr>
                <w:rFonts w:hint="eastAsia"/>
                <w:color w:val="000000"/>
                <w:sz w:val="13"/>
                <w:szCs w:val="13"/>
                <w:u w:val="none"/>
              </w:rPr>
              <w:t>20</w:t>
            </w:r>
            <w:r>
              <w:rPr>
                <w:rFonts w:hint="eastAsia"/>
                <w:color w:val="000000"/>
                <w:sz w:val="13"/>
                <w:szCs w:val="13"/>
                <w:u w:val="none"/>
                <w:lang w:val="en-US" w:eastAsia="zh-CN"/>
              </w:rPr>
              <w:t>22</w:t>
            </w:r>
          </w:p>
        </w:tc>
        <w:tc>
          <w:tcPr>
            <w:tcW w:w="567" w:type="dxa"/>
            <w:noWrap w:val="0"/>
            <w:tcMar>
              <w:top w:w="15" w:type="dxa"/>
              <w:left w:w="15" w:type="dxa"/>
              <w:bottom w:w="15" w:type="dxa"/>
              <w:right w:w="15" w:type="dxa"/>
            </w:tcMar>
            <w:vAlign w:val="center"/>
          </w:tcPr>
          <w:p w14:paraId="3276964D">
            <w:pPr>
              <w:widowControl w:val="0"/>
              <w:spacing w:line="240" w:lineRule="auto"/>
              <w:ind w:firstLine="0" w:firstLineChars="0"/>
              <w:jc w:val="center"/>
              <w:rPr>
                <w:color w:val="000000"/>
                <w:sz w:val="13"/>
                <w:szCs w:val="13"/>
                <w:u w:val="none"/>
              </w:rPr>
            </w:pPr>
            <w:r>
              <w:rPr>
                <w:rFonts w:hint="eastAsia"/>
                <w:color w:val="000000"/>
                <w:sz w:val="13"/>
                <w:szCs w:val="13"/>
                <w:u w:val="none"/>
              </w:rPr>
              <w:t>年均值</w:t>
            </w:r>
          </w:p>
        </w:tc>
        <w:tc>
          <w:tcPr>
            <w:tcW w:w="709" w:type="dxa"/>
            <w:noWrap w:val="0"/>
            <w:tcMar>
              <w:top w:w="15" w:type="dxa"/>
              <w:left w:w="15" w:type="dxa"/>
              <w:bottom w:w="15" w:type="dxa"/>
              <w:right w:w="15" w:type="dxa"/>
            </w:tcMar>
            <w:vAlign w:val="center"/>
          </w:tcPr>
          <w:p w14:paraId="262C5E7F">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 xml:space="preserve">7.7 </w:t>
            </w:r>
          </w:p>
        </w:tc>
        <w:tc>
          <w:tcPr>
            <w:tcW w:w="567" w:type="dxa"/>
            <w:noWrap w:val="0"/>
            <w:tcMar>
              <w:top w:w="15" w:type="dxa"/>
              <w:left w:w="15" w:type="dxa"/>
              <w:bottom w:w="15" w:type="dxa"/>
              <w:right w:w="15" w:type="dxa"/>
            </w:tcMar>
            <w:vAlign w:val="center"/>
          </w:tcPr>
          <w:p w14:paraId="20F83D0B">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7.5 </w:t>
            </w:r>
          </w:p>
        </w:tc>
        <w:tc>
          <w:tcPr>
            <w:tcW w:w="567" w:type="dxa"/>
            <w:noWrap w:val="0"/>
            <w:tcMar>
              <w:top w:w="15" w:type="dxa"/>
              <w:left w:w="15" w:type="dxa"/>
              <w:bottom w:w="15" w:type="dxa"/>
              <w:right w:w="15" w:type="dxa"/>
            </w:tcMar>
            <w:vAlign w:val="center"/>
          </w:tcPr>
          <w:p w14:paraId="310318F6">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1.7 </w:t>
            </w:r>
          </w:p>
        </w:tc>
        <w:tc>
          <w:tcPr>
            <w:tcW w:w="567" w:type="dxa"/>
            <w:noWrap w:val="0"/>
            <w:tcMar>
              <w:top w:w="15" w:type="dxa"/>
              <w:left w:w="15" w:type="dxa"/>
              <w:bottom w:w="15" w:type="dxa"/>
              <w:right w:w="15" w:type="dxa"/>
            </w:tcMar>
            <w:vAlign w:val="center"/>
          </w:tcPr>
          <w:p w14:paraId="0EC3EDFD">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12.5</w:t>
            </w:r>
          </w:p>
        </w:tc>
        <w:tc>
          <w:tcPr>
            <w:tcW w:w="709" w:type="dxa"/>
            <w:noWrap w:val="0"/>
            <w:tcMar>
              <w:top w:w="15" w:type="dxa"/>
              <w:left w:w="15" w:type="dxa"/>
              <w:bottom w:w="15" w:type="dxa"/>
              <w:right w:w="15" w:type="dxa"/>
            </w:tcMar>
            <w:vAlign w:val="center"/>
          </w:tcPr>
          <w:p w14:paraId="78A22A62">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1.45</w:t>
            </w:r>
          </w:p>
        </w:tc>
        <w:tc>
          <w:tcPr>
            <w:tcW w:w="709" w:type="dxa"/>
            <w:noWrap w:val="0"/>
            <w:tcMar>
              <w:top w:w="15" w:type="dxa"/>
              <w:left w:w="15" w:type="dxa"/>
              <w:bottom w:w="15" w:type="dxa"/>
              <w:right w:w="15" w:type="dxa"/>
            </w:tcMar>
            <w:vAlign w:val="center"/>
          </w:tcPr>
          <w:p w14:paraId="60346B41">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0.48 </w:t>
            </w:r>
          </w:p>
        </w:tc>
        <w:tc>
          <w:tcPr>
            <w:tcW w:w="850" w:type="dxa"/>
            <w:noWrap w:val="0"/>
            <w:tcMar>
              <w:top w:w="15" w:type="dxa"/>
              <w:left w:w="15" w:type="dxa"/>
              <w:bottom w:w="15" w:type="dxa"/>
              <w:right w:w="15" w:type="dxa"/>
            </w:tcMar>
            <w:vAlign w:val="center"/>
          </w:tcPr>
          <w:p w14:paraId="559852B0">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0.056 </w:t>
            </w:r>
          </w:p>
        </w:tc>
        <w:tc>
          <w:tcPr>
            <w:tcW w:w="567" w:type="dxa"/>
            <w:noWrap w:val="0"/>
            <w:tcMar>
              <w:top w:w="15" w:type="dxa"/>
              <w:left w:w="15" w:type="dxa"/>
              <w:bottom w:w="15" w:type="dxa"/>
              <w:right w:w="15" w:type="dxa"/>
            </w:tcMar>
            <w:vAlign w:val="center"/>
          </w:tcPr>
          <w:p w14:paraId="24CAE782">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0.002 </w:t>
            </w:r>
          </w:p>
        </w:tc>
        <w:tc>
          <w:tcPr>
            <w:tcW w:w="567" w:type="dxa"/>
            <w:noWrap w:val="0"/>
            <w:tcMar>
              <w:top w:w="15" w:type="dxa"/>
              <w:left w:w="15" w:type="dxa"/>
              <w:bottom w:w="15" w:type="dxa"/>
              <w:right w:w="15" w:type="dxa"/>
            </w:tcMar>
            <w:vAlign w:val="center"/>
          </w:tcPr>
          <w:p w14:paraId="40437BDE">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0.030 </w:t>
            </w:r>
          </w:p>
        </w:tc>
        <w:tc>
          <w:tcPr>
            <w:tcW w:w="851" w:type="dxa"/>
            <w:noWrap w:val="0"/>
            <w:tcMar>
              <w:top w:w="15" w:type="dxa"/>
              <w:left w:w="15" w:type="dxa"/>
              <w:bottom w:w="15" w:type="dxa"/>
              <w:right w:w="15" w:type="dxa"/>
            </w:tcMar>
            <w:vAlign w:val="center"/>
          </w:tcPr>
          <w:p w14:paraId="175DFE45">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0.124 </w:t>
            </w:r>
          </w:p>
        </w:tc>
        <w:tc>
          <w:tcPr>
            <w:tcW w:w="567" w:type="dxa"/>
            <w:noWrap w:val="0"/>
            <w:tcMar>
              <w:top w:w="15" w:type="dxa"/>
              <w:left w:w="15" w:type="dxa"/>
              <w:bottom w:w="15" w:type="dxa"/>
              <w:right w:w="15" w:type="dxa"/>
            </w:tcMar>
            <w:vAlign w:val="center"/>
          </w:tcPr>
          <w:p w14:paraId="05B4FB77">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0.0001 </w:t>
            </w:r>
          </w:p>
        </w:tc>
        <w:tc>
          <w:tcPr>
            <w:tcW w:w="992" w:type="dxa"/>
            <w:noWrap w:val="0"/>
            <w:tcMar>
              <w:top w:w="15" w:type="dxa"/>
              <w:left w:w="15" w:type="dxa"/>
              <w:bottom w:w="15" w:type="dxa"/>
              <w:right w:w="15" w:type="dxa"/>
            </w:tcMar>
            <w:vAlign w:val="center"/>
          </w:tcPr>
          <w:p w14:paraId="22F77813">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0.0004 </w:t>
            </w:r>
          </w:p>
        </w:tc>
        <w:tc>
          <w:tcPr>
            <w:tcW w:w="567" w:type="dxa"/>
            <w:noWrap w:val="0"/>
            <w:tcMar>
              <w:top w:w="15" w:type="dxa"/>
              <w:left w:w="15" w:type="dxa"/>
              <w:bottom w:w="15" w:type="dxa"/>
              <w:right w:w="15" w:type="dxa"/>
            </w:tcMar>
            <w:vAlign w:val="center"/>
          </w:tcPr>
          <w:p w14:paraId="1E2E2B31">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0.00004L</w:t>
            </w:r>
          </w:p>
        </w:tc>
        <w:tc>
          <w:tcPr>
            <w:tcW w:w="992" w:type="dxa"/>
            <w:noWrap w:val="0"/>
            <w:tcMar>
              <w:top w:w="15" w:type="dxa"/>
              <w:left w:w="15" w:type="dxa"/>
              <w:bottom w:w="15" w:type="dxa"/>
              <w:right w:w="15" w:type="dxa"/>
            </w:tcMar>
            <w:vAlign w:val="center"/>
          </w:tcPr>
          <w:p w14:paraId="7E49CD7D">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0.000 </w:t>
            </w:r>
          </w:p>
        </w:tc>
        <w:tc>
          <w:tcPr>
            <w:tcW w:w="992" w:type="dxa"/>
            <w:noWrap w:val="0"/>
            <w:tcMar>
              <w:top w:w="15" w:type="dxa"/>
              <w:left w:w="15" w:type="dxa"/>
              <w:bottom w:w="15" w:type="dxa"/>
              <w:right w:w="15" w:type="dxa"/>
            </w:tcMar>
            <w:vAlign w:val="center"/>
          </w:tcPr>
          <w:p w14:paraId="4D366081">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0.0003 </w:t>
            </w:r>
          </w:p>
        </w:tc>
        <w:tc>
          <w:tcPr>
            <w:tcW w:w="567" w:type="dxa"/>
            <w:noWrap w:val="0"/>
            <w:tcMar>
              <w:top w:w="15" w:type="dxa"/>
              <w:left w:w="15" w:type="dxa"/>
              <w:bottom w:w="15" w:type="dxa"/>
              <w:right w:w="15" w:type="dxa"/>
            </w:tcMar>
            <w:vAlign w:val="center"/>
          </w:tcPr>
          <w:p w14:paraId="4E43C77F">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0.0004 </w:t>
            </w:r>
          </w:p>
        </w:tc>
        <w:tc>
          <w:tcPr>
            <w:tcW w:w="567" w:type="dxa"/>
            <w:noWrap w:val="0"/>
            <w:tcMar>
              <w:top w:w="15" w:type="dxa"/>
              <w:left w:w="15" w:type="dxa"/>
              <w:bottom w:w="15" w:type="dxa"/>
              <w:right w:w="15" w:type="dxa"/>
            </w:tcMar>
            <w:vAlign w:val="center"/>
          </w:tcPr>
          <w:p w14:paraId="62D3DB7C">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0.001L</w:t>
            </w:r>
          </w:p>
        </w:tc>
        <w:tc>
          <w:tcPr>
            <w:tcW w:w="567" w:type="dxa"/>
            <w:noWrap w:val="0"/>
            <w:tcMar>
              <w:top w:w="15" w:type="dxa"/>
              <w:left w:w="15" w:type="dxa"/>
              <w:bottom w:w="15" w:type="dxa"/>
              <w:right w:w="15" w:type="dxa"/>
            </w:tcMar>
            <w:vAlign w:val="center"/>
          </w:tcPr>
          <w:p w14:paraId="5C88DD11">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0.0003L</w:t>
            </w:r>
          </w:p>
        </w:tc>
        <w:tc>
          <w:tcPr>
            <w:tcW w:w="567" w:type="dxa"/>
            <w:noWrap w:val="0"/>
            <w:tcMar>
              <w:top w:w="15" w:type="dxa"/>
              <w:left w:w="15" w:type="dxa"/>
              <w:bottom w:w="15" w:type="dxa"/>
              <w:right w:w="15" w:type="dxa"/>
            </w:tcMar>
            <w:vAlign w:val="center"/>
          </w:tcPr>
          <w:p w14:paraId="023F4030">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0.001 </w:t>
            </w:r>
          </w:p>
        </w:tc>
        <w:tc>
          <w:tcPr>
            <w:tcW w:w="567" w:type="dxa"/>
            <w:noWrap w:val="0"/>
            <w:tcMar>
              <w:top w:w="15" w:type="dxa"/>
              <w:left w:w="15" w:type="dxa"/>
              <w:bottom w:w="15" w:type="dxa"/>
              <w:right w:w="15" w:type="dxa"/>
            </w:tcMar>
            <w:vAlign w:val="center"/>
          </w:tcPr>
          <w:p w14:paraId="337F53F0">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0.003 </w:t>
            </w:r>
          </w:p>
        </w:tc>
        <w:tc>
          <w:tcPr>
            <w:tcW w:w="567" w:type="dxa"/>
            <w:noWrap w:val="0"/>
            <w:tcMar>
              <w:top w:w="15" w:type="dxa"/>
              <w:left w:w="15" w:type="dxa"/>
              <w:bottom w:w="15" w:type="dxa"/>
              <w:right w:w="15" w:type="dxa"/>
            </w:tcMar>
            <w:vAlign w:val="center"/>
          </w:tcPr>
          <w:p w14:paraId="4C72514F">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0.001 </w:t>
            </w:r>
          </w:p>
        </w:tc>
      </w:tr>
      <w:tr w14:paraId="0B54FC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284" w:type="dxa"/>
            <w:vMerge w:val="continue"/>
            <w:tcBorders>
              <w:right w:val="single" w:color="auto" w:sz="4" w:space="0"/>
            </w:tcBorders>
            <w:noWrap w:val="0"/>
            <w:vAlign w:val="center"/>
          </w:tcPr>
          <w:p w14:paraId="7FAF19B6">
            <w:pPr>
              <w:widowControl w:val="0"/>
              <w:spacing w:line="240" w:lineRule="auto"/>
              <w:ind w:firstLine="0" w:firstLineChars="0"/>
              <w:jc w:val="center"/>
              <w:rPr>
                <w:color w:val="000000"/>
                <w:sz w:val="13"/>
                <w:szCs w:val="13"/>
                <w:u w:val="none"/>
              </w:rPr>
            </w:pPr>
          </w:p>
        </w:tc>
        <w:tc>
          <w:tcPr>
            <w:tcW w:w="567" w:type="dxa"/>
            <w:vMerge w:val="continue"/>
            <w:tcBorders>
              <w:left w:val="single" w:color="auto" w:sz="4" w:space="0"/>
            </w:tcBorders>
            <w:noWrap w:val="0"/>
            <w:vAlign w:val="center"/>
          </w:tcPr>
          <w:p w14:paraId="65A95594">
            <w:pPr>
              <w:widowControl w:val="0"/>
              <w:spacing w:line="240" w:lineRule="auto"/>
              <w:ind w:firstLine="0" w:firstLineChars="0"/>
              <w:jc w:val="center"/>
              <w:rPr>
                <w:color w:val="000000"/>
                <w:sz w:val="13"/>
                <w:szCs w:val="13"/>
                <w:u w:val="none"/>
              </w:rPr>
            </w:pPr>
          </w:p>
        </w:tc>
        <w:tc>
          <w:tcPr>
            <w:tcW w:w="567" w:type="dxa"/>
            <w:noWrap w:val="0"/>
            <w:tcMar>
              <w:top w:w="15" w:type="dxa"/>
              <w:left w:w="15" w:type="dxa"/>
              <w:bottom w:w="15" w:type="dxa"/>
              <w:right w:w="15" w:type="dxa"/>
            </w:tcMar>
            <w:vAlign w:val="center"/>
          </w:tcPr>
          <w:p w14:paraId="344D3029">
            <w:pPr>
              <w:widowControl w:val="0"/>
              <w:spacing w:line="240" w:lineRule="auto"/>
              <w:ind w:firstLine="0" w:firstLineChars="0"/>
              <w:jc w:val="center"/>
              <w:rPr>
                <w:color w:val="000000"/>
                <w:sz w:val="13"/>
                <w:szCs w:val="13"/>
                <w:u w:val="none"/>
              </w:rPr>
            </w:pPr>
            <w:r>
              <w:rPr>
                <w:rFonts w:hint="eastAsia"/>
                <w:color w:val="000000"/>
                <w:sz w:val="13"/>
                <w:szCs w:val="13"/>
                <w:u w:val="none"/>
              </w:rPr>
              <w:t>超标率%</w:t>
            </w:r>
          </w:p>
        </w:tc>
        <w:tc>
          <w:tcPr>
            <w:tcW w:w="709" w:type="dxa"/>
            <w:noWrap w:val="0"/>
            <w:tcMar>
              <w:top w:w="15" w:type="dxa"/>
              <w:left w:w="15" w:type="dxa"/>
              <w:bottom w:w="15" w:type="dxa"/>
              <w:right w:w="15" w:type="dxa"/>
            </w:tcMar>
            <w:vAlign w:val="center"/>
          </w:tcPr>
          <w:p w14:paraId="2229CA45">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25D900AC">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40DBC890">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4EE788D7">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364690F8">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53B7CE68">
            <w:pPr>
              <w:widowControl w:val="0"/>
              <w:spacing w:line="240" w:lineRule="auto"/>
              <w:ind w:firstLine="0" w:firstLineChars="0"/>
              <w:jc w:val="center"/>
              <w:rPr>
                <w:color w:val="000000"/>
                <w:sz w:val="13"/>
                <w:szCs w:val="13"/>
                <w:u w:val="none"/>
              </w:rPr>
            </w:pPr>
            <w:r>
              <w:rPr>
                <w:color w:val="000000"/>
                <w:sz w:val="13"/>
                <w:szCs w:val="13"/>
                <w:u w:val="none"/>
              </w:rPr>
              <w:t>/</w:t>
            </w:r>
          </w:p>
        </w:tc>
        <w:tc>
          <w:tcPr>
            <w:tcW w:w="850" w:type="dxa"/>
            <w:noWrap w:val="0"/>
            <w:tcMar>
              <w:top w:w="15" w:type="dxa"/>
              <w:left w:w="15" w:type="dxa"/>
              <w:bottom w:w="15" w:type="dxa"/>
              <w:right w:w="15" w:type="dxa"/>
            </w:tcMar>
            <w:vAlign w:val="center"/>
          </w:tcPr>
          <w:p w14:paraId="6F0B637E">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4D743826">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1E92F591">
            <w:pPr>
              <w:widowControl w:val="0"/>
              <w:spacing w:line="240" w:lineRule="auto"/>
              <w:ind w:firstLine="0" w:firstLineChars="0"/>
              <w:jc w:val="center"/>
              <w:rPr>
                <w:color w:val="000000"/>
                <w:sz w:val="13"/>
                <w:szCs w:val="13"/>
                <w:u w:val="none"/>
              </w:rPr>
            </w:pPr>
            <w:r>
              <w:rPr>
                <w:color w:val="000000"/>
                <w:sz w:val="13"/>
                <w:szCs w:val="13"/>
                <w:u w:val="none"/>
              </w:rPr>
              <w:t>/</w:t>
            </w:r>
          </w:p>
        </w:tc>
        <w:tc>
          <w:tcPr>
            <w:tcW w:w="851" w:type="dxa"/>
            <w:noWrap w:val="0"/>
            <w:tcMar>
              <w:top w:w="15" w:type="dxa"/>
              <w:left w:w="15" w:type="dxa"/>
              <w:bottom w:w="15" w:type="dxa"/>
              <w:right w:w="15" w:type="dxa"/>
            </w:tcMar>
            <w:vAlign w:val="center"/>
          </w:tcPr>
          <w:p w14:paraId="723D9585">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AFC93F1">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62442B47">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3321CCEB">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3A27DCB6">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62F929E1">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445BAFE7">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2E4F6FD9">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0597B6EB">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15BDCCF5">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5E3161E9">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4D748679">
            <w:pPr>
              <w:widowControl w:val="0"/>
              <w:spacing w:line="240" w:lineRule="auto"/>
              <w:ind w:firstLine="0" w:firstLineChars="0"/>
              <w:jc w:val="center"/>
              <w:rPr>
                <w:color w:val="000000"/>
                <w:sz w:val="13"/>
                <w:szCs w:val="13"/>
                <w:u w:val="none"/>
              </w:rPr>
            </w:pPr>
          </w:p>
        </w:tc>
      </w:tr>
      <w:tr w14:paraId="0EFE4F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284" w:type="dxa"/>
            <w:vMerge w:val="continue"/>
            <w:tcBorders>
              <w:right w:val="single" w:color="auto" w:sz="4" w:space="0"/>
            </w:tcBorders>
            <w:noWrap w:val="0"/>
            <w:vAlign w:val="center"/>
          </w:tcPr>
          <w:p w14:paraId="47E4ED7F">
            <w:pPr>
              <w:widowControl w:val="0"/>
              <w:spacing w:line="240" w:lineRule="auto"/>
              <w:ind w:firstLine="0" w:firstLineChars="0"/>
              <w:jc w:val="center"/>
              <w:rPr>
                <w:color w:val="000000"/>
                <w:sz w:val="13"/>
                <w:szCs w:val="13"/>
                <w:u w:val="none"/>
              </w:rPr>
            </w:pPr>
          </w:p>
        </w:tc>
        <w:tc>
          <w:tcPr>
            <w:tcW w:w="567" w:type="dxa"/>
            <w:vMerge w:val="continue"/>
            <w:tcBorders>
              <w:left w:val="single" w:color="auto" w:sz="4" w:space="0"/>
            </w:tcBorders>
            <w:noWrap w:val="0"/>
            <w:vAlign w:val="center"/>
          </w:tcPr>
          <w:p w14:paraId="4FFF096E">
            <w:pPr>
              <w:widowControl w:val="0"/>
              <w:spacing w:line="240" w:lineRule="auto"/>
              <w:ind w:firstLine="0" w:firstLineChars="0"/>
              <w:jc w:val="center"/>
              <w:rPr>
                <w:color w:val="000000"/>
                <w:sz w:val="13"/>
                <w:szCs w:val="13"/>
                <w:u w:val="none"/>
              </w:rPr>
            </w:pPr>
          </w:p>
        </w:tc>
        <w:tc>
          <w:tcPr>
            <w:tcW w:w="567" w:type="dxa"/>
            <w:noWrap w:val="0"/>
            <w:tcMar>
              <w:top w:w="15" w:type="dxa"/>
              <w:left w:w="15" w:type="dxa"/>
              <w:bottom w:w="15" w:type="dxa"/>
              <w:right w:w="15" w:type="dxa"/>
            </w:tcMar>
            <w:vAlign w:val="center"/>
          </w:tcPr>
          <w:p w14:paraId="79CE2683">
            <w:pPr>
              <w:widowControl w:val="0"/>
              <w:spacing w:line="240" w:lineRule="auto"/>
              <w:ind w:firstLine="0" w:firstLineChars="0"/>
              <w:jc w:val="center"/>
              <w:rPr>
                <w:color w:val="000000"/>
                <w:sz w:val="13"/>
                <w:szCs w:val="13"/>
                <w:u w:val="none"/>
              </w:rPr>
            </w:pPr>
            <w:r>
              <w:rPr>
                <w:rFonts w:hint="eastAsia"/>
                <w:color w:val="000000"/>
                <w:sz w:val="13"/>
                <w:szCs w:val="13"/>
                <w:u w:val="none"/>
              </w:rPr>
              <w:t>超标倍数</w:t>
            </w:r>
          </w:p>
        </w:tc>
        <w:tc>
          <w:tcPr>
            <w:tcW w:w="709" w:type="dxa"/>
            <w:noWrap w:val="0"/>
            <w:tcMar>
              <w:top w:w="15" w:type="dxa"/>
              <w:left w:w="15" w:type="dxa"/>
              <w:bottom w:w="15" w:type="dxa"/>
              <w:right w:w="15" w:type="dxa"/>
            </w:tcMar>
            <w:vAlign w:val="center"/>
          </w:tcPr>
          <w:p w14:paraId="66B80E04">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B1F797F">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0C9F2A80">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78523F53">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25E763C3">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02D687C5">
            <w:pPr>
              <w:widowControl w:val="0"/>
              <w:spacing w:line="240" w:lineRule="auto"/>
              <w:ind w:firstLine="0" w:firstLineChars="0"/>
              <w:jc w:val="center"/>
              <w:rPr>
                <w:color w:val="000000"/>
                <w:sz w:val="13"/>
                <w:szCs w:val="13"/>
                <w:u w:val="none"/>
              </w:rPr>
            </w:pPr>
            <w:r>
              <w:rPr>
                <w:color w:val="000000"/>
                <w:sz w:val="13"/>
                <w:szCs w:val="13"/>
                <w:u w:val="none"/>
              </w:rPr>
              <w:t>/</w:t>
            </w:r>
          </w:p>
        </w:tc>
        <w:tc>
          <w:tcPr>
            <w:tcW w:w="850" w:type="dxa"/>
            <w:noWrap w:val="0"/>
            <w:tcMar>
              <w:top w:w="15" w:type="dxa"/>
              <w:left w:w="15" w:type="dxa"/>
              <w:bottom w:w="15" w:type="dxa"/>
              <w:right w:w="15" w:type="dxa"/>
            </w:tcMar>
            <w:vAlign w:val="center"/>
          </w:tcPr>
          <w:p w14:paraId="03F0F572">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008227FD">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457C3852">
            <w:pPr>
              <w:widowControl w:val="0"/>
              <w:spacing w:line="240" w:lineRule="auto"/>
              <w:ind w:firstLine="0" w:firstLineChars="0"/>
              <w:jc w:val="center"/>
              <w:rPr>
                <w:color w:val="000000"/>
                <w:sz w:val="13"/>
                <w:szCs w:val="13"/>
                <w:u w:val="none"/>
              </w:rPr>
            </w:pPr>
            <w:r>
              <w:rPr>
                <w:color w:val="000000"/>
                <w:sz w:val="13"/>
                <w:szCs w:val="13"/>
                <w:u w:val="none"/>
              </w:rPr>
              <w:t>/</w:t>
            </w:r>
          </w:p>
        </w:tc>
        <w:tc>
          <w:tcPr>
            <w:tcW w:w="851" w:type="dxa"/>
            <w:noWrap w:val="0"/>
            <w:tcMar>
              <w:top w:w="15" w:type="dxa"/>
              <w:left w:w="15" w:type="dxa"/>
              <w:bottom w:w="15" w:type="dxa"/>
              <w:right w:w="15" w:type="dxa"/>
            </w:tcMar>
            <w:vAlign w:val="center"/>
          </w:tcPr>
          <w:p w14:paraId="0FCBF2C7">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007BE40F">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187DC928">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44F37C6">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7EAE1B41">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47448326">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1E713973">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FFAF702">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779E7D0C">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51C3C2DC">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23EB0A8A">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79D9FF21">
            <w:pPr>
              <w:widowControl w:val="0"/>
              <w:spacing w:line="240" w:lineRule="auto"/>
              <w:ind w:firstLine="0" w:firstLineChars="0"/>
              <w:jc w:val="center"/>
              <w:rPr>
                <w:color w:val="000000"/>
                <w:sz w:val="13"/>
                <w:szCs w:val="13"/>
                <w:u w:val="none"/>
              </w:rPr>
            </w:pPr>
          </w:p>
        </w:tc>
      </w:tr>
      <w:tr w14:paraId="603C04C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284" w:type="dxa"/>
            <w:vMerge w:val="continue"/>
            <w:tcBorders>
              <w:right w:val="single" w:color="auto" w:sz="4" w:space="0"/>
            </w:tcBorders>
            <w:noWrap w:val="0"/>
            <w:tcMar>
              <w:top w:w="15" w:type="dxa"/>
              <w:left w:w="15" w:type="dxa"/>
              <w:bottom w:w="15" w:type="dxa"/>
              <w:right w:w="15" w:type="dxa"/>
            </w:tcMar>
            <w:vAlign w:val="center"/>
          </w:tcPr>
          <w:p w14:paraId="509C3C3E">
            <w:pPr>
              <w:widowControl w:val="0"/>
              <w:spacing w:line="240" w:lineRule="auto"/>
              <w:ind w:firstLine="0" w:firstLineChars="0"/>
              <w:jc w:val="center"/>
              <w:rPr>
                <w:color w:val="000000"/>
                <w:sz w:val="13"/>
                <w:szCs w:val="13"/>
                <w:u w:val="none"/>
              </w:rPr>
            </w:pPr>
          </w:p>
        </w:tc>
        <w:tc>
          <w:tcPr>
            <w:tcW w:w="567" w:type="dxa"/>
            <w:vMerge w:val="restart"/>
            <w:tcBorders>
              <w:left w:val="single" w:color="auto" w:sz="4" w:space="0"/>
            </w:tcBorders>
            <w:noWrap w:val="0"/>
            <w:vAlign w:val="center"/>
          </w:tcPr>
          <w:p w14:paraId="2E851AD1">
            <w:pPr>
              <w:widowControl w:val="0"/>
              <w:spacing w:line="240" w:lineRule="auto"/>
              <w:ind w:firstLine="0" w:firstLineChars="0"/>
              <w:jc w:val="center"/>
              <w:rPr>
                <w:color w:val="000000"/>
                <w:sz w:val="13"/>
                <w:szCs w:val="13"/>
                <w:u w:val="none"/>
              </w:rPr>
            </w:pPr>
            <w:r>
              <w:rPr>
                <w:rFonts w:hint="eastAsia"/>
                <w:color w:val="000000"/>
                <w:sz w:val="13"/>
                <w:szCs w:val="13"/>
                <w:u w:val="none"/>
              </w:rPr>
              <w:t>20</w:t>
            </w:r>
            <w:r>
              <w:rPr>
                <w:rFonts w:hint="eastAsia"/>
                <w:color w:val="000000"/>
                <w:sz w:val="13"/>
                <w:szCs w:val="13"/>
                <w:u w:val="none"/>
                <w:lang w:val="en-US" w:eastAsia="zh-CN"/>
              </w:rPr>
              <w:t>23</w:t>
            </w:r>
          </w:p>
        </w:tc>
        <w:tc>
          <w:tcPr>
            <w:tcW w:w="567" w:type="dxa"/>
            <w:noWrap w:val="0"/>
            <w:tcMar>
              <w:top w:w="15" w:type="dxa"/>
              <w:left w:w="15" w:type="dxa"/>
              <w:bottom w:w="15" w:type="dxa"/>
              <w:right w:w="15" w:type="dxa"/>
            </w:tcMar>
            <w:vAlign w:val="center"/>
          </w:tcPr>
          <w:p w14:paraId="59983CCB">
            <w:pPr>
              <w:widowControl w:val="0"/>
              <w:spacing w:line="240" w:lineRule="auto"/>
              <w:ind w:firstLine="0" w:firstLineChars="0"/>
              <w:jc w:val="center"/>
              <w:rPr>
                <w:color w:val="000000"/>
                <w:sz w:val="13"/>
                <w:szCs w:val="13"/>
                <w:u w:val="none"/>
              </w:rPr>
            </w:pPr>
            <w:r>
              <w:rPr>
                <w:rFonts w:hint="eastAsia"/>
                <w:color w:val="000000"/>
                <w:sz w:val="13"/>
                <w:szCs w:val="13"/>
                <w:u w:val="none"/>
              </w:rPr>
              <w:t>年均值</w:t>
            </w:r>
          </w:p>
        </w:tc>
        <w:tc>
          <w:tcPr>
            <w:tcW w:w="709" w:type="dxa"/>
            <w:noWrap w:val="0"/>
            <w:tcMar>
              <w:top w:w="15" w:type="dxa"/>
              <w:left w:w="15" w:type="dxa"/>
              <w:bottom w:w="15" w:type="dxa"/>
              <w:right w:w="15" w:type="dxa"/>
            </w:tcMar>
            <w:vAlign w:val="center"/>
          </w:tcPr>
          <w:p w14:paraId="0A364B05">
            <w:pPr>
              <w:widowControl w:val="0"/>
              <w:spacing w:line="240" w:lineRule="auto"/>
              <w:ind w:firstLine="0" w:firstLineChars="0"/>
              <w:jc w:val="center"/>
              <w:rPr>
                <w:color w:val="000000"/>
                <w:sz w:val="13"/>
                <w:szCs w:val="13"/>
                <w:u w:val="none"/>
              </w:rPr>
            </w:pPr>
            <w:r>
              <w:rPr>
                <w:rFonts w:hint="eastAsia"/>
                <w:color w:val="000000"/>
                <w:sz w:val="13"/>
                <w:szCs w:val="13"/>
                <w:u w:val="none"/>
                <w:lang w:val="en-US" w:eastAsia="zh-CN"/>
              </w:rPr>
              <w:t xml:space="preserve">7.9 </w:t>
            </w:r>
          </w:p>
        </w:tc>
        <w:tc>
          <w:tcPr>
            <w:tcW w:w="567" w:type="dxa"/>
            <w:noWrap w:val="0"/>
            <w:tcMar>
              <w:top w:w="15" w:type="dxa"/>
              <w:left w:w="15" w:type="dxa"/>
              <w:bottom w:w="15" w:type="dxa"/>
              <w:right w:w="15" w:type="dxa"/>
            </w:tcMar>
            <w:vAlign w:val="center"/>
          </w:tcPr>
          <w:p w14:paraId="269E145F">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7.6 </w:t>
            </w:r>
          </w:p>
        </w:tc>
        <w:tc>
          <w:tcPr>
            <w:tcW w:w="567" w:type="dxa"/>
            <w:noWrap w:val="0"/>
            <w:tcMar>
              <w:top w:w="15" w:type="dxa"/>
              <w:left w:w="15" w:type="dxa"/>
              <w:bottom w:w="15" w:type="dxa"/>
              <w:right w:w="15" w:type="dxa"/>
            </w:tcMar>
            <w:vAlign w:val="center"/>
          </w:tcPr>
          <w:p w14:paraId="629FD54A">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1.6 </w:t>
            </w:r>
          </w:p>
        </w:tc>
        <w:tc>
          <w:tcPr>
            <w:tcW w:w="567" w:type="dxa"/>
            <w:noWrap w:val="0"/>
            <w:tcMar>
              <w:top w:w="15" w:type="dxa"/>
              <w:left w:w="15" w:type="dxa"/>
              <w:bottom w:w="15" w:type="dxa"/>
              <w:right w:w="15" w:type="dxa"/>
            </w:tcMar>
            <w:vAlign w:val="center"/>
          </w:tcPr>
          <w:p w14:paraId="65182F01">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10</w:t>
            </w:r>
          </w:p>
        </w:tc>
        <w:tc>
          <w:tcPr>
            <w:tcW w:w="709" w:type="dxa"/>
            <w:noWrap w:val="0"/>
            <w:tcMar>
              <w:top w:w="15" w:type="dxa"/>
              <w:left w:w="15" w:type="dxa"/>
              <w:bottom w:w="15" w:type="dxa"/>
              <w:right w:w="15" w:type="dxa"/>
            </w:tcMar>
            <w:vAlign w:val="center"/>
          </w:tcPr>
          <w:p w14:paraId="407AF1CF">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2.03 </w:t>
            </w:r>
          </w:p>
        </w:tc>
        <w:tc>
          <w:tcPr>
            <w:tcW w:w="709" w:type="dxa"/>
            <w:noWrap w:val="0"/>
            <w:tcMar>
              <w:top w:w="15" w:type="dxa"/>
              <w:left w:w="15" w:type="dxa"/>
              <w:bottom w:w="15" w:type="dxa"/>
              <w:right w:w="15" w:type="dxa"/>
            </w:tcMar>
            <w:vAlign w:val="center"/>
          </w:tcPr>
          <w:p w14:paraId="6154AF6D">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0.68 </w:t>
            </w:r>
          </w:p>
        </w:tc>
        <w:tc>
          <w:tcPr>
            <w:tcW w:w="850" w:type="dxa"/>
            <w:noWrap w:val="0"/>
            <w:tcMar>
              <w:top w:w="15" w:type="dxa"/>
              <w:left w:w="15" w:type="dxa"/>
              <w:bottom w:w="15" w:type="dxa"/>
              <w:right w:w="15" w:type="dxa"/>
            </w:tcMar>
            <w:vAlign w:val="center"/>
          </w:tcPr>
          <w:p w14:paraId="7D91E6F5">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0.139 </w:t>
            </w:r>
          </w:p>
        </w:tc>
        <w:tc>
          <w:tcPr>
            <w:tcW w:w="567" w:type="dxa"/>
            <w:noWrap w:val="0"/>
            <w:tcMar>
              <w:top w:w="15" w:type="dxa"/>
              <w:left w:w="15" w:type="dxa"/>
              <w:bottom w:w="15" w:type="dxa"/>
              <w:right w:w="15" w:type="dxa"/>
            </w:tcMar>
            <w:vAlign w:val="center"/>
          </w:tcPr>
          <w:p w14:paraId="1E9EAF78">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0.001 </w:t>
            </w:r>
          </w:p>
        </w:tc>
        <w:tc>
          <w:tcPr>
            <w:tcW w:w="567" w:type="dxa"/>
            <w:noWrap w:val="0"/>
            <w:tcMar>
              <w:top w:w="15" w:type="dxa"/>
              <w:left w:w="15" w:type="dxa"/>
              <w:bottom w:w="15" w:type="dxa"/>
              <w:right w:w="15" w:type="dxa"/>
            </w:tcMar>
            <w:vAlign w:val="center"/>
          </w:tcPr>
          <w:p w14:paraId="15D35D88">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0.004 </w:t>
            </w:r>
          </w:p>
        </w:tc>
        <w:tc>
          <w:tcPr>
            <w:tcW w:w="851" w:type="dxa"/>
            <w:noWrap w:val="0"/>
            <w:tcMar>
              <w:top w:w="15" w:type="dxa"/>
              <w:left w:w="15" w:type="dxa"/>
              <w:bottom w:w="15" w:type="dxa"/>
              <w:right w:w="15" w:type="dxa"/>
            </w:tcMar>
            <w:vAlign w:val="center"/>
          </w:tcPr>
          <w:p w14:paraId="05AC07A3">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0.122 </w:t>
            </w:r>
          </w:p>
        </w:tc>
        <w:tc>
          <w:tcPr>
            <w:tcW w:w="567" w:type="dxa"/>
            <w:noWrap w:val="0"/>
            <w:tcMar>
              <w:top w:w="15" w:type="dxa"/>
              <w:left w:w="15" w:type="dxa"/>
              <w:bottom w:w="15" w:type="dxa"/>
              <w:right w:w="15" w:type="dxa"/>
            </w:tcMar>
            <w:vAlign w:val="center"/>
          </w:tcPr>
          <w:p w14:paraId="69A59898">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0.0004L</w:t>
            </w:r>
          </w:p>
        </w:tc>
        <w:tc>
          <w:tcPr>
            <w:tcW w:w="992" w:type="dxa"/>
            <w:noWrap w:val="0"/>
            <w:tcMar>
              <w:top w:w="15" w:type="dxa"/>
              <w:left w:w="15" w:type="dxa"/>
              <w:bottom w:w="15" w:type="dxa"/>
              <w:right w:w="15" w:type="dxa"/>
            </w:tcMar>
            <w:vAlign w:val="center"/>
          </w:tcPr>
          <w:p w14:paraId="3F4912DA">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0.0001 </w:t>
            </w:r>
          </w:p>
        </w:tc>
        <w:tc>
          <w:tcPr>
            <w:tcW w:w="567" w:type="dxa"/>
            <w:noWrap w:val="0"/>
            <w:tcMar>
              <w:top w:w="15" w:type="dxa"/>
              <w:left w:w="15" w:type="dxa"/>
              <w:bottom w:w="15" w:type="dxa"/>
              <w:right w:w="15" w:type="dxa"/>
            </w:tcMar>
            <w:vAlign w:val="center"/>
          </w:tcPr>
          <w:p w14:paraId="3A6BE236">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0.00004L</w:t>
            </w:r>
          </w:p>
        </w:tc>
        <w:tc>
          <w:tcPr>
            <w:tcW w:w="992" w:type="dxa"/>
            <w:noWrap w:val="0"/>
            <w:tcMar>
              <w:top w:w="15" w:type="dxa"/>
              <w:left w:w="15" w:type="dxa"/>
              <w:bottom w:w="15" w:type="dxa"/>
              <w:right w:w="15" w:type="dxa"/>
            </w:tcMar>
            <w:vAlign w:val="center"/>
          </w:tcPr>
          <w:p w14:paraId="478EE6D9">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0.00005L</w:t>
            </w:r>
          </w:p>
        </w:tc>
        <w:tc>
          <w:tcPr>
            <w:tcW w:w="992" w:type="dxa"/>
            <w:noWrap w:val="0"/>
            <w:tcMar>
              <w:top w:w="15" w:type="dxa"/>
              <w:left w:w="15" w:type="dxa"/>
              <w:bottom w:w="15" w:type="dxa"/>
              <w:right w:w="15" w:type="dxa"/>
            </w:tcMar>
            <w:vAlign w:val="center"/>
          </w:tcPr>
          <w:p w14:paraId="554467D1">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0.004L</w:t>
            </w:r>
          </w:p>
        </w:tc>
        <w:tc>
          <w:tcPr>
            <w:tcW w:w="567" w:type="dxa"/>
            <w:noWrap w:val="0"/>
            <w:tcMar>
              <w:top w:w="15" w:type="dxa"/>
              <w:left w:w="15" w:type="dxa"/>
              <w:bottom w:w="15" w:type="dxa"/>
              <w:right w:w="15" w:type="dxa"/>
            </w:tcMar>
            <w:vAlign w:val="center"/>
          </w:tcPr>
          <w:p w14:paraId="6D25B58B">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0.0002 </w:t>
            </w:r>
          </w:p>
        </w:tc>
        <w:tc>
          <w:tcPr>
            <w:tcW w:w="567" w:type="dxa"/>
            <w:noWrap w:val="0"/>
            <w:tcMar>
              <w:top w:w="15" w:type="dxa"/>
              <w:left w:w="15" w:type="dxa"/>
              <w:bottom w:w="15" w:type="dxa"/>
              <w:right w:w="15" w:type="dxa"/>
            </w:tcMar>
            <w:vAlign w:val="center"/>
          </w:tcPr>
          <w:p w14:paraId="5B3797BB">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0.001L</w:t>
            </w:r>
          </w:p>
        </w:tc>
        <w:tc>
          <w:tcPr>
            <w:tcW w:w="567" w:type="dxa"/>
            <w:noWrap w:val="0"/>
            <w:tcMar>
              <w:top w:w="15" w:type="dxa"/>
              <w:left w:w="15" w:type="dxa"/>
              <w:bottom w:w="15" w:type="dxa"/>
              <w:right w:w="15" w:type="dxa"/>
            </w:tcMar>
            <w:vAlign w:val="center"/>
          </w:tcPr>
          <w:p w14:paraId="6C0C584B">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0.0003L</w:t>
            </w:r>
          </w:p>
        </w:tc>
        <w:tc>
          <w:tcPr>
            <w:tcW w:w="567" w:type="dxa"/>
            <w:noWrap w:val="0"/>
            <w:tcMar>
              <w:top w:w="15" w:type="dxa"/>
              <w:left w:w="15" w:type="dxa"/>
              <w:bottom w:w="15" w:type="dxa"/>
              <w:right w:w="15" w:type="dxa"/>
            </w:tcMar>
            <w:vAlign w:val="center"/>
          </w:tcPr>
          <w:p w14:paraId="7E4B7941">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0.003 </w:t>
            </w:r>
          </w:p>
        </w:tc>
        <w:tc>
          <w:tcPr>
            <w:tcW w:w="567" w:type="dxa"/>
            <w:noWrap w:val="0"/>
            <w:tcMar>
              <w:top w:w="15" w:type="dxa"/>
              <w:left w:w="15" w:type="dxa"/>
              <w:bottom w:w="15" w:type="dxa"/>
              <w:right w:w="15" w:type="dxa"/>
            </w:tcMar>
            <w:vAlign w:val="center"/>
          </w:tcPr>
          <w:p w14:paraId="750F97F3">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 xml:space="preserve">0.008 </w:t>
            </w:r>
          </w:p>
        </w:tc>
        <w:tc>
          <w:tcPr>
            <w:tcW w:w="567" w:type="dxa"/>
            <w:noWrap w:val="0"/>
            <w:tcMar>
              <w:top w:w="15" w:type="dxa"/>
              <w:left w:w="15" w:type="dxa"/>
              <w:bottom w:w="15" w:type="dxa"/>
              <w:right w:w="15" w:type="dxa"/>
            </w:tcMar>
            <w:vAlign w:val="center"/>
          </w:tcPr>
          <w:p w14:paraId="127F38D3">
            <w:pPr>
              <w:widowControl w:val="0"/>
              <w:spacing w:line="240" w:lineRule="auto"/>
              <w:ind w:firstLine="0" w:firstLineChars="0"/>
              <w:jc w:val="center"/>
              <w:rPr>
                <w:rFonts w:hint="eastAsia"/>
                <w:color w:val="000000"/>
                <w:sz w:val="13"/>
                <w:szCs w:val="13"/>
                <w:u w:val="none"/>
              </w:rPr>
            </w:pPr>
            <w:r>
              <w:rPr>
                <w:rFonts w:hint="eastAsia"/>
                <w:color w:val="000000"/>
                <w:sz w:val="13"/>
                <w:szCs w:val="13"/>
                <w:u w:val="none"/>
                <w:lang w:val="en-US" w:eastAsia="zh-CN"/>
              </w:rPr>
              <w:t>0.01L</w:t>
            </w:r>
          </w:p>
        </w:tc>
      </w:tr>
      <w:tr w14:paraId="185C0D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284" w:type="dxa"/>
            <w:vMerge w:val="continue"/>
            <w:tcBorders>
              <w:right w:val="single" w:color="auto" w:sz="4" w:space="0"/>
            </w:tcBorders>
            <w:noWrap w:val="0"/>
            <w:vAlign w:val="center"/>
          </w:tcPr>
          <w:p w14:paraId="05E06A5A">
            <w:pPr>
              <w:widowControl w:val="0"/>
              <w:spacing w:line="240" w:lineRule="auto"/>
              <w:ind w:firstLine="0" w:firstLineChars="0"/>
              <w:jc w:val="center"/>
              <w:rPr>
                <w:color w:val="000000"/>
                <w:sz w:val="13"/>
                <w:szCs w:val="13"/>
                <w:u w:val="none"/>
              </w:rPr>
            </w:pPr>
          </w:p>
        </w:tc>
        <w:tc>
          <w:tcPr>
            <w:tcW w:w="567" w:type="dxa"/>
            <w:vMerge w:val="continue"/>
            <w:tcBorders>
              <w:left w:val="single" w:color="auto" w:sz="4" w:space="0"/>
            </w:tcBorders>
            <w:noWrap w:val="0"/>
            <w:vAlign w:val="center"/>
          </w:tcPr>
          <w:p w14:paraId="71AE53DF">
            <w:pPr>
              <w:widowControl w:val="0"/>
              <w:spacing w:line="240" w:lineRule="auto"/>
              <w:ind w:firstLine="0" w:firstLineChars="0"/>
              <w:jc w:val="center"/>
              <w:rPr>
                <w:color w:val="000000"/>
                <w:sz w:val="13"/>
                <w:szCs w:val="13"/>
                <w:u w:val="none"/>
              </w:rPr>
            </w:pPr>
          </w:p>
        </w:tc>
        <w:tc>
          <w:tcPr>
            <w:tcW w:w="567" w:type="dxa"/>
            <w:noWrap w:val="0"/>
            <w:tcMar>
              <w:top w:w="15" w:type="dxa"/>
              <w:left w:w="15" w:type="dxa"/>
              <w:bottom w:w="15" w:type="dxa"/>
              <w:right w:w="15" w:type="dxa"/>
            </w:tcMar>
            <w:vAlign w:val="center"/>
          </w:tcPr>
          <w:p w14:paraId="48820238">
            <w:pPr>
              <w:widowControl w:val="0"/>
              <w:spacing w:line="240" w:lineRule="auto"/>
              <w:ind w:firstLine="0" w:firstLineChars="0"/>
              <w:jc w:val="center"/>
              <w:rPr>
                <w:color w:val="000000"/>
                <w:sz w:val="13"/>
                <w:szCs w:val="13"/>
                <w:u w:val="none"/>
              </w:rPr>
            </w:pPr>
            <w:r>
              <w:rPr>
                <w:rFonts w:hint="eastAsia"/>
                <w:color w:val="000000"/>
                <w:sz w:val="13"/>
                <w:szCs w:val="13"/>
                <w:u w:val="none"/>
              </w:rPr>
              <w:t>超标率%</w:t>
            </w:r>
          </w:p>
        </w:tc>
        <w:tc>
          <w:tcPr>
            <w:tcW w:w="709" w:type="dxa"/>
            <w:noWrap w:val="0"/>
            <w:tcMar>
              <w:top w:w="15" w:type="dxa"/>
              <w:left w:w="15" w:type="dxa"/>
              <w:bottom w:w="15" w:type="dxa"/>
              <w:right w:w="15" w:type="dxa"/>
            </w:tcMar>
            <w:vAlign w:val="center"/>
          </w:tcPr>
          <w:p w14:paraId="28664896">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2A56A5C2">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2D7EB61B">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59052C93">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6A514E91">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67E926E6">
            <w:pPr>
              <w:widowControl w:val="0"/>
              <w:spacing w:line="240" w:lineRule="auto"/>
              <w:ind w:firstLine="0" w:firstLineChars="0"/>
              <w:jc w:val="center"/>
              <w:rPr>
                <w:color w:val="000000"/>
                <w:sz w:val="13"/>
                <w:szCs w:val="13"/>
                <w:u w:val="none"/>
              </w:rPr>
            </w:pPr>
            <w:r>
              <w:rPr>
                <w:color w:val="000000"/>
                <w:sz w:val="13"/>
                <w:szCs w:val="13"/>
                <w:u w:val="none"/>
              </w:rPr>
              <w:t>/</w:t>
            </w:r>
          </w:p>
        </w:tc>
        <w:tc>
          <w:tcPr>
            <w:tcW w:w="850" w:type="dxa"/>
            <w:noWrap w:val="0"/>
            <w:tcMar>
              <w:top w:w="15" w:type="dxa"/>
              <w:left w:w="15" w:type="dxa"/>
              <w:bottom w:w="15" w:type="dxa"/>
              <w:right w:w="15" w:type="dxa"/>
            </w:tcMar>
            <w:vAlign w:val="center"/>
          </w:tcPr>
          <w:p w14:paraId="04480D27">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55D4C70">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675B445">
            <w:pPr>
              <w:widowControl w:val="0"/>
              <w:spacing w:line="240" w:lineRule="auto"/>
              <w:ind w:firstLine="0" w:firstLineChars="0"/>
              <w:jc w:val="center"/>
              <w:rPr>
                <w:color w:val="000000"/>
                <w:sz w:val="13"/>
                <w:szCs w:val="13"/>
                <w:u w:val="none"/>
              </w:rPr>
            </w:pPr>
            <w:r>
              <w:rPr>
                <w:color w:val="000000"/>
                <w:sz w:val="13"/>
                <w:szCs w:val="13"/>
                <w:u w:val="none"/>
              </w:rPr>
              <w:t>/</w:t>
            </w:r>
          </w:p>
        </w:tc>
        <w:tc>
          <w:tcPr>
            <w:tcW w:w="851" w:type="dxa"/>
            <w:noWrap w:val="0"/>
            <w:tcMar>
              <w:top w:w="15" w:type="dxa"/>
              <w:left w:w="15" w:type="dxa"/>
              <w:bottom w:w="15" w:type="dxa"/>
              <w:right w:w="15" w:type="dxa"/>
            </w:tcMar>
            <w:vAlign w:val="center"/>
          </w:tcPr>
          <w:p w14:paraId="50EF9FE3">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775E4CEA">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292B1327">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41AC6BCC">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0ED9CC5C">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3ABF9ED6">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79D371C5">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0D698BD4">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EAB9E11">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7B32C493">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7DBD5751">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1C755445">
            <w:pPr>
              <w:widowControl w:val="0"/>
              <w:spacing w:line="240" w:lineRule="auto"/>
              <w:ind w:firstLine="0" w:firstLineChars="0"/>
              <w:jc w:val="center"/>
              <w:rPr>
                <w:color w:val="000000"/>
                <w:sz w:val="13"/>
                <w:szCs w:val="13"/>
                <w:u w:val="none"/>
              </w:rPr>
            </w:pPr>
          </w:p>
        </w:tc>
      </w:tr>
      <w:tr w14:paraId="2192434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284" w:type="dxa"/>
            <w:vMerge w:val="continue"/>
            <w:tcBorders>
              <w:right w:val="single" w:color="auto" w:sz="4" w:space="0"/>
            </w:tcBorders>
            <w:noWrap w:val="0"/>
            <w:vAlign w:val="center"/>
          </w:tcPr>
          <w:p w14:paraId="4AD91BDE">
            <w:pPr>
              <w:widowControl w:val="0"/>
              <w:spacing w:line="240" w:lineRule="auto"/>
              <w:ind w:firstLine="0" w:firstLineChars="0"/>
              <w:jc w:val="center"/>
              <w:rPr>
                <w:color w:val="000000"/>
                <w:sz w:val="13"/>
                <w:szCs w:val="13"/>
                <w:u w:val="none"/>
              </w:rPr>
            </w:pPr>
          </w:p>
        </w:tc>
        <w:tc>
          <w:tcPr>
            <w:tcW w:w="567" w:type="dxa"/>
            <w:vMerge w:val="continue"/>
            <w:tcBorders>
              <w:left w:val="single" w:color="auto" w:sz="4" w:space="0"/>
            </w:tcBorders>
            <w:noWrap w:val="0"/>
            <w:vAlign w:val="center"/>
          </w:tcPr>
          <w:p w14:paraId="09734217">
            <w:pPr>
              <w:widowControl w:val="0"/>
              <w:spacing w:line="240" w:lineRule="auto"/>
              <w:ind w:firstLine="0" w:firstLineChars="0"/>
              <w:jc w:val="center"/>
              <w:rPr>
                <w:color w:val="000000"/>
                <w:sz w:val="13"/>
                <w:szCs w:val="13"/>
                <w:u w:val="none"/>
              </w:rPr>
            </w:pPr>
          </w:p>
        </w:tc>
        <w:tc>
          <w:tcPr>
            <w:tcW w:w="567" w:type="dxa"/>
            <w:noWrap w:val="0"/>
            <w:tcMar>
              <w:top w:w="15" w:type="dxa"/>
              <w:left w:w="15" w:type="dxa"/>
              <w:bottom w:w="15" w:type="dxa"/>
              <w:right w:w="15" w:type="dxa"/>
            </w:tcMar>
            <w:vAlign w:val="center"/>
          </w:tcPr>
          <w:p w14:paraId="3E75C0FC">
            <w:pPr>
              <w:widowControl w:val="0"/>
              <w:spacing w:line="240" w:lineRule="auto"/>
              <w:ind w:firstLine="0" w:firstLineChars="0"/>
              <w:jc w:val="center"/>
              <w:rPr>
                <w:color w:val="000000"/>
                <w:sz w:val="13"/>
                <w:szCs w:val="13"/>
                <w:u w:val="none"/>
              </w:rPr>
            </w:pPr>
            <w:r>
              <w:rPr>
                <w:rFonts w:hint="eastAsia"/>
                <w:color w:val="000000"/>
                <w:sz w:val="13"/>
                <w:szCs w:val="13"/>
                <w:u w:val="none"/>
              </w:rPr>
              <w:t>超标倍数</w:t>
            </w:r>
          </w:p>
        </w:tc>
        <w:tc>
          <w:tcPr>
            <w:tcW w:w="709" w:type="dxa"/>
            <w:noWrap w:val="0"/>
            <w:tcMar>
              <w:top w:w="15" w:type="dxa"/>
              <w:left w:w="15" w:type="dxa"/>
              <w:bottom w:w="15" w:type="dxa"/>
              <w:right w:w="15" w:type="dxa"/>
            </w:tcMar>
            <w:vAlign w:val="center"/>
          </w:tcPr>
          <w:p w14:paraId="7E5F126F">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362368C2">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262873A9">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0F8BE786">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64760C6D">
            <w:pPr>
              <w:widowControl w:val="0"/>
              <w:spacing w:line="240" w:lineRule="auto"/>
              <w:ind w:firstLine="0" w:firstLineChars="0"/>
              <w:jc w:val="center"/>
              <w:rPr>
                <w:color w:val="000000"/>
                <w:sz w:val="13"/>
                <w:szCs w:val="13"/>
                <w:u w:val="none"/>
              </w:rPr>
            </w:pPr>
            <w:r>
              <w:rPr>
                <w:color w:val="000000"/>
                <w:sz w:val="13"/>
                <w:szCs w:val="13"/>
                <w:u w:val="none"/>
              </w:rPr>
              <w:t>/</w:t>
            </w:r>
          </w:p>
        </w:tc>
        <w:tc>
          <w:tcPr>
            <w:tcW w:w="709" w:type="dxa"/>
            <w:noWrap w:val="0"/>
            <w:tcMar>
              <w:top w:w="15" w:type="dxa"/>
              <w:left w:w="15" w:type="dxa"/>
              <w:bottom w:w="15" w:type="dxa"/>
              <w:right w:w="15" w:type="dxa"/>
            </w:tcMar>
            <w:vAlign w:val="center"/>
          </w:tcPr>
          <w:p w14:paraId="27DF355D">
            <w:pPr>
              <w:widowControl w:val="0"/>
              <w:spacing w:line="240" w:lineRule="auto"/>
              <w:ind w:firstLine="0" w:firstLineChars="0"/>
              <w:jc w:val="center"/>
              <w:rPr>
                <w:color w:val="000000"/>
                <w:sz w:val="13"/>
                <w:szCs w:val="13"/>
                <w:u w:val="none"/>
              </w:rPr>
            </w:pPr>
            <w:r>
              <w:rPr>
                <w:color w:val="000000"/>
                <w:sz w:val="13"/>
                <w:szCs w:val="13"/>
                <w:u w:val="none"/>
              </w:rPr>
              <w:t>/</w:t>
            </w:r>
          </w:p>
        </w:tc>
        <w:tc>
          <w:tcPr>
            <w:tcW w:w="850" w:type="dxa"/>
            <w:noWrap w:val="0"/>
            <w:tcMar>
              <w:top w:w="15" w:type="dxa"/>
              <w:left w:w="15" w:type="dxa"/>
              <w:bottom w:w="15" w:type="dxa"/>
              <w:right w:w="15" w:type="dxa"/>
            </w:tcMar>
            <w:vAlign w:val="center"/>
          </w:tcPr>
          <w:p w14:paraId="4105314C">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3F2E1830">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51EB13C6">
            <w:pPr>
              <w:widowControl w:val="0"/>
              <w:spacing w:line="240" w:lineRule="auto"/>
              <w:ind w:firstLine="0" w:firstLineChars="0"/>
              <w:jc w:val="center"/>
              <w:rPr>
                <w:color w:val="000000"/>
                <w:sz w:val="13"/>
                <w:szCs w:val="13"/>
                <w:u w:val="none"/>
              </w:rPr>
            </w:pPr>
            <w:r>
              <w:rPr>
                <w:color w:val="000000"/>
                <w:sz w:val="13"/>
                <w:szCs w:val="13"/>
                <w:u w:val="none"/>
              </w:rPr>
              <w:t>/</w:t>
            </w:r>
          </w:p>
        </w:tc>
        <w:tc>
          <w:tcPr>
            <w:tcW w:w="851" w:type="dxa"/>
            <w:noWrap w:val="0"/>
            <w:tcMar>
              <w:top w:w="15" w:type="dxa"/>
              <w:left w:w="15" w:type="dxa"/>
              <w:bottom w:w="15" w:type="dxa"/>
              <w:right w:w="15" w:type="dxa"/>
            </w:tcMar>
            <w:vAlign w:val="center"/>
          </w:tcPr>
          <w:p w14:paraId="536357C8">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E3BAF13">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17E89D27">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1DCBDD05">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49A64D7E">
            <w:pPr>
              <w:widowControl w:val="0"/>
              <w:spacing w:line="240" w:lineRule="auto"/>
              <w:ind w:firstLine="0" w:firstLineChars="0"/>
              <w:jc w:val="center"/>
              <w:rPr>
                <w:color w:val="000000"/>
                <w:sz w:val="13"/>
                <w:szCs w:val="13"/>
                <w:u w:val="none"/>
              </w:rPr>
            </w:pPr>
            <w:r>
              <w:rPr>
                <w:color w:val="000000"/>
                <w:sz w:val="13"/>
                <w:szCs w:val="13"/>
                <w:u w:val="none"/>
              </w:rPr>
              <w:t>/</w:t>
            </w:r>
          </w:p>
        </w:tc>
        <w:tc>
          <w:tcPr>
            <w:tcW w:w="992" w:type="dxa"/>
            <w:noWrap w:val="0"/>
            <w:tcMar>
              <w:top w:w="15" w:type="dxa"/>
              <w:left w:w="15" w:type="dxa"/>
              <w:bottom w:w="15" w:type="dxa"/>
              <w:right w:w="15" w:type="dxa"/>
            </w:tcMar>
            <w:vAlign w:val="center"/>
          </w:tcPr>
          <w:p w14:paraId="63FA53F6">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0E4339AC">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6618940B">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1D61D6EF">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41348A6F">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5BC52892">
            <w:pPr>
              <w:widowControl w:val="0"/>
              <w:spacing w:line="240" w:lineRule="auto"/>
              <w:ind w:firstLine="0" w:firstLineChars="0"/>
              <w:jc w:val="center"/>
              <w:rPr>
                <w:color w:val="000000"/>
                <w:sz w:val="13"/>
                <w:szCs w:val="13"/>
                <w:u w:val="none"/>
              </w:rPr>
            </w:pPr>
            <w:r>
              <w:rPr>
                <w:color w:val="000000"/>
                <w:sz w:val="13"/>
                <w:szCs w:val="13"/>
                <w:u w:val="none"/>
              </w:rPr>
              <w:t>/</w:t>
            </w:r>
          </w:p>
        </w:tc>
        <w:tc>
          <w:tcPr>
            <w:tcW w:w="567" w:type="dxa"/>
            <w:noWrap w:val="0"/>
            <w:tcMar>
              <w:top w:w="15" w:type="dxa"/>
              <w:left w:w="15" w:type="dxa"/>
              <w:bottom w:w="15" w:type="dxa"/>
              <w:right w:w="15" w:type="dxa"/>
            </w:tcMar>
            <w:vAlign w:val="center"/>
          </w:tcPr>
          <w:p w14:paraId="3E9CF5A7">
            <w:pPr>
              <w:widowControl w:val="0"/>
              <w:spacing w:line="240" w:lineRule="auto"/>
              <w:ind w:firstLine="0" w:firstLineChars="0"/>
              <w:jc w:val="center"/>
              <w:rPr>
                <w:color w:val="000000"/>
                <w:sz w:val="13"/>
                <w:szCs w:val="13"/>
                <w:u w:val="none"/>
              </w:rPr>
            </w:pPr>
          </w:p>
        </w:tc>
      </w:tr>
      <w:tr w14:paraId="752888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418" w:type="dxa"/>
            <w:gridSpan w:val="3"/>
            <w:noWrap w:val="0"/>
            <w:vAlign w:val="center"/>
          </w:tcPr>
          <w:p w14:paraId="1904547E">
            <w:pPr>
              <w:spacing w:line="240" w:lineRule="auto"/>
              <w:ind w:firstLine="0" w:firstLineChars="0"/>
              <w:jc w:val="center"/>
              <w:textAlignment w:val="center"/>
              <w:rPr>
                <w:color w:val="000000"/>
                <w:kern w:val="0"/>
                <w:sz w:val="13"/>
                <w:szCs w:val="13"/>
                <w:u w:val="none"/>
                <w:lang w:bidi="ar"/>
              </w:rPr>
            </w:pPr>
            <w:r>
              <w:rPr>
                <w:rFonts w:hint="eastAsia"/>
                <w:color w:val="000000"/>
                <w:sz w:val="13"/>
                <w:szCs w:val="13"/>
                <w:u w:val="none"/>
              </w:rPr>
              <w:t>评价标准（Ⅲ类）</w:t>
            </w:r>
          </w:p>
        </w:tc>
        <w:tc>
          <w:tcPr>
            <w:tcW w:w="709" w:type="dxa"/>
            <w:noWrap w:val="0"/>
            <w:tcMar>
              <w:top w:w="15" w:type="dxa"/>
              <w:left w:w="15" w:type="dxa"/>
              <w:bottom w:w="15" w:type="dxa"/>
              <w:right w:w="15" w:type="dxa"/>
            </w:tcMar>
            <w:vAlign w:val="center"/>
          </w:tcPr>
          <w:p w14:paraId="492648DF">
            <w:pPr>
              <w:widowControl w:val="0"/>
              <w:spacing w:line="240" w:lineRule="auto"/>
              <w:ind w:firstLine="0" w:firstLineChars="0"/>
              <w:jc w:val="center"/>
              <w:rPr>
                <w:color w:val="000000"/>
                <w:sz w:val="13"/>
                <w:szCs w:val="13"/>
                <w:u w:val="none"/>
              </w:rPr>
            </w:pPr>
            <w:r>
              <w:rPr>
                <w:color w:val="000000"/>
                <w:sz w:val="13"/>
                <w:szCs w:val="13"/>
                <w:u w:val="none"/>
              </w:rPr>
              <w:t>6-9</w:t>
            </w:r>
          </w:p>
        </w:tc>
        <w:tc>
          <w:tcPr>
            <w:tcW w:w="567" w:type="dxa"/>
            <w:noWrap w:val="0"/>
            <w:tcMar>
              <w:top w:w="15" w:type="dxa"/>
              <w:left w:w="15" w:type="dxa"/>
              <w:bottom w:w="15" w:type="dxa"/>
              <w:right w:w="15" w:type="dxa"/>
            </w:tcMar>
            <w:vAlign w:val="center"/>
          </w:tcPr>
          <w:p w14:paraId="1512E34D">
            <w:pPr>
              <w:widowControl w:val="0"/>
              <w:spacing w:line="240" w:lineRule="auto"/>
              <w:ind w:firstLine="0" w:firstLineChars="0"/>
              <w:jc w:val="center"/>
              <w:rPr>
                <w:color w:val="000000"/>
                <w:sz w:val="13"/>
                <w:szCs w:val="13"/>
                <w:u w:val="none"/>
              </w:rPr>
            </w:pPr>
            <w:r>
              <w:rPr>
                <w:rFonts w:cs="Arial"/>
                <w:color w:val="000000"/>
                <w:sz w:val="13"/>
                <w:szCs w:val="13"/>
                <w:u w:val="none"/>
              </w:rPr>
              <w:t>≥</w:t>
            </w:r>
            <w:r>
              <w:rPr>
                <w:color w:val="000000"/>
                <w:sz w:val="13"/>
                <w:szCs w:val="13"/>
                <w:u w:val="none"/>
              </w:rPr>
              <w:t>5</w:t>
            </w:r>
          </w:p>
        </w:tc>
        <w:tc>
          <w:tcPr>
            <w:tcW w:w="567" w:type="dxa"/>
            <w:noWrap w:val="0"/>
            <w:tcMar>
              <w:top w:w="15" w:type="dxa"/>
              <w:left w:w="15" w:type="dxa"/>
              <w:bottom w:w="15" w:type="dxa"/>
              <w:right w:w="15" w:type="dxa"/>
            </w:tcMar>
            <w:vAlign w:val="center"/>
          </w:tcPr>
          <w:p w14:paraId="4A8E7E2E">
            <w:pPr>
              <w:widowControl w:val="0"/>
              <w:spacing w:line="240" w:lineRule="auto"/>
              <w:ind w:firstLine="0" w:firstLineChars="0"/>
              <w:jc w:val="center"/>
              <w:rPr>
                <w:color w:val="000000"/>
                <w:sz w:val="13"/>
                <w:szCs w:val="13"/>
                <w:u w:val="none"/>
              </w:rPr>
            </w:pPr>
            <w:r>
              <w:rPr>
                <w:rFonts w:cs="Arial"/>
                <w:color w:val="000000"/>
                <w:sz w:val="13"/>
                <w:szCs w:val="13"/>
                <w:u w:val="none"/>
              </w:rPr>
              <w:t>≤6</w:t>
            </w:r>
          </w:p>
        </w:tc>
        <w:tc>
          <w:tcPr>
            <w:tcW w:w="567" w:type="dxa"/>
            <w:noWrap w:val="0"/>
            <w:tcMar>
              <w:top w:w="15" w:type="dxa"/>
              <w:left w:w="15" w:type="dxa"/>
              <w:bottom w:w="15" w:type="dxa"/>
              <w:right w:w="15" w:type="dxa"/>
            </w:tcMar>
            <w:vAlign w:val="center"/>
          </w:tcPr>
          <w:p w14:paraId="5716CFC7">
            <w:pPr>
              <w:widowControl w:val="0"/>
              <w:spacing w:line="240" w:lineRule="auto"/>
              <w:ind w:firstLine="0" w:firstLineChars="0"/>
              <w:jc w:val="center"/>
              <w:rPr>
                <w:color w:val="000000"/>
                <w:sz w:val="13"/>
                <w:szCs w:val="13"/>
                <w:u w:val="none"/>
              </w:rPr>
            </w:pPr>
            <w:r>
              <w:rPr>
                <w:rFonts w:cs="Arial"/>
                <w:color w:val="000000"/>
                <w:sz w:val="13"/>
                <w:szCs w:val="13"/>
                <w:u w:val="none"/>
              </w:rPr>
              <w:t>≤</w:t>
            </w:r>
            <w:r>
              <w:rPr>
                <w:rFonts w:hint="eastAsia" w:cs="Arial"/>
                <w:color w:val="000000"/>
                <w:sz w:val="13"/>
                <w:szCs w:val="13"/>
                <w:u w:val="none"/>
              </w:rPr>
              <w:t>20</w:t>
            </w:r>
          </w:p>
        </w:tc>
        <w:tc>
          <w:tcPr>
            <w:tcW w:w="709" w:type="dxa"/>
            <w:noWrap w:val="0"/>
            <w:tcMar>
              <w:top w:w="15" w:type="dxa"/>
              <w:left w:w="15" w:type="dxa"/>
              <w:bottom w:w="15" w:type="dxa"/>
              <w:right w:w="15" w:type="dxa"/>
            </w:tcMar>
            <w:vAlign w:val="center"/>
          </w:tcPr>
          <w:p w14:paraId="6AC899B9">
            <w:pPr>
              <w:widowControl w:val="0"/>
              <w:spacing w:line="240" w:lineRule="auto"/>
              <w:ind w:firstLine="0" w:firstLineChars="0"/>
              <w:jc w:val="center"/>
              <w:rPr>
                <w:color w:val="000000"/>
                <w:sz w:val="13"/>
                <w:szCs w:val="13"/>
                <w:u w:val="none"/>
              </w:rPr>
            </w:pPr>
            <w:r>
              <w:rPr>
                <w:rFonts w:cs="Arial"/>
                <w:color w:val="000000"/>
                <w:sz w:val="13"/>
                <w:szCs w:val="13"/>
                <w:u w:val="none"/>
              </w:rPr>
              <w:t>≤</w:t>
            </w:r>
            <w:r>
              <w:rPr>
                <w:rFonts w:hint="eastAsia" w:cs="Arial"/>
                <w:color w:val="000000"/>
                <w:sz w:val="13"/>
                <w:szCs w:val="13"/>
                <w:u w:val="none"/>
              </w:rPr>
              <w:t>4</w:t>
            </w:r>
          </w:p>
        </w:tc>
        <w:tc>
          <w:tcPr>
            <w:tcW w:w="709" w:type="dxa"/>
            <w:noWrap w:val="0"/>
            <w:tcMar>
              <w:top w:w="15" w:type="dxa"/>
              <w:left w:w="15" w:type="dxa"/>
              <w:bottom w:w="15" w:type="dxa"/>
              <w:right w:w="15" w:type="dxa"/>
            </w:tcMar>
            <w:vAlign w:val="center"/>
          </w:tcPr>
          <w:p w14:paraId="2EC49808">
            <w:pPr>
              <w:widowControl w:val="0"/>
              <w:spacing w:line="240" w:lineRule="auto"/>
              <w:ind w:firstLine="0" w:firstLineChars="0"/>
              <w:jc w:val="center"/>
              <w:rPr>
                <w:color w:val="000000"/>
                <w:sz w:val="13"/>
                <w:szCs w:val="13"/>
                <w:u w:val="none"/>
              </w:rPr>
            </w:pPr>
            <w:r>
              <w:rPr>
                <w:rFonts w:cs="Arial"/>
                <w:color w:val="000000"/>
                <w:sz w:val="13"/>
                <w:szCs w:val="13"/>
                <w:u w:val="none"/>
              </w:rPr>
              <w:t>≤</w:t>
            </w:r>
            <w:r>
              <w:rPr>
                <w:rFonts w:hint="eastAsia" w:cs="Arial"/>
                <w:color w:val="000000"/>
                <w:sz w:val="13"/>
                <w:szCs w:val="13"/>
                <w:u w:val="none"/>
              </w:rPr>
              <w:t>1.0</w:t>
            </w:r>
          </w:p>
        </w:tc>
        <w:tc>
          <w:tcPr>
            <w:tcW w:w="850" w:type="dxa"/>
            <w:noWrap w:val="0"/>
            <w:tcMar>
              <w:top w:w="15" w:type="dxa"/>
              <w:left w:w="15" w:type="dxa"/>
              <w:bottom w:w="15" w:type="dxa"/>
              <w:right w:w="15" w:type="dxa"/>
            </w:tcMar>
            <w:vAlign w:val="center"/>
          </w:tcPr>
          <w:p w14:paraId="20139BCA">
            <w:pPr>
              <w:widowControl w:val="0"/>
              <w:spacing w:line="240" w:lineRule="auto"/>
              <w:ind w:firstLine="0" w:firstLineChars="0"/>
              <w:jc w:val="center"/>
              <w:rPr>
                <w:color w:val="000000"/>
                <w:sz w:val="13"/>
                <w:szCs w:val="13"/>
                <w:u w:val="none"/>
              </w:rPr>
            </w:pPr>
            <w:r>
              <w:rPr>
                <w:rFonts w:cs="Arial"/>
                <w:color w:val="000000"/>
                <w:sz w:val="13"/>
                <w:szCs w:val="13"/>
                <w:u w:val="none"/>
              </w:rPr>
              <w:t>≤</w:t>
            </w:r>
            <w:r>
              <w:rPr>
                <w:rFonts w:hint="eastAsia" w:cs="Arial"/>
                <w:color w:val="000000"/>
                <w:sz w:val="13"/>
                <w:szCs w:val="13"/>
                <w:u w:val="none"/>
              </w:rPr>
              <w:t>0.2</w:t>
            </w:r>
          </w:p>
        </w:tc>
        <w:tc>
          <w:tcPr>
            <w:tcW w:w="567" w:type="dxa"/>
            <w:noWrap w:val="0"/>
            <w:tcMar>
              <w:top w:w="15" w:type="dxa"/>
              <w:left w:w="15" w:type="dxa"/>
              <w:bottom w:w="15" w:type="dxa"/>
              <w:right w:w="15" w:type="dxa"/>
            </w:tcMar>
            <w:vAlign w:val="center"/>
          </w:tcPr>
          <w:p w14:paraId="3D0F1647">
            <w:pPr>
              <w:widowControl w:val="0"/>
              <w:spacing w:line="240" w:lineRule="auto"/>
              <w:ind w:firstLine="0" w:firstLineChars="0"/>
              <w:jc w:val="center"/>
              <w:rPr>
                <w:color w:val="000000"/>
                <w:sz w:val="13"/>
                <w:szCs w:val="13"/>
                <w:u w:val="none"/>
              </w:rPr>
            </w:pPr>
            <w:r>
              <w:rPr>
                <w:rFonts w:cs="Arial"/>
                <w:color w:val="000000"/>
                <w:sz w:val="13"/>
                <w:szCs w:val="13"/>
                <w:u w:val="none"/>
              </w:rPr>
              <w:t>≤</w:t>
            </w:r>
            <w:r>
              <w:rPr>
                <w:rFonts w:hint="eastAsia" w:cs="Arial"/>
                <w:color w:val="000000"/>
                <w:sz w:val="13"/>
                <w:szCs w:val="13"/>
                <w:u w:val="none"/>
              </w:rPr>
              <w:t>1.0</w:t>
            </w:r>
          </w:p>
        </w:tc>
        <w:tc>
          <w:tcPr>
            <w:tcW w:w="567" w:type="dxa"/>
            <w:noWrap w:val="0"/>
            <w:tcMar>
              <w:top w:w="15" w:type="dxa"/>
              <w:left w:w="15" w:type="dxa"/>
              <w:bottom w:w="15" w:type="dxa"/>
              <w:right w:w="15" w:type="dxa"/>
            </w:tcMar>
            <w:vAlign w:val="center"/>
          </w:tcPr>
          <w:p w14:paraId="096289EC">
            <w:pPr>
              <w:widowControl w:val="0"/>
              <w:spacing w:line="240" w:lineRule="auto"/>
              <w:ind w:firstLine="0" w:firstLineChars="0"/>
              <w:jc w:val="center"/>
              <w:rPr>
                <w:color w:val="000000"/>
                <w:sz w:val="13"/>
                <w:szCs w:val="13"/>
                <w:u w:val="none"/>
              </w:rPr>
            </w:pPr>
            <w:r>
              <w:rPr>
                <w:rFonts w:cs="Arial"/>
                <w:color w:val="000000"/>
                <w:sz w:val="13"/>
                <w:szCs w:val="13"/>
                <w:u w:val="none"/>
              </w:rPr>
              <w:t>≤</w:t>
            </w:r>
            <w:r>
              <w:rPr>
                <w:rFonts w:hint="eastAsia" w:cs="Arial"/>
                <w:color w:val="000000"/>
                <w:sz w:val="13"/>
                <w:szCs w:val="13"/>
                <w:u w:val="none"/>
              </w:rPr>
              <w:t>1.0</w:t>
            </w:r>
          </w:p>
        </w:tc>
        <w:tc>
          <w:tcPr>
            <w:tcW w:w="851" w:type="dxa"/>
            <w:noWrap w:val="0"/>
            <w:tcMar>
              <w:top w:w="15" w:type="dxa"/>
              <w:left w:w="15" w:type="dxa"/>
              <w:bottom w:w="15" w:type="dxa"/>
              <w:right w:w="15" w:type="dxa"/>
            </w:tcMar>
            <w:vAlign w:val="center"/>
          </w:tcPr>
          <w:p w14:paraId="5CAC0B4F">
            <w:pPr>
              <w:widowControl w:val="0"/>
              <w:spacing w:line="240" w:lineRule="auto"/>
              <w:ind w:firstLine="0" w:firstLineChars="0"/>
              <w:jc w:val="center"/>
              <w:rPr>
                <w:color w:val="000000"/>
                <w:sz w:val="13"/>
                <w:szCs w:val="13"/>
                <w:u w:val="none"/>
              </w:rPr>
            </w:pPr>
            <w:r>
              <w:rPr>
                <w:rFonts w:cs="Arial"/>
                <w:color w:val="000000"/>
                <w:sz w:val="13"/>
                <w:szCs w:val="13"/>
                <w:u w:val="none"/>
              </w:rPr>
              <w:t>≤</w:t>
            </w:r>
            <w:r>
              <w:rPr>
                <w:rFonts w:hint="eastAsia" w:cs="Arial"/>
                <w:color w:val="000000"/>
                <w:sz w:val="13"/>
                <w:szCs w:val="13"/>
                <w:u w:val="none"/>
              </w:rPr>
              <w:t>1.0</w:t>
            </w:r>
          </w:p>
        </w:tc>
        <w:tc>
          <w:tcPr>
            <w:tcW w:w="567" w:type="dxa"/>
            <w:noWrap w:val="0"/>
            <w:tcMar>
              <w:top w:w="15" w:type="dxa"/>
              <w:left w:w="15" w:type="dxa"/>
              <w:bottom w:w="15" w:type="dxa"/>
              <w:right w:w="15" w:type="dxa"/>
            </w:tcMar>
            <w:vAlign w:val="center"/>
          </w:tcPr>
          <w:p w14:paraId="6B690A97">
            <w:pPr>
              <w:widowControl w:val="0"/>
              <w:spacing w:line="240" w:lineRule="auto"/>
              <w:ind w:firstLine="0" w:firstLineChars="0"/>
              <w:jc w:val="center"/>
              <w:rPr>
                <w:color w:val="000000"/>
                <w:sz w:val="13"/>
                <w:szCs w:val="13"/>
                <w:u w:val="none"/>
              </w:rPr>
            </w:pPr>
            <w:r>
              <w:rPr>
                <w:rFonts w:cs="Arial"/>
                <w:color w:val="000000"/>
                <w:sz w:val="13"/>
                <w:szCs w:val="13"/>
                <w:u w:val="none"/>
              </w:rPr>
              <w:t>≤</w:t>
            </w:r>
            <w:r>
              <w:rPr>
                <w:rFonts w:hint="eastAsia" w:cs="Arial"/>
                <w:color w:val="000000"/>
                <w:sz w:val="13"/>
                <w:szCs w:val="13"/>
                <w:u w:val="none"/>
              </w:rPr>
              <w:t>0.01</w:t>
            </w:r>
          </w:p>
        </w:tc>
        <w:tc>
          <w:tcPr>
            <w:tcW w:w="992" w:type="dxa"/>
            <w:noWrap w:val="0"/>
            <w:tcMar>
              <w:top w:w="15" w:type="dxa"/>
              <w:left w:w="15" w:type="dxa"/>
              <w:bottom w:w="15" w:type="dxa"/>
              <w:right w:w="15" w:type="dxa"/>
            </w:tcMar>
            <w:vAlign w:val="center"/>
          </w:tcPr>
          <w:p w14:paraId="282D9042">
            <w:pPr>
              <w:widowControl w:val="0"/>
              <w:spacing w:line="240" w:lineRule="auto"/>
              <w:ind w:firstLine="0" w:firstLineChars="0"/>
              <w:jc w:val="center"/>
              <w:rPr>
                <w:color w:val="000000"/>
                <w:sz w:val="13"/>
                <w:szCs w:val="13"/>
                <w:u w:val="none"/>
              </w:rPr>
            </w:pPr>
            <w:r>
              <w:rPr>
                <w:rFonts w:cs="Arial"/>
                <w:color w:val="000000"/>
                <w:sz w:val="13"/>
                <w:szCs w:val="13"/>
                <w:u w:val="none"/>
              </w:rPr>
              <w:t>≤</w:t>
            </w:r>
            <w:r>
              <w:rPr>
                <w:rFonts w:hint="eastAsia" w:cs="Arial"/>
                <w:color w:val="000000"/>
                <w:sz w:val="13"/>
                <w:szCs w:val="13"/>
                <w:u w:val="none"/>
              </w:rPr>
              <w:t>0.05</w:t>
            </w:r>
          </w:p>
        </w:tc>
        <w:tc>
          <w:tcPr>
            <w:tcW w:w="567" w:type="dxa"/>
            <w:noWrap w:val="0"/>
            <w:tcMar>
              <w:top w:w="15" w:type="dxa"/>
              <w:left w:w="15" w:type="dxa"/>
              <w:bottom w:w="15" w:type="dxa"/>
              <w:right w:w="15" w:type="dxa"/>
            </w:tcMar>
            <w:vAlign w:val="center"/>
          </w:tcPr>
          <w:p w14:paraId="443F69EC">
            <w:pPr>
              <w:widowControl w:val="0"/>
              <w:spacing w:line="240" w:lineRule="auto"/>
              <w:ind w:firstLine="0" w:firstLineChars="0"/>
              <w:jc w:val="center"/>
              <w:rPr>
                <w:color w:val="000000"/>
                <w:sz w:val="13"/>
                <w:szCs w:val="13"/>
                <w:u w:val="none"/>
              </w:rPr>
            </w:pPr>
            <w:r>
              <w:rPr>
                <w:rFonts w:cs="Arial"/>
                <w:color w:val="000000"/>
                <w:sz w:val="13"/>
                <w:szCs w:val="13"/>
                <w:u w:val="none"/>
              </w:rPr>
              <w:t>≤</w:t>
            </w:r>
            <w:r>
              <w:rPr>
                <w:rFonts w:hint="eastAsia" w:cs="Arial"/>
                <w:color w:val="000000"/>
                <w:sz w:val="13"/>
                <w:szCs w:val="13"/>
                <w:u w:val="none"/>
              </w:rPr>
              <w:t>0.0001</w:t>
            </w:r>
          </w:p>
        </w:tc>
        <w:tc>
          <w:tcPr>
            <w:tcW w:w="992" w:type="dxa"/>
            <w:noWrap w:val="0"/>
            <w:tcMar>
              <w:top w:w="15" w:type="dxa"/>
              <w:left w:w="15" w:type="dxa"/>
              <w:bottom w:w="15" w:type="dxa"/>
              <w:right w:w="15" w:type="dxa"/>
            </w:tcMar>
            <w:vAlign w:val="center"/>
          </w:tcPr>
          <w:p w14:paraId="0B43EF72">
            <w:pPr>
              <w:widowControl w:val="0"/>
              <w:spacing w:line="240" w:lineRule="auto"/>
              <w:ind w:firstLine="0" w:firstLineChars="0"/>
              <w:jc w:val="center"/>
              <w:rPr>
                <w:color w:val="000000"/>
                <w:sz w:val="13"/>
                <w:szCs w:val="13"/>
                <w:u w:val="none"/>
              </w:rPr>
            </w:pPr>
            <w:r>
              <w:rPr>
                <w:rFonts w:cs="Arial"/>
                <w:color w:val="000000"/>
                <w:sz w:val="13"/>
                <w:szCs w:val="13"/>
                <w:u w:val="none"/>
              </w:rPr>
              <w:t>≤</w:t>
            </w:r>
            <w:r>
              <w:rPr>
                <w:rFonts w:hint="eastAsia" w:cs="Arial"/>
                <w:color w:val="000000"/>
                <w:sz w:val="13"/>
                <w:szCs w:val="13"/>
                <w:u w:val="none"/>
              </w:rPr>
              <w:t>0.005</w:t>
            </w:r>
          </w:p>
        </w:tc>
        <w:tc>
          <w:tcPr>
            <w:tcW w:w="992" w:type="dxa"/>
            <w:noWrap w:val="0"/>
            <w:tcMar>
              <w:top w:w="15" w:type="dxa"/>
              <w:left w:w="15" w:type="dxa"/>
              <w:bottom w:w="15" w:type="dxa"/>
              <w:right w:w="15" w:type="dxa"/>
            </w:tcMar>
            <w:vAlign w:val="center"/>
          </w:tcPr>
          <w:p w14:paraId="1EA0E829">
            <w:pPr>
              <w:widowControl w:val="0"/>
              <w:spacing w:line="240" w:lineRule="auto"/>
              <w:ind w:firstLine="0" w:firstLineChars="0"/>
              <w:jc w:val="center"/>
              <w:rPr>
                <w:color w:val="000000"/>
                <w:sz w:val="13"/>
                <w:szCs w:val="13"/>
                <w:u w:val="none"/>
              </w:rPr>
            </w:pPr>
            <w:r>
              <w:rPr>
                <w:rFonts w:cs="Arial"/>
                <w:color w:val="000000"/>
                <w:sz w:val="13"/>
                <w:szCs w:val="13"/>
                <w:u w:val="none"/>
              </w:rPr>
              <w:t>≤</w:t>
            </w:r>
            <w:r>
              <w:rPr>
                <w:rFonts w:hint="eastAsia" w:cs="Arial"/>
                <w:color w:val="000000"/>
                <w:sz w:val="13"/>
                <w:szCs w:val="13"/>
                <w:u w:val="none"/>
              </w:rPr>
              <w:t>0.05</w:t>
            </w:r>
          </w:p>
        </w:tc>
        <w:tc>
          <w:tcPr>
            <w:tcW w:w="567" w:type="dxa"/>
            <w:noWrap w:val="0"/>
            <w:tcMar>
              <w:top w:w="15" w:type="dxa"/>
              <w:left w:w="15" w:type="dxa"/>
              <w:bottom w:w="15" w:type="dxa"/>
              <w:right w:w="15" w:type="dxa"/>
            </w:tcMar>
            <w:vAlign w:val="center"/>
          </w:tcPr>
          <w:p w14:paraId="27ED3C78">
            <w:pPr>
              <w:widowControl w:val="0"/>
              <w:spacing w:line="240" w:lineRule="auto"/>
              <w:ind w:firstLine="0" w:firstLineChars="0"/>
              <w:jc w:val="center"/>
              <w:rPr>
                <w:color w:val="000000"/>
                <w:sz w:val="13"/>
                <w:szCs w:val="13"/>
                <w:u w:val="none"/>
              </w:rPr>
            </w:pPr>
            <w:r>
              <w:rPr>
                <w:rFonts w:cs="Arial"/>
                <w:color w:val="000000"/>
                <w:sz w:val="13"/>
                <w:szCs w:val="13"/>
                <w:u w:val="none"/>
              </w:rPr>
              <w:t>≤</w:t>
            </w:r>
            <w:r>
              <w:rPr>
                <w:rFonts w:hint="eastAsia" w:cs="Arial"/>
                <w:color w:val="000000"/>
                <w:sz w:val="13"/>
                <w:szCs w:val="13"/>
                <w:u w:val="none"/>
              </w:rPr>
              <w:t>0.05</w:t>
            </w:r>
          </w:p>
        </w:tc>
        <w:tc>
          <w:tcPr>
            <w:tcW w:w="567" w:type="dxa"/>
            <w:noWrap w:val="0"/>
            <w:tcMar>
              <w:top w:w="15" w:type="dxa"/>
              <w:left w:w="15" w:type="dxa"/>
              <w:bottom w:w="15" w:type="dxa"/>
              <w:right w:w="15" w:type="dxa"/>
            </w:tcMar>
            <w:vAlign w:val="center"/>
          </w:tcPr>
          <w:p w14:paraId="4414B8A3">
            <w:pPr>
              <w:widowControl w:val="0"/>
              <w:spacing w:line="240" w:lineRule="auto"/>
              <w:ind w:firstLine="0" w:firstLineChars="0"/>
              <w:jc w:val="center"/>
              <w:rPr>
                <w:color w:val="000000"/>
                <w:sz w:val="13"/>
                <w:szCs w:val="13"/>
                <w:u w:val="none"/>
              </w:rPr>
            </w:pPr>
            <w:r>
              <w:rPr>
                <w:rFonts w:cs="Arial"/>
                <w:color w:val="000000"/>
                <w:sz w:val="13"/>
                <w:szCs w:val="13"/>
                <w:u w:val="none"/>
              </w:rPr>
              <w:t>≤</w:t>
            </w:r>
            <w:r>
              <w:rPr>
                <w:rFonts w:hint="eastAsia" w:cs="Arial"/>
                <w:color w:val="000000"/>
                <w:sz w:val="13"/>
                <w:szCs w:val="13"/>
                <w:u w:val="none"/>
              </w:rPr>
              <w:t>0.2</w:t>
            </w:r>
          </w:p>
        </w:tc>
        <w:tc>
          <w:tcPr>
            <w:tcW w:w="567" w:type="dxa"/>
            <w:noWrap w:val="0"/>
            <w:tcMar>
              <w:top w:w="15" w:type="dxa"/>
              <w:left w:w="15" w:type="dxa"/>
              <w:bottom w:w="15" w:type="dxa"/>
              <w:right w:w="15" w:type="dxa"/>
            </w:tcMar>
            <w:vAlign w:val="center"/>
          </w:tcPr>
          <w:p w14:paraId="115498C0">
            <w:pPr>
              <w:widowControl w:val="0"/>
              <w:spacing w:line="240" w:lineRule="auto"/>
              <w:ind w:firstLine="0" w:firstLineChars="0"/>
              <w:jc w:val="center"/>
              <w:rPr>
                <w:color w:val="000000"/>
                <w:sz w:val="13"/>
                <w:szCs w:val="13"/>
                <w:u w:val="none"/>
              </w:rPr>
            </w:pPr>
            <w:r>
              <w:rPr>
                <w:rFonts w:cs="Arial"/>
                <w:color w:val="000000"/>
                <w:sz w:val="13"/>
                <w:szCs w:val="13"/>
                <w:u w:val="none"/>
              </w:rPr>
              <w:t>≤</w:t>
            </w:r>
            <w:r>
              <w:rPr>
                <w:rFonts w:hint="eastAsia" w:cs="Arial"/>
                <w:color w:val="000000"/>
                <w:sz w:val="13"/>
                <w:szCs w:val="13"/>
                <w:u w:val="none"/>
              </w:rPr>
              <w:t>0.005</w:t>
            </w:r>
          </w:p>
        </w:tc>
        <w:tc>
          <w:tcPr>
            <w:tcW w:w="567" w:type="dxa"/>
            <w:noWrap w:val="0"/>
            <w:tcMar>
              <w:top w:w="15" w:type="dxa"/>
              <w:left w:w="15" w:type="dxa"/>
              <w:bottom w:w="15" w:type="dxa"/>
              <w:right w:w="15" w:type="dxa"/>
            </w:tcMar>
            <w:vAlign w:val="center"/>
          </w:tcPr>
          <w:p w14:paraId="762E86F6">
            <w:pPr>
              <w:widowControl w:val="0"/>
              <w:spacing w:line="240" w:lineRule="auto"/>
              <w:ind w:firstLine="0" w:firstLineChars="0"/>
              <w:jc w:val="center"/>
              <w:rPr>
                <w:color w:val="000000"/>
                <w:sz w:val="13"/>
                <w:szCs w:val="13"/>
                <w:u w:val="none"/>
              </w:rPr>
            </w:pPr>
            <w:r>
              <w:rPr>
                <w:rFonts w:cs="Arial"/>
                <w:color w:val="000000"/>
                <w:sz w:val="13"/>
                <w:szCs w:val="13"/>
                <w:u w:val="none"/>
              </w:rPr>
              <w:t>≤</w:t>
            </w:r>
            <w:r>
              <w:rPr>
                <w:rFonts w:hint="eastAsia" w:cs="Arial"/>
                <w:color w:val="000000"/>
                <w:sz w:val="13"/>
                <w:szCs w:val="13"/>
                <w:u w:val="none"/>
              </w:rPr>
              <w:t>0.05</w:t>
            </w:r>
          </w:p>
        </w:tc>
        <w:tc>
          <w:tcPr>
            <w:tcW w:w="567" w:type="dxa"/>
            <w:noWrap w:val="0"/>
            <w:tcMar>
              <w:top w:w="15" w:type="dxa"/>
              <w:left w:w="15" w:type="dxa"/>
              <w:bottom w:w="15" w:type="dxa"/>
              <w:right w:w="15" w:type="dxa"/>
            </w:tcMar>
            <w:vAlign w:val="center"/>
          </w:tcPr>
          <w:p w14:paraId="55DB7A48">
            <w:pPr>
              <w:widowControl w:val="0"/>
              <w:spacing w:line="240" w:lineRule="auto"/>
              <w:ind w:firstLine="0" w:firstLineChars="0"/>
              <w:jc w:val="center"/>
              <w:rPr>
                <w:color w:val="000000"/>
                <w:sz w:val="13"/>
                <w:szCs w:val="13"/>
                <w:u w:val="none"/>
              </w:rPr>
            </w:pPr>
            <w:r>
              <w:rPr>
                <w:rFonts w:cs="Arial"/>
                <w:color w:val="000000"/>
                <w:sz w:val="13"/>
                <w:szCs w:val="13"/>
                <w:u w:val="none"/>
              </w:rPr>
              <w:t>≤</w:t>
            </w:r>
            <w:r>
              <w:rPr>
                <w:rFonts w:hint="eastAsia" w:cs="Arial"/>
                <w:color w:val="000000"/>
                <w:sz w:val="13"/>
                <w:szCs w:val="13"/>
                <w:u w:val="none"/>
              </w:rPr>
              <w:t>0.2</w:t>
            </w:r>
          </w:p>
        </w:tc>
        <w:tc>
          <w:tcPr>
            <w:tcW w:w="567" w:type="dxa"/>
            <w:noWrap w:val="0"/>
            <w:tcMar>
              <w:top w:w="15" w:type="dxa"/>
              <w:left w:w="15" w:type="dxa"/>
              <w:bottom w:w="15" w:type="dxa"/>
              <w:right w:w="15" w:type="dxa"/>
            </w:tcMar>
            <w:vAlign w:val="center"/>
          </w:tcPr>
          <w:p w14:paraId="526C0F13">
            <w:pPr>
              <w:widowControl w:val="0"/>
              <w:spacing w:line="240" w:lineRule="auto"/>
              <w:ind w:firstLine="0" w:firstLineChars="0"/>
              <w:jc w:val="center"/>
              <w:rPr>
                <w:color w:val="000000"/>
                <w:sz w:val="13"/>
                <w:szCs w:val="13"/>
                <w:u w:val="none"/>
              </w:rPr>
            </w:pPr>
            <w:r>
              <w:rPr>
                <w:rFonts w:cs="Arial"/>
                <w:color w:val="000000"/>
                <w:sz w:val="13"/>
                <w:szCs w:val="13"/>
                <w:u w:val="none"/>
              </w:rPr>
              <w:t>≤</w:t>
            </w:r>
            <w:r>
              <w:rPr>
                <w:rFonts w:hint="eastAsia" w:cs="Arial"/>
                <w:color w:val="000000"/>
                <w:sz w:val="13"/>
                <w:szCs w:val="13"/>
                <w:u w:val="none"/>
              </w:rPr>
              <w:t>0.2</w:t>
            </w:r>
          </w:p>
        </w:tc>
      </w:tr>
    </w:tbl>
    <w:p w14:paraId="70E09F34">
      <w:pPr>
        <w:rPr>
          <w:strike w:val="0"/>
          <w:dstrike w:val="0"/>
          <w:color w:val="auto"/>
          <w:kern w:val="0"/>
          <w:sz w:val="24"/>
        </w:rPr>
      </w:pPr>
      <w:r>
        <w:rPr>
          <w:rFonts w:hint="eastAsia" w:cs="宋体"/>
          <w:kern w:val="0"/>
          <w:sz w:val="24"/>
          <w:u w:val="none"/>
          <w:lang w:val="en-US" w:eastAsia="zh-CN" w:bidi="zh-CN"/>
        </w:rPr>
        <w:t>由上表可知，近三年</w:t>
      </w:r>
      <w:r>
        <w:rPr>
          <w:rFonts w:hint="eastAsia"/>
          <w:color w:val="000000"/>
          <w:sz w:val="24"/>
          <w:szCs w:val="21"/>
        </w:rPr>
        <w:t>跳鱼洞电站</w:t>
      </w:r>
      <w:r>
        <w:rPr>
          <w:rFonts w:hint="eastAsia"/>
          <w:color w:val="000000"/>
          <w:sz w:val="24"/>
          <w:szCs w:val="21"/>
          <w:lang w:eastAsia="zh-CN"/>
        </w:rPr>
        <w:t>、</w:t>
      </w:r>
      <w:r>
        <w:rPr>
          <w:rFonts w:hint="eastAsia"/>
          <w:color w:val="000000"/>
          <w:sz w:val="24"/>
          <w:szCs w:val="21"/>
          <w:lang w:val="en-US" w:eastAsia="zh-CN"/>
        </w:rPr>
        <w:t>民安街道三湾塘村断面</w:t>
      </w:r>
      <w:r>
        <w:rPr>
          <w:rFonts w:hint="eastAsia" w:cs="宋体"/>
          <w:kern w:val="0"/>
          <w:sz w:val="24"/>
          <w:u w:val="none"/>
          <w:lang w:val="en-US" w:eastAsia="zh-CN" w:bidi="zh-CN"/>
        </w:rPr>
        <w:t>水质各监测因子均满足《地表水环境质量标准》(GB3838-2002)的III类标准要求。</w:t>
      </w:r>
      <w:r>
        <w:rPr>
          <w:strike w:val="0"/>
          <w:dstrike w:val="0"/>
          <w:color w:val="auto"/>
          <w:kern w:val="0"/>
          <w:sz w:val="24"/>
        </w:rPr>
        <w:br w:type="page"/>
      </w:r>
    </w:p>
    <w:p w14:paraId="576D7C4F">
      <w:pPr>
        <w:keepNext w:val="0"/>
        <w:keepLines w:val="0"/>
        <w:pageBreakBefore w:val="0"/>
        <w:widowControl w:val="0"/>
        <w:kinsoku/>
        <w:wordWrap/>
        <w:overflowPunct w:val="0"/>
        <w:topLinePunct w:val="0"/>
        <w:autoSpaceDE w:val="0"/>
        <w:autoSpaceDN w:val="0"/>
        <w:bidi w:val="0"/>
        <w:spacing w:before="0" w:after="0" w:line="360" w:lineRule="auto"/>
        <w:ind w:left="0" w:right="0" w:firstLine="480" w:firstLineChars="200"/>
        <w:jc w:val="left"/>
        <w:rPr>
          <w:rFonts w:hint="eastAsia" w:cs="宋体"/>
          <w:kern w:val="0"/>
          <w:sz w:val="24"/>
          <w:u w:val="none"/>
          <w:lang w:val="en-US" w:eastAsia="zh-CN" w:bidi="zh-CN"/>
        </w:rPr>
      </w:pPr>
      <w:r>
        <w:rPr>
          <w:rFonts w:hint="eastAsia" w:cs="宋体"/>
          <w:kern w:val="0"/>
          <w:sz w:val="24"/>
          <w:u w:val="none"/>
          <w:lang w:val="en-US" w:eastAsia="zh-CN" w:bidi="zh-CN"/>
        </w:rPr>
        <w:t>就两常规监测断面水质比较，</w:t>
      </w:r>
      <w:r>
        <w:rPr>
          <w:rFonts w:hint="eastAsia"/>
          <w:color w:val="000000"/>
          <w:sz w:val="24"/>
          <w:szCs w:val="21"/>
          <w:lang w:val="en-US" w:eastAsia="zh-CN"/>
        </w:rPr>
        <w:t>民安街道三湾塘村</w:t>
      </w:r>
      <w:r>
        <w:rPr>
          <w:rFonts w:hint="eastAsia" w:cs="宋体"/>
          <w:kern w:val="0"/>
          <w:sz w:val="24"/>
          <w:u w:val="none"/>
          <w:lang w:val="en-US" w:eastAsia="zh-CN" w:bidi="zh-CN"/>
        </w:rPr>
        <w:t>断面水质优于</w:t>
      </w:r>
      <w:r>
        <w:rPr>
          <w:rFonts w:hint="eastAsia"/>
          <w:color w:val="000000"/>
          <w:sz w:val="24"/>
          <w:szCs w:val="21"/>
        </w:rPr>
        <w:t>跳鱼洞电站</w:t>
      </w:r>
      <w:r>
        <w:rPr>
          <w:rFonts w:hint="eastAsia" w:cs="宋体"/>
          <w:kern w:val="0"/>
          <w:sz w:val="24"/>
          <w:u w:val="none"/>
          <w:lang w:val="en-US" w:eastAsia="zh-CN" w:bidi="zh-CN"/>
        </w:rPr>
        <w:t>断面水质，反映了河流上下游污染物汇聚和迁移的关系；就水质变化趋势看，近三年果利河、酉水水质监测的重金属因子浓度基本无变化，氨氮浓度稍有增加。</w:t>
      </w:r>
    </w:p>
    <w:p w14:paraId="7FC9260D">
      <w:pPr>
        <w:widowControl w:val="0"/>
        <w:snapToGrid w:val="0"/>
        <w:ind w:firstLine="0" w:firstLineChars="0"/>
        <w:jc w:val="center"/>
        <w:rPr>
          <w:b/>
          <w:color w:val="000000"/>
          <w:u w:val="none"/>
        </w:rPr>
      </w:pPr>
      <w:r>
        <w:rPr>
          <w:b/>
          <w:color w:val="000000"/>
          <w:u w:val="none"/>
        </w:rPr>
        <w:t>表</w:t>
      </w:r>
      <w:r>
        <w:rPr>
          <w:rFonts w:hint="eastAsia"/>
          <w:b/>
          <w:color w:val="000000"/>
          <w:u w:val="none"/>
          <w:lang w:val="en-US" w:eastAsia="zh-CN"/>
        </w:rPr>
        <w:t>2.2</w:t>
      </w:r>
      <w:r>
        <w:rPr>
          <w:b/>
          <w:color w:val="000000"/>
          <w:u w:val="none"/>
        </w:rPr>
        <w:t>-</w:t>
      </w:r>
      <w:r>
        <w:rPr>
          <w:rFonts w:hint="eastAsia"/>
          <w:b/>
          <w:color w:val="000000"/>
          <w:u w:val="none"/>
          <w:lang w:val="en-US" w:eastAsia="zh-CN"/>
        </w:rPr>
        <w:t>2</w:t>
      </w:r>
      <w:r>
        <w:rPr>
          <w:b/>
          <w:color w:val="000000"/>
          <w:u w:val="none"/>
        </w:rPr>
        <w:t xml:space="preserve"> </w:t>
      </w:r>
      <w:r>
        <w:rPr>
          <w:rFonts w:hint="eastAsia"/>
          <w:b/>
          <w:color w:val="000000"/>
          <w:u w:val="none"/>
        </w:rPr>
        <w:t>跳鱼洞电站常规监测断面202</w:t>
      </w:r>
      <w:r>
        <w:rPr>
          <w:rFonts w:hint="eastAsia"/>
          <w:b/>
          <w:color w:val="000000"/>
          <w:u w:val="none"/>
          <w:lang w:val="en-US" w:eastAsia="zh-CN"/>
        </w:rPr>
        <w:t>3</w:t>
      </w:r>
      <w:r>
        <w:rPr>
          <w:rFonts w:hint="eastAsia"/>
          <w:b/>
          <w:color w:val="000000"/>
          <w:u w:val="none"/>
        </w:rPr>
        <w:t>年01月～202</w:t>
      </w:r>
      <w:r>
        <w:rPr>
          <w:rFonts w:hint="eastAsia"/>
          <w:b/>
          <w:color w:val="000000"/>
          <w:u w:val="none"/>
          <w:lang w:val="en-US" w:eastAsia="zh-CN"/>
        </w:rPr>
        <w:t>4</w:t>
      </w:r>
      <w:r>
        <w:rPr>
          <w:rFonts w:hint="eastAsia"/>
          <w:b/>
          <w:color w:val="000000"/>
          <w:u w:val="none"/>
        </w:rPr>
        <w:t>年</w:t>
      </w:r>
      <w:r>
        <w:rPr>
          <w:rFonts w:hint="eastAsia"/>
          <w:b/>
          <w:color w:val="000000"/>
          <w:u w:val="none"/>
          <w:lang w:val="en-US" w:eastAsia="zh-CN"/>
        </w:rPr>
        <w:t>3</w:t>
      </w:r>
      <w:r>
        <w:rPr>
          <w:rFonts w:hint="eastAsia"/>
          <w:b/>
          <w:color w:val="000000"/>
          <w:u w:val="none"/>
        </w:rPr>
        <w:t>月断面浓度</w:t>
      </w:r>
      <w:r>
        <w:rPr>
          <w:b/>
          <w:color w:val="000000"/>
          <w:u w:val="none"/>
        </w:rPr>
        <w:t>情况</w:t>
      </w:r>
      <w:r>
        <w:rPr>
          <w:rFonts w:hint="eastAsia"/>
          <w:b/>
          <w:color w:val="000000"/>
          <w:u w:val="none"/>
        </w:rPr>
        <w:t xml:space="preserve"> 浓度单位mg/L（PH除外）</w:t>
      </w:r>
    </w:p>
    <w:tbl>
      <w:tblPr>
        <w:tblStyle w:val="32"/>
        <w:tblW w:w="14521" w:type="dxa"/>
        <w:tblInd w:w="-743"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78"/>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491"/>
        <w:gridCol w:w="1145"/>
      </w:tblGrid>
      <w:tr w14:paraId="3D4E5B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08" w:hRule="atLeast"/>
          <w:tblHeader/>
        </w:trPr>
        <w:tc>
          <w:tcPr>
            <w:tcW w:w="978" w:type="dxa"/>
            <w:tcBorders>
              <w:left w:val="single" w:color="auto" w:sz="4" w:space="0"/>
            </w:tcBorders>
            <w:noWrap w:val="0"/>
            <w:vAlign w:val="center"/>
          </w:tcPr>
          <w:p w14:paraId="763A8DE1">
            <w:pPr>
              <w:widowControl w:val="0"/>
              <w:snapToGrid w:val="0"/>
              <w:spacing w:line="240" w:lineRule="auto"/>
              <w:ind w:firstLine="0" w:firstLineChars="0"/>
              <w:jc w:val="center"/>
              <w:rPr>
                <w:b/>
                <w:bCs/>
                <w:color w:val="000000"/>
                <w:sz w:val="13"/>
                <w:szCs w:val="13"/>
                <w:u w:val="none"/>
              </w:rPr>
            </w:pPr>
            <w:r>
              <w:rPr>
                <w:rFonts w:hint="eastAsia"/>
                <w:b/>
                <w:bCs/>
                <w:color w:val="000000"/>
                <w:sz w:val="13"/>
                <w:szCs w:val="13"/>
                <w:u w:val="none"/>
              </w:rPr>
              <w:t>月份</w:t>
            </w:r>
          </w:p>
        </w:tc>
        <w:tc>
          <w:tcPr>
            <w:tcW w:w="567" w:type="dxa"/>
            <w:noWrap w:val="0"/>
            <w:tcMar>
              <w:top w:w="15" w:type="dxa"/>
              <w:left w:w="15" w:type="dxa"/>
              <w:bottom w:w="15" w:type="dxa"/>
              <w:right w:w="15" w:type="dxa"/>
            </w:tcMar>
            <w:vAlign w:val="center"/>
          </w:tcPr>
          <w:p w14:paraId="20338C39">
            <w:pPr>
              <w:widowControl w:val="0"/>
              <w:snapToGrid w:val="0"/>
              <w:spacing w:line="240" w:lineRule="auto"/>
              <w:ind w:firstLine="0" w:firstLineChars="0"/>
              <w:jc w:val="center"/>
              <w:textAlignment w:val="center"/>
              <w:rPr>
                <w:b/>
                <w:bCs/>
                <w:color w:val="000000"/>
                <w:sz w:val="13"/>
                <w:szCs w:val="13"/>
                <w:u w:val="none"/>
              </w:rPr>
            </w:pPr>
            <w:r>
              <w:rPr>
                <w:b/>
                <w:bCs/>
                <w:color w:val="000000"/>
                <w:kern w:val="0"/>
                <w:sz w:val="13"/>
                <w:szCs w:val="13"/>
                <w:u w:val="none"/>
                <w:lang w:bidi="ar"/>
              </w:rPr>
              <w:t>pH</w:t>
            </w:r>
            <w:r>
              <w:rPr>
                <w:rFonts w:cs="宋体"/>
                <w:b/>
                <w:bCs/>
                <w:color w:val="000000"/>
                <w:sz w:val="13"/>
                <w:szCs w:val="13"/>
                <w:u w:val="none"/>
                <w:lang w:bidi="ar"/>
              </w:rPr>
              <w:t>值</w:t>
            </w:r>
          </w:p>
        </w:tc>
        <w:tc>
          <w:tcPr>
            <w:tcW w:w="567" w:type="dxa"/>
            <w:noWrap w:val="0"/>
            <w:tcMar>
              <w:top w:w="15" w:type="dxa"/>
              <w:left w:w="15" w:type="dxa"/>
              <w:bottom w:w="15" w:type="dxa"/>
              <w:right w:w="15" w:type="dxa"/>
            </w:tcMar>
            <w:vAlign w:val="center"/>
          </w:tcPr>
          <w:p w14:paraId="17F54809">
            <w:pPr>
              <w:widowControl w:val="0"/>
              <w:snapToGrid w:val="0"/>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溶解氧</w:t>
            </w:r>
          </w:p>
        </w:tc>
        <w:tc>
          <w:tcPr>
            <w:tcW w:w="567" w:type="dxa"/>
            <w:noWrap w:val="0"/>
            <w:tcMar>
              <w:top w:w="15" w:type="dxa"/>
              <w:left w:w="15" w:type="dxa"/>
              <w:bottom w:w="15" w:type="dxa"/>
              <w:right w:w="15" w:type="dxa"/>
            </w:tcMar>
            <w:vAlign w:val="center"/>
          </w:tcPr>
          <w:p w14:paraId="36981864">
            <w:pPr>
              <w:widowControl w:val="0"/>
              <w:snapToGrid w:val="0"/>
              <w:spacing w:line="240" w:lineRule="auto"/>
              <w:ind w:firstLine="0" w:firstLineChars="0"/>
              <w:jc w:val="center"/>
              <w:textAlignment w:val="center"/>
              <w:rPr>
                <w:b/>
                <w:bCs/>
                <w:color w:val="000000"/>
                <w:sz w:val="13"/>
                <w:szCs w:val="13"/>
                <w:u w:val="none"/>
              </w:rPr>
            </w:pPr>
            <w:r>
              <w:rPr>
                <w:rFonts w:hint="eastAsia"/>
                <w:b/>
                <w:bCs/>
                <w:color w:val="000000"/>
                <w:sz w:val="13"/>
                <w:szCs w:val="13"/>
                <w:u w:val="none"/>
              </w:rPr>
              <w:t>高锰酯盐指数</w:t>
            </w:r>
          </w:p>
        </w:tc>
        <w:tc>
          <w:tcPr>
            <w:tcW w:w="567" w:type="dxa"/>
            <w:noWrap w:val="0"/>
            <w:tcMar>
              <w:top w:w="15" w:type="dxa"/>
              <w:left w:w="15" w:type="dxa"/>
              <w:bottom w:w="15" w:type="dxa"/>
              <w:right w:w="15" w:type="dxa"/>
            </w:tcMar>
            <w:vAlign w:val="center"/>
          </w:tcPr>
          <w:p w14:paraId="36FE17DA">
            <w:pPr>
              <w:widowControl w:val="0"/>
              <w:snapToGrid w:val="0"/>
              <w:spacing w:line="240" w:lineRule="auto"/>
              <w:ind w:firstLine="0" w:firstLineChars="0"/>
              <w:jc w:val="center"/>
              <w:textAlignment w:val="center"/>
              <w:rPr>
                <w:rFonts w:hint="eastAsia"/>
                <w:b/>
                <w:bCs/>
                <w:color w:val="000000"/>
                <w:kern w:val="0"/>
                <w:sz w:val="13"/>
                <w:szCs w:val="13"/>
                <w:u w:val="none"/>
                <w:lang w:bidi="ar"/>
              </w:rPr>
            </w:pPr>
            <w:r>
              <w:rPr>
                <w:rFonts w:hint="eastAsia"/>
                <w:b/>
                <w:bCs/>
                <w:color w:val="000000"/>
                <w:kern w:val="0"/>
                <w:sz w:val="13"/>
                <w:szCs w:val="13"/>
                <w:u w:val="none"/>
                <w:lang w:bidi="ar"/>
              </w:rPr>
              <w:t>化</w:t>
            </w:r>
            <w:r>
              <w:rPr>
                <w:rFonts w:hint="eastAsia"/>
                <w:b/>
                <w:bCs/>
                <w:color w:val="000000"/>
                <w:kern w:val="0"/>
                <w:sz w:val="13"/>
                <w:szCs w:val="13"/>
                <w:u w:val="none"/>
                <w:lang w:val="en-US" w:eastAsia="zh-CN" w:bidi="ar"/>
              </w:rPr>
              <w:t>学</w:t>
            </w:r>
            <w:r>
              <w:rPr>
                <w:rFonts w:hint="eastAsia"/>
                <w:b/>
                <w:bCs/>
                <w:color w:val="000000"/>
                <w:kern w:val="0"/>
                <w:sz w:val="13"/>
                <w:szCs w:val="13"/>
                <w:u w:val="none"/>
                <w:lang w:bidi="ar"/>
              </w:rPr>
              <w:t>需氧量</w:t>
            </w:r>
          </w:p>
        </w:tc>
        <w:tc>
          <w:tcPr>
            <w:tcW w:w="567" w:type="dxa"/>
            <w:noWrap w:val="0"/>
            <w:tcMar>
              <w:top w:w="15" w:type="dxa"/>
              <w:left w:w="15" w:type="dxa"/>
              <w:bottom w:w="15" w:type="dxa"/>
              <w:right w:w="15" w:type="dxa"/>
            </w:tcMar>
            <w:vAlign w:val="center"/>
          </w:tcPr>
          <w:p w14:paraId="5455540F">
            <w:pPr>
              <w:widowControl w:val="0"/>
              <w:snapToGrid w:val="0"/>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五日生化需氧量</w:t>
            </w:r>
          </w:p>
        </w:tc>
        <w:tc>
          <w:tcPr>
            <w:tcW w:w="567" w:type="dxa"/>
            <w:noWrap w:val="0"/>
            <w:tcMar>
              <w:top w:w="15" w:type="dxa"/>
              <w:left w:w="15" w:type="dxa"/>
              <w:bottom w:w="15" w:type="dxa"/>
              <w:right w:w="15" w:type="dxa"/>
            </w:tcMar>
            <w:vAlign w:val="center"/>
          </w:tcPr>
          <w:p w14:paraId="6F43EB78">
            <w:pPr>
              <w:widowControl w:val="0"/>
              <w:snapToGrid w:val="0"/>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氨氮</w:t>
            </w:r>
          </w:p>
        </w:tc>
        <w:tc>
          <w:tcPr>
            <w:tcW w:w="567" w:type="dxa"/>
            <w:noWrap w:val="0"/>
            <w:tcMar>
              <w:top w:w="15" w:type="dxa"/>
              <w:left w:w="15" w:type="dxa"/>
              <w:bottom w:w="15" w:type="dxa"/>
              <w:right w:w="15" w:type="dxa"/>
            </w:tcMar>
            <w:vAlign w:val="center"/>
          </w:tcPr>
          <w:p w14:paraId="17334AFB">
            <w:pPr>
              <w:widowControl w:val="0"/>
              <w:snapToGrid w:val="0"/>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总磷</w:t>
            </w:r>
          </w:p>
        </w:tc>
        <w:tc>
          <w:tcPr>
            <w:tcW w:w="567" w:type="dxa"/>
            <w:noWrap w:val="0"/>
            <w:tcMar>
              <w:top w:w="15" w:type="dxa"/>
              <w:left w:w="15" w:type="dxa"/>
              <w:bottom w:w="15" w:type="dxa"/>
              <w:right w:w="15" w:type="dxa"/>
            </w:tcMar>
            <w:vAlign w:val="center"/>
          </w:tcPr>
          <w:p w14:paraId="27E10F3B">
            <w:pPr>
              <w:widowControl w:val="0"/>
              <w:snapToGrid w:val="0"/>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铜</w:t>
            </w:r>
          </w:p>
        </w:tc>
        <w:tc>
          <w:tcPr>
            <w:tcW w:w="567" w:type="dxa"/>
            <w:noWrap w:val="0"/>
            <w:tcMar>
              <w:top w:w="15" w:type="dxa"/>
              <w:left w:w="15" w:type="dxa"/>
              <w:bottom w:w="15" w:type="dxa"/>
              <w:right w:w="15" w:type="dxa"/>
            </w:tcMar>
            <w:vAlign w:val="center"/>
          </w:tcPr>
          <w:p w14:paraId="5EBE1AE3">
            <w:pPr>
              <w:widowControl w:val="0"/>
              <w:snapToGrid w:val="0"/>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锌</w:t>
            </w:r>
          </w:p>
        </w:tc>
        <w:tc>
          <w:tcPr>
            <w:tcW w:w="567" w:type="dxa"/>
            <w:noWrap w:val="0"/>
            <w:tcMar>
              <w:top w:w="15" w:type="dxa"/>
              <w:left w:w="15" w:type="dxa"/>
              <w:bottom w:w="15" w:type="dxa"/>
              <w:right w:w="15" w:type="dxa"/>
            </w:tcMar>
            <w:vAlign w:val="center"/>
          </w:tcPr>
          <w:p w14:paraId="1B3B8715">
            <w:pPr>
              <w:widowControl w:val="0"/>
              <w:snapToGrid w:val="0"/>
              <w:spacing w:line="240" w:lineRule="auto"/>
              <w:ind w:firstLine="0" w:firstLineChars="0"/>
              <w:jc w:val="center"/>
              <w:textAlignment w:val="center"/>
              <w:rPr>
                <w:b/>
                <w:bCs/>
                <w:color w:val="000000"/>
                <w:sz w:val="13"/>
                <w:szCs w:val="13"/>
                <w:u w:val="none"/>
              </w:rPr>
            </w:pPr>
            <w:r>
              <w:rPr>
                <w:rFonts w:hint="eastAsia"/>
                <w:b/>
                <w:bCs/>
                <w:color w:val="000000"/>
                <w:sz w:val="13"/>
                <w:szCs w:val="13"/>
                <w:u w:val="none"/>
              </w:rPr>
              <w:t>氟化物</w:t>
            </w:r>
          </w:p>
        </w:tc>
        <w:tc>
          <w:tcPr>
            <w:tcW w:w="567" w:type="dxa"/>
            <w:noWrap w:val="0"/>
            <w:tcMar>
              <w:top w:w="15" w:type="dxa"/>
              <w:left w:w="15" w:type="dxa"/>
              <w:bottom w:w="15" w:type="dxa"/>
              <w:right w:w="15" w:type="dxa"/>
            </w:tcMar>
            <w:vAlign w:val="center"/>
          </w:tcPr>
          <w:p w14:paraId="0A181F97">
            <w:pPr>
              <w:widowControl w:val="0"/>
              <w:snapToGrid w:val="0"/>
              <w:spacing w:line="240" w:lineRule="auto"/>
              <w:ind w:firstLine="0" w:firstLineChars="0"/>
              <w:jc w:val="center"/>
              <w:textAlignment w:val="center"/>
              <w:rPr>
                <w:b/>
                <w:bCs/>
                <w:color w:val="000000"/>
                <w:sz w:val="13"/>
                <w:szCs w:val="13"/>
                <w:u w:val="none"/>
              </w:rPr>
            </w:pPr>
            <w:r>
              <w:rPr>
                <w:rFonts w:hint="eastAsia"/>
                <w:b/>
                <w:bCs/>
                <w:color w:val="000000"/>
                <w:sz w:val="13"/>
                <w:szCs w:val="13"/>
                <w:u w:val="none"/>
              </w:rPr>
              <w:t>硒</w:t>
            </w:r>
          </w:p>
        </w:tc>
        <w:tc>
          <w:tcPr>
            <w:tcW w:w="567" w:type="dxa"/>
            <w:noWrap w:val="0"/>
            <w:tcMar>
              <w:top w:w="15" w:type="dxa"/>
              <w:left w:w="15" w:type="dxa"/>
              <w:bottom w:w="15" w:type="dxa"/>
              <w:right w:w="15" w:type="dxa"/>
            </w:tcMar>
            <w:vAlign w:val="center"/>
          </w:tcPr>
          <w:p w14:paraId="42D32787">
            <w:pPr>
              <w:widowControl w:val="0"/>
              <w:snapToGrid w:val="0"/>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砷</w:t>
            </w:r>
          </w:p>
        </w:tc>
        <w:tc>
          <w:tcPr>
            <w:tcW w:w="567" w:type="dxa"/>
            <w:noWrap w:val="0"/>
            <w:tcMar>
              <w:top w:w="15" w:type="dxa"/>
              <w:left w:w="15" w:type="dxa"/>
              <w:bottom w:w="15" w:type="dxa"/>
              <w:right w:w="15" w:type="dxa"/>
            </w:tcMar>
            <w:vAlign w:val="center"/>
          </w:tcPr>
          <w:p w14:paraId="45AE203E">
            <w:pPr>
              <w:widowControl w:val="0"/>
              <w:snapToGrid w:val="0"/>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汞</w:t>
            </w:r>
          </w:p>
        </w:tc>
        <w:tc>
          <w:tcPr>
            <w:tcW w:w="567" w:type="dxa"/>
            <w:noWrap w:val="0"/>
            <w:tcMar>
              <w:top w:w="15" w:type="dxa"/>
              <w:left w:w="15" w:type="dxa"/>
              <w:bottom w:w="15" w:type="dxa"/>
              <w:right w:w="15" w:type="dxa"/>
            </w:tcMar>
            <w:vAlign w:val="center"/>
          </w:tcPr>
          <w:p w14:paraId="2F1DF1EC">
            <w:pPr>
              <w:widowControl w:val="0"/>
              <w:snapToGrid w:val="0"/>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镉</w:t>
            </w:r>
          </w:p>
        </w:tc>
        <w:tc>
          <w:tcPr>
            <w:tcW w:w="567" w:type="dxa"/>
            <w:noWrap w:val="0"/>
            <w:tcMar>
              <w:top w:w="15" w:type="dxa"/>
              <w:left w:w="15" w:type="dxa"/>
              <w:bottom w:w="15" w:type="dxa"/>
              <w:right w:w="15" w:type="dxa"/>
            </w:tcMar>
            <w:vAlign w:val="center"/>
          </w:tcPr>
          <w:p w14:paraId="6D974532">
            <w:pPr>
              <w:widowControl w:val="0"/>
              <w:snapToGrid w:val="0"/>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六价铬</w:t>
            </w:r>
          </w:p>
        </w:tc>
        <w:tc>
          <w:tcPr>
            <w:tcW w:w="567" w:type="dxa"/>
            <w:noWrap w:val="0"/>
            <w:tcMar>
              <w:top w:w="15" w:type="dxa"/>
              <w:left w:w="15" w:type="dxa"/>
              <w:bottom w:w="15" w:type="dxa"/>
              <w:right w:w="15" w:type="dxa"/>
            </w:tcMar>
            <w:vAlign w:val="center"/>
          </w:tcPr>
          <w:p w14:paraId="1265E0EC">
            <w:pPr>
              <w:widowControl w:val="0"/>
              <w:snapToGrid w:val="0"/>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铅</w:t>
            </w:r>
          </w:p>
        </w:tc>
        <w:tc>
          <w:tcPr>
            <w:tcW w:w="567" w:type="dxa"/>
            <w:noWrap w:val="0"/>
            <w:tcMar>
              <w:top w:w="15" w:type="dxa"/>
              <w:left w:w="15" w:type="dxa"/>
              <w:bottom w:w="15" w:type="dxa"/>
              <w:right w:w="15" w:type="dxa"/>
            </w:tcMar>
            <w:vAlign w:val="center"/>
          </w:tcPr>
          <w:p w14:paraId="30D2596A">
            <w:pPr>
              <w:widowControl w:val="0"/>
              <w:snapToGrid w:val="0"/>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氰化物</w:t>
            </w:r>
          </w:p>
        </w:tc>
        <w:tc>
          <w:tcPr>
            <w:tcW w:w="567" w:type="dxa"/>
            <w:noWrap w:val="0"/>
            <w:tcMar>
              <w:top w:w="15" w:type="dxa"/>
              <w:left w:w="15" w:type="dxa"/>
              <w:bottom w:w="15" w:type="dxa"/>
              <w:right w:w="15" w:type="dxa"/>
            </w:tcMar>
            <w:vAlign w:val="center"/>
          </w:tcPr>
          <w:p w14:paraId="6F6C0161">
            <w:pPr>
              <w:widowControl w:val="0"/>
              <w:snapToGrid w:val="0"/>
              <w:spacing w:line="240" w:lineRule="auto"/>
              <w:ind w:firstLine="0" w:firstLineChars="0"/>
              <w:jc w:val="center"/>
              <w:textAlignment w:val="center"/>
              <w:rPr>
                <w:b/>
                <w:bCs/>
                <w:color w:val="000000"/>
                <w:sz w:val="13"/>
                <w:szCs w:val="13"/>
                <w:u w:val="none"/>
              </w:rPr>
            </w:pPr>
            <w:r>
              <w:rPr>
                <w:rFonts w:hint="eastAsia"/>
                <w:b/>
                <w:bCs/>
                <w:color w:val="000000"/>
                <w:sz w:val="13"/>
                <w:szCs w:val="13"/>
                <w:u w:val="none"/>
              </w:rPr>
              <w:t>挥发酚</w:t>
            </w:r>
          </w:p>
        </w:tc>
        <w:tc>
          <w:tcPr>
            <w:tcW w:w="567" w:type="dxa"/>
            <w:noWrap w:val="0"/>
            <w:tcMar>
              <w:top w:w="15" w:type="dxa"/>
              <w:left w:w="15" w:type="dxa"/>
              <w:bottom w:w="15" w:type="dxa"/>
              <w:right w:w="15" w:type="dxa"/>
            </w:tcMar>
            <w:vAlign w:val="center"/>
          </w:tcPr>
          <w:p w14:paraId="7EAD2C63">
            <w:pPr>
              <w:widowControl w:val="0"/>
              <w:snapToGrid w:val="0"/>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石油类</w:t>
            </w:r>
          </w:p>
        </w:tc>
        <w:tc>
          <w:tcPr>
            <w:tcW w:w="567" w:type="dxa"/>
            <w:noWrap w:val="0"/>
            <w:tcMar>
              <w:top w:w="15" w:type="dxa"/>
              <w:left w:w="15" w:type="dxa"/>
              <w:bottom w:w="15" w:type="dxa"/>
              <w:right w:w="15" w:type="dxa"/>
            </w:tcMar>
            <w:vAlign w:val="center"/>
          </w:tcPr>
          <w:p w14:paraId="2A1C7DA3">
            <w:pPr>
              <w:widowControl w:val="0"/>
              <w:snapToGrid w:val="0"/>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阴离子表面活性剂</w:t>
            </w:r>
          </w:p>
        </w:tc>
        <w:tc>
          <w:tcPr>
            <w:tcW w:w="567" w:type="dxa"/>
            <w:noWrap w:val="0"/>
            <w:tcMar>
              <w:top w:w="15" w:type="dxa"/>
              <w:left w:w="15" w:type="dxa"/>
              <w:bottom w:w="15" w:type="dxa"/>
              <w:right w:w="15" w:type="dxa"/>
            </w:tcMar>
            <w:vAlign w:val="center"/>
          </w:tcPr>
          <w:p w14:paraId="1B1A380E">
            <w:pPr>
              <w:widowControl w:val="0"/>
              <w:snapToGrid w:val="0"/>
              <w:spacing w:line="240" w:lineRule="auto"/>
              <w:ind w:firstLine="0" w:firstLineChars="0"/>
              <w:jc w:val="center"/>
              <w:textAlignment w:val="center"/>
              <w:rPr>
                <w:b/>
                <w:bCs/>
                <w:color w:val="000000"/>
                <w:sz w:val="13"/>
                <w:szCs w:val="13"/>
                <w:u w:val="none"/>
              </w:rPr>
            </w:pPr>
            <w:r>
              <w:rPr>
                <w:rFonts w:hint="eastAsia"/>
                <w:b/>
                <w:bCs/>
                <w:color w:val="000000"/>
                <w:kern w:val="0"/>
                <w:sz w:val="13"/>
                <w:szCs w:val="13"/>
                <w:u w:val="none"/>
                <w:lang w:bidi="ar"/>
              </w:rPr>
              <w:t>硫化物</w:t>
            </w:r>
          </w:p>
        </w:tc>
        <w:tc>
          <w:tcPr>
            <w:tcW w:w="491" w:type="dxa"/>
            <w:noWrap w:val="0"/>
            <w:vAlign w:val="center"/>
          </w:tcPr>
          <w:p w14:paraId="51F3884B">
            <w:pPr>
              <w:widowControl w:val="0"/>
              <w:snapToGrid w:val="0"/>
              <w:spacing w:line="240" w:lineRule="auto"/>
              <w:ind w:firstLine="0" w:firstLineChars="0"/>
              <w:jc w:val="center"/>
              <w:textAlignment w:val="center"/>
              <w:rPr>
                <w:b/>
                <w:bCs/>
                <w:color w:val="000000"/>
                <w:kern w:val="0"/>
                <w:sz w:val="13"/>
                <w:szCs w:val="13"/>
                <w:u w:val="none"/>
                <w:lang w:bidi="ar"/>
              </w:rPr>
            </w:pPr>
            <w:r>
              <w:rPr>
                <w:rFonts w:hint="eastAsia"/>
                <w:b/>
                <w:bCs/>
                <w:color w:val="000000"/>
                <w:kern w:val="0"/>
                <w:sz w:val="13"/>
                <w:szCs w:val="13"/>
                <w:u w:val="none"/>
                <w:lang w:bidi="ar"/>
              </w:rPr>
              <w:t>水质类别</w:t>
            </w:r>
          </w:p>
        </w:tc>
        <w:tc>
          <w:tcPr>
            <w:tcW w:w="1145" w:type="dxa"/>
            <w:noWrap w:val="0"/>
            <w:vAlign w:val="center"/>
          </w:tcPr>
          <w:p w14:paraId="3402B058">
            <w:pPr>
              <w:widowControl w:val="0"/>
              <w:snapToGrid w:val="0"/>
              <w:spacing w:line="240" w:lineRule="auto"/>
              <w:ind w:firstLine="0" w:firstLineChars="0"/>
              <w:jc w:val="center"/>
              <w:textAlignment w:val="center"/>
              <w:rPr>
                <w:rFonts w:hint="eastAsia"/>
                <w:b/>
                <w:bCs/>
                <w:color w:val="000000"/>
                <w:kern w:val="0"/>
                <w:sz w:val="13"/>
                <w:szCs w:val="13"/>
                <w:u w:val="none"/>
                <w:lang w:bidi="ar"/>
              </w:rPr>
            </w:pPr>
            <w:r>
              <w:rPr>
                <w:rFonts w:hint="eastAsia"/>
                <w:b/>
                <w:bCs/>
                <w:color w:val="000000"/>
                <w:kern w:val="0"/>
                <w:sz w:val="13"/>
                <w:szCs w:val="13"/>
                <w:u w:val="none"/>
                <w:lang w:bidi="ar"/>
              </w:rPr>
              <w:t>超标污染物</w:t>
            </w:r>
          </w:p>
        </w:tc>
      </w:tr>
      <w:tr w14:paraId="55DB0B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978" w:type="dxa"/>
            <w:tcBorders>
              <w:left w:val="single" w:color="auto" w:sz="4" w:space="0"/>
            </w:tcBorders>
            <w:noWrap w:val="0"/>
            <w:vAlign w:val="center"/>
          </w:tcPr>
          <w:p w14:paraId="27C97F29">
            <w:pPr>
              <w:widowControl w:val="0"/>
              <w:snapToGrid w:val="0"/>
              <w:spacing w:line="240" w:lineRule="auto"/>
              <w:ind w:firstLine="0" w:firstLineChars="0"/>
              <w:jc w:val="center"/>
              <w:textAlignment w:val="center"/>
              <w:rPr>
                <w:color w:val="000000"/>
                <w:kern w:val="0"/>
                <w:sz w:val="13"/>
                <w:szCs w:val="13"/>
                <w:u w:val="none"/>
                <w:lang w:bidi="ar"/>
              </w:rPr>
            </w:pPr>
            <w:r>
              <w:rPr>
                <w:color w:val="000000"/>
                <w:kern w:val="0"/>
                <w:sz w:val="13"/>
                <w:szCs w:val="13"/>
                <w:u w:val="none"/>
                <w:lang w:bidi="ar"/>
              </w:rPr>
              <w:t>202</w:t>
            </w:r>
            <w:r>
              <w:rPr>
                <w:rFonts w:hint="eastAsia"/>
                <w:color w:val="000000"/>
                <w:kern w:val="0"/>
                <w:sz w:val="13"/>
                <w:szCs w:val="13"/>
                <w:u w:val="none"/>
                <w:lang w:val="en-US" w:eastAsia="zh-CN" w:bidi="ar"/>
              </w:rPr>
              <w:t>3</w:t>
            </w:r>
            <w:r>
              <w:rPr>
                <w:rFonts w:hint="eastAsia"/>
                <w:color w:val="000000"/>
                <w:kern w:val="0"/>
                <w:sz w:val="13"/>
                <w:szCs w:val="13"/>
                <w:u w:val="none"/>
                <w:lang w:bidi="ar"/>
              </w:rPr>
              <w:t>年1月</w:t>
            </w:r>
          </w:p>
        </w:tc>
        <w:tc>
          <w:tcPr>
            <w:tcW w:w="567" w:type="dxa"/>
            <w:noWrap w:val="0"/>
            <w:tcMar>
              <w:top w:w="15" w:type="dxa"/>
              <w:left w:w="15" w:type="dxa"/>
              <w:bottom w:w="15" w:type="dxa"/>
              <w:right w:w="15" w:type="dxa"/>
            </w:tcMar>
            <w:vAlign w:val="center"/>
          </w:tcPr>
          <w:p w14:paraId="318133E3">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w:t>
            </w:r>
          </w:p>
        </w:tc>
        <w:tc>
          <w:tcPr>
            <w:tcW w:w="567" w:type="dxa"/>
            <w:noWrap w:val="0"/>
            <w:tcMar>
              <w:top w:w="15" w:type="dxa"/>
              <w:left w:w="15" w:type="dxa"/>
              <w:bottom w:w="15" w:type="dxa"/>
              <w:right w:w="15" w:type="dxa"/>
            </w:tcMar>
            <w:vAlign w:val="center"/>
          </w:tcPr>
          <w:p w14:paraId="25B726A1">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7.9</w:t>
            </w:r>
          </w:p>
        </w:tc>
        <w:tc>
          <w:tcPr>
            <w:tcW w:w="567" w:type="dxa"/>
            <w:noWrap w:val="0"/>
            <w:tcMar>
              <w:top w:w="15" w:type="dxa"/>
              <w:left w:w="15" w:type="dxa"/>
              <w:bottom w:w="15" w:type="dxa"/>
              <w:right w:w="15" w:type="dxa"/>
            </w:tcMar>
            <w:vAlign w:val="center"/>
          </w:tcPr>
          <w:p w14:paraId="00781EC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1.2</w:t>
            </w:r>
          </w:p>
        </w:tc>
        <w:tc>
          <w:tcPr>
            <w:tcW w:w="567" w:type="dxa"/>
            <w:noWrap w:val="0"/>
            <w:tcMar>
              <w:top w:w="15" w:type="dxa"/>
              <w:left w:w="15" w:type="dxa"/>
              <w:bottom w:w="15" w:type="dxa"/>
              <w:right w:w="15" w:type="dxa"/>
            </w:tcMar>
            <w:vAlign w:val="center"/>
          </w:tcPr>
          <w:p w14:paraId="006E5050">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13</w:t>
            </w:r>
          </w:p>
        </w:tc>
        <w:tc>
          <w:tcPr>
            <w:tcW w:w="567" w:type="dxa"/>
            <w:noWrap w:val="0"/>
            <w:tcMar>
              <w:top w:w="15" w:type="dxa"/>
              <w:left w:w="15" w:type="dxa"/>
              <w:bottom w:w="15" w:type="dxa"/>
              <w:right w:w="15" w:type="dxa"/>
            </w:tcMar>
            <w:vAlign w:val="center"/>
          </w:tcPr>
          <w:p w14:paraId="11BCFCB6">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1.4</w:t>
            </w:r>
          </w:p>
        </w:tc>
        <w:tc>
          <w:tcPr>
            <w:tcW w:w="567" w:type="dxa"/>
            <w:noWrap w:val="0"/>
            <w:tcMar>
              <w:top w:w="15" w:type="dxa"/>
              <w:left w:w="15" w:type="dxa"/>
              <w:bottom w:w="15" w:type="dxa"/>
              <w:right w:w="15" w:type="dxa"/>
            </w:tcMar>
            <w:vAlign w:val="center"/>
          </w:tcPr>
          <w:p w14:paraId="27CDC67A">
            <w:pPr>
              <w:widowControl w:val="0"/>
              <w:snapToGrid w:val="0"/>
              <w:spacing w:line="240" w:lineRule="auto"/>
              <w:ind w:firstLine="0" w:firstLineChars="0"/>
              <w:jc w:val="center"/>
              <w:rPr>
                <w:rFonts w:hint="default"/>
                <w:color w:val="000000"/>
                <w:kern w:val="0"/>
                <w:sz w:val="13"/>
                <w:szCs w:val="13"/>
                <w:u w:val="none"/>
                <w:lang w:val="en-US" w:eastAsia="zh-CN" w:bidi="ar"/>
              </w:rPr>
            </w:pPr>
            <w:r>
              <w:rPr>
                <w:rFonts w:hint="eastAsia"/>
                <w:color w:val="000000"/>
                <w:kern w:val="0"/>
                <w:sz w:val="13"/>
                <w:szCs w:val="13"/>
                <w:u w:val="none"/>
                <w:lang w:val="en-US" w:eastAsia="zh-CN" w:bidi="ar"/>
              </w:rPr>
              <w:t>0.4</w:t>
            </w:r>
          </w:p>
        </w:tc>
        <w:tc>
          <w:tcPr>
            <w:tcW w:w="567" w:type="dxa"/>
            <w:noWrap w:val="0"/>
            <w:tcMar>
              <w:top w:w="15" w:type="dxa"/>
              <w:left w:w="15" w:type="dxa"/>
              <w:bottom w:w="15" w:type="dxa"/>
              <w:right w:w="15" w:type="dxa"/>
            </w:tcMar>
            <w:vAlign w:val="center"/>
          </w:tcPr>
          <w:p w14:paraId="57270218">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0.08</w:t>
            </w:r>
          </w:p>
        </w:tc>
        <w:tc>
          <w:tcPr>
            <w:tcW w:w="567" w:type="dxa"/>
            <w:noWrap w:val="0"/>
            <w:tcMar>
              <w:top w:w="15" w:type="dxa"/>
              <w:left w:w="15" w:type="dxa"/>
              <w:bottom w:w="15" w:type="dxa"/>
              <w:right w:w="15" w:type="dxa"/>
            </w:tcMar>
            <w:vAlign w:val="center"/>
          </w:tcPr>
          <w:p w14:paraId="78B95DA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0.001</w:t>
            </w:r>
          </w:p>
        </w:tc>
        <w:tc>
          <w:tcPr>
            <w:tcW w:w="567" w:type="dxa"/>
            <w:noWrap w:val="0"/>
            <w:tcMar>
              <w:top w:w="15" w:type="dxa"/>
              <w:left w:w="15" w:type="dxa"/>
              <w:bottom w:w="15" w:type="dxa"/>
              <w:right w:w="15" w:type="dxa"/>
            </w:tcMar>
            <w:vAlign w:val="center"/>
          </w:tcPr>
          <w:p w14:paraId="08E112F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0.004L</w:t>
            </w:r>
          </w:p>
        </w:tc>
        <w:tc>
          <w:tcPr>
            <w:tcW w:w="567" w:type="dxa"/>
            <w:noWrap w:val="0"/>
            <w:tcMar>
              <w:top w:w="15" w:type="dxa"/>
              <w:left w:w="15" w:type="dxa"/>
              <w:bottom w:w="15" w:type="dxa"/>
              <w:right w:w="15" w:type="dxa"/>
            </w:tcMar>
            <w:vAlign w:val="center"/>
          </w:tcPr>
          <w:p w14:paraId="23357AEA">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0.168</w:t>
            </w:r>
          </w:p>
        </w:tc>
        <w:tc>
          <w:tcPr>
            <w:tcW w:w="567" w:type="dxa"/>
            <w:noWrap w:val="0"/>
            <w:tcMar>
              <w:top w:w="15" w:type="dxa"/>
              <w:left w:w="15" w:type="dxa"/>
              <w:bottom w:w="15" w:type="dxa"/>
              <w:right w:w="15" w:type="dxa"/>
            </w:tcMar>
            <w:vAlign w:val="center"/>
          </w:tcPr>
          <w:p w14:paraId="4E777A8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0.00041L</w:t>
            </w:r>
          </w:p>
        </w:tc>
        <w:tc>
          <w:tcPr>
            <w:tcW w:w="567" w:type="dxa"/>
            <w:noWrap w:val="0"/>
            <w:tcMar>
              <w:top w:w="15" w:type="dxa"/>
              <w:left w:w="15" w:type="dxa"/>
              <w:bottom w:w="15" w:type="dxa"/>
              <w:right w:w="15" w:type="dxa"/>
            </w:tcMar>
            <w:vAlign w:val="center"/>
          </w:tcPr>
          <w:p w14:paraId="3C2D6C5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0.0005</w:t>
            </w:r>
          </w:p>
        </w:tc>
        <w:tc>
          <w:tcPr>
            <w:tcW w:w="567" w:type="dxa"/>
            <w:noWrap w:val="0"/>
            <w:tcMar>
              <w:top w:w="15" w:type="dxa"/>
              <w:left w:w="15" w:type="dxa"/>
              <w:bottom w:w="15" w:type="dxa"/>
              <w:right w:w="15" w:type="dxa"/>
            </w:tcMar>
            <w:vAlign w:val="center"/>
          </w:tcPr>
          <w:p w14:paraId="3CFC5A1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0.00004L</w:t>
            </w:r>
          </w:p>
        </w:tc>
        <w:tc>
          <w:tcPr>
            <w:tcW w:w="567" w:type="dxa"/>
            <w:noWrap w:val="0"/>
            <w:tcMar>
              <w:top w:w="15" w:type="dxa"/>
              <w:left w:w="15" w:type="dxa"/>
              <w:bottom w:w="15" w:type="dxa"/>
              <w:right w:w="15" w:type="dxa"/>
            </w:tcMar>
            <w:vAlign w:val="center"/>
          </w:tcPr>
          <w:p w14:paraId="7E50D6B9">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0.00005L</w:t>
            </w:r>
          </w:p>
        </w:tc>
        <w:tc>
          <w:tcPr>
            <w:tcW w:w="567" w:type="dxa"/>
            <w:noWrap w:val="0"/>
            <w:tcMar>
              <w:top w:w="15" w:type="dxa"/>
              <w:left w:w="15" w:type="dxa"/>
              <w:bottom w:w="15" w:type="dxa"/>
              <w:right w:w="15" w:type="dxa"/>
            </w:tcMar>
            <w:vAlign w:val="center"/>
          </w:tcPr>
          <w:p w14:paraId="1F6C8310">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0.004L</w:t>
            </w:r>
          </w:p>
        </w:tc>
        <w:tc>
          <w:tcPr>
            <w:tcW w:w="567" w:type="dxa"/>
            <w:noWrap w:val="0"/>
            <w:tcMar>
              <w:top w:w="15" w:type="dxa"/>
              <w:left w:w="15" w:type="dxa"/>
              <w:bottom w:w="15" w:type="dxa"/>
              <w:right w:w="15" w:type="dxa"/>
            </w:tcMar>
            <w:vAlign w:val="center"/>
          </w:tcPr>
          <w:p w14:paraId="396A6015">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0.00009L</w:t>
            </w:r>
          </w:p>
        </w:tc>
        <w:tc>
          <w:tcPr>
            <w:tcW w:w="567" w:type="dxa"/>
            <w:noWrap w:val="0"/>
            <w:tcMar>
              <w:top w:w="15" w:type="dxa"/>
              <w:left w:w="15" w:type="dxa"/>
              <w:bottom w:w="15" w:type="dxa"/>
              <w:right w:w="15" w:type="dxa"/>
            </w:tcMar>
            <w:vAlign w:val="center"/>
          </w:tcPr>
          <w:p w14:paraId="74D08321">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0.001L</w:t>
            </w:r>
          </w:p>
        </w:tc>
        <w:tc>
          <w:tcPr>
            <w:tcW w:w="567" w:type="dxa"/>
            <w:noWrap w:val="0"/>
            <w:tcMar>
              <w:top w:w="15" w:type="dxa"/>
              <w:left w:w="15" w:type="dxa"/>
              <w:bottom w:w="15" w:type="dxa"/>
              <w:right w:w="15" w:type="dxa"/>
            </w:tcMar>
            <w:vAlign w:val="center"/>
          </w:tcPr>
          <w:p w14:paraId="488482A8">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0.0003L</w:t>
            </w:r>
          </w:p>
        </w:tc>
        <w:tc>
          <w:tcPr>
            <w:tcW w:w="567" w:type="dxa"/>
            <w:noWrap w:val="0"/>
            <w:tcMar>
              <w:top w:w="15" w:type="dxa"/>
              <w:left w:w="15" w:type="dxa"/>
              <w:bottom w:w="15" w:type="dxa"/>
              <w:right w:w="15" w:type="dxa"/>
            </w:tcMar>
            <w:vAlign w:val="center"/>
          </w:tcPr>
          <w:p w14:paraId="4938336B">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567" w:type="dxa"/>
            <w:noWrap w:val="0"/>
            <w:tcMar>
              <w:top w:w="15" w:type="dxa"/>
              <w:left w:w="15" w:type="dxa"/>
              <w:bottom w:w="15" w:type="dxa"/>
              <w:right w:w="15" w:type="dxa"/>
            </w:tcMar>
            <w:vAlign w:val="center"/>
          </w:tcPr>
          <w:p w14:paraId="1936A569">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0.05L</w:t>
            </w:r>
          </w:p>
        </w:tc>
        <w:tc>
          <w:tcPr>
            <w:tcW w:w="567" w:type="dxa"/>
            <w:noWrap w:val="0"/>
            <w:tcMar>
              <w:top w:w="15" w:type="dxa"/>
              <w:left w:w="15" w:type="dxa"/>
              <w:bottom w:w="15" w:type="dxa"/>
              <w:right w:w="15" w:type="dxa"/>
            </w:tcMar>
            <w:vAlign w:val="center"/>
          </w:tcPr>
          <w:p w14:paraId="2F043F99">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491" w:type="dxa"/>
            <w:noWrap w:val="0"/>
            <w:vAlign w:val="center"/>
          </w:tcPr>
          <w:p w14:paraId="499DA9EA">
            <w:pPr>
              <w:widowControl w:val="0"/>
              <w:snapToGrid w:val="0"/>
              <w:spacing w:line="240" w:lineRule="auto"/>
              <w:ind w:firstLine="0" w:firstLineChars="0"/>
              <w:jc w:val="center"/>
              <w:rPr>
                <w:rFonts w:hint="eastAsia"/>
                <w:color w:val="000000"/>
                <w:kern w:val="0"/>
                <w:sz w:val="13"/>
                <w:szCs w:val="13"/>
                <w:u w:val="none"/>
                <w:lang w:bidi="ar"/>
              </w:rPr>
            </w:pPr>
            <w:r>
              <w:rPr>
                <w:rFonts w:hint="eastAsia"/>
                <w:color w:val="000000"/>
                <w:kern w:val="0"/>
                <w:sz w:val="13"/>
                <w:szCs w:val="13"/>
                <w:u w:val="none"/>
                <w:lang w:val="en-US" w:eastAsia="zh-CN" w:bidi="ar"/>
              </w:rPr>
              <w:t>Ⅱ类</w:t>
            </w:r>
          </w:p>
        </w:tc>
        <w:tc>
          <w:tcPr>
            <w:tcW w:w="1145" w:type="dxa"/>
            <w:noWrap w:val="0"/>
            <w:vAlign w:val="center"/>
          </w:tcPr>
          <w:p w14:paraId="5C7188A2">
            <w:pPr>
              <w:widowControl w:val="0"/>
              <w:snapToGrid w:val="0"/>
              <w:spacing w:line="240" w:lineRule="auto"/>
              <w:ind w:firstLine="0" w:firstLineChars="0"/>
              <w:jc w:val="center"/>
              <w:rPr>
                <w:rFonts w:hint="eastAsia"/>
                <w:color w:val="000000"/>
                <w:kern w:val="0"/>
                <w:sz w:val="13"/>
                <w:szCs w:val="13"/>
                <w:u w:val="none"/>
                <w:lang w:bidi="ar"/>
              </w:rPr>
            </w:pPr>
            <w:r>
              <w:rPr>
                <w:rFonts w:hint="eastAsia"/>
                <w:color w:val="000000"/>
                <w:kern w:val="0"/>
                <w:sz w:val="13"/>
                <w:szCs w:val="13"/>
                <w:u w:val="none"/>
                <w:lang w:val="en-US" w:eastAsia="zh-CN" w:bidi="ar"/>
              </w:rPr>
              <w:t xml:space="preserve"> </w:t>
            </w:r>
          </w:p>
        </w:tc>
      </w:tr>
      <w:tr w14:paraId="440B81B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1" w:hRule="atLeast"/>
        </w:trPr>
        <w:tc>
          <w:tcPr>
            <w:tcW w:w="978" w:type="dxa"/>
            <w:tcBorders>
              <w:left w:val="single" w:color="auto" w:sz="4" w:space="0"/>
            </w:tcBorders>
            <w:noWrap w:val="0"/>
            <w:vAlign w:val="center"/>
          </w:tcPr>
          <w:p w14:paraId="78C153C5">
            <w:pPr>
              <w:widowControl w:val="0"/>
              <w:snapToGrid w:val="0"/>
              <w:spacing w:line="240" w:lineRule="auto"/>
              <w:ind w:firstLine="0" w:firstLineChars="0"/>
              <w:jc w:val="center"/>
              <w:textAlignment w:val="center"/>
              <w:rPr>
                <w:color w:val="000000"/>
                <w:kern w:val="0"/>
                <w:sz w:val="13"/>
                <w:szCs w:val="13"/>
                <w:u w:val="none"/>
                <w:lang w:bidi="ar"/>
              </w:rPr>
            </w:pPr>
            <w:r>
              <w:rPr>
                <w:color w:val="000000"/>
                <w:kern w:val="0"/>
                <w:sz w:val="13"/>
                <w:szCs w:val="13"/>
                <w:u w:val="none"/>
                <w:lang w:bidi="ar"/>
              </w:rPr>
              <w:t>202</w:t>
            </w:r>
            <w:r>
              <w:rPr>
                <w:rFonts w:hint="eastAsia"/>
                <w:color w:val="000000"/>
                <w:kern w:val="0"/>
                <w:sz w:val="13"/>
                <w:szCs w:val="13"/>
                <w:u w:val="none"/>
                <w:lang w:val="en-US" w:eastAsia="zh-CN" w:bidi="ar"/>
              </w:rPr>
              <w:t>3</w:t>
            </w:r>
            <w:r>
              <w:rPr>
                <w:rFonts w:hint="eastAsia"/>
                <w:color w:val="000000"/>
                <w:kern w:val="0"/>
                <w:sz w:val="13"/>
                <w:szCs w:val="13"/>
                <w:u w:val="none"/>
                <w:lang w:bidi="ar"/>
              </w:rPr>
              <w:t>年</w:t>
            </w:r>
            <w:r>
              <w:rPr>
                <w:color w:val="000000"/>
                <w:kern w:val="0"/>
                <w:sz w:val="13"/>
                <w:szCs w:val="13"/>
                <w:u w:val="none"/>
                <w:lang w:bidi="ar"/>
              </w:rPr>
              <w:t>2</w:t>
            </w:r>
            <w:r>
              <w:rPr>
                <w:rFonts w:hint="eastAsia"/>
                <w:color w:val="000000"/>
                <w:kern w:val="0"/>
                <w:sz w:val="13"/>
                <w:szCs w:val="13"/>
                <w:u w:val="none"/>
                <w:lang w:bidi="ar"/>
              </w:rPr>
              <w:t>月</w:t>
            </w:r>
          </w:p>
        </w:tc>
        <w:tc>
          <w:tcPr>
            <w:tcW w:w="567" w:type="dxa"/>
            <w:noWrap w:val="0"/>
            <w:tcMar>
              <w:top w:w="15" w:type="dxa"/>
              <w:left w:w="15" w:type="dxa"/>
              <w:bottom w:w="15" w:type="dxa"/>
              <w:right w:w="15" w:type="dxa"/>
            </w:tcMar>
            <w:vAlign w:val="center"/>
          </w:tcPr>
          <w:p w14:paraId="6054E3E9">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w:t>
            </w:r>
          </w:p>
        </w:tc>
        <w:tc>
          <w:tcPr>
            <w:tcW w:w="567" w:type="dxa"/>
            <w:noWrap w:val="0"/>
            <w:tcMar>
              <w:top w:w="15" w:type="dxa"/>
              <w:left w:w="15" w:type="dxa"/>
              <w:bottom w:w="15" w:type="dxa"/>
              <w:right w:w="15" w:type="dxa"/>
            </w:tcMar>
            <w:vAlign w:val="center"/>
          </w:tcPr>
          <w:p w14:paraId="1E6CF01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8.4</w:t>
            </w:r>
          </w:p>
        </w:tc>
        <w:tc>
          <w:tcPr>
            <w:tcW w:w="567" w:type="dxa"/>
            <w:noWrap w:val="0"/>
            <w:tcMar>
              <w:top w:w="15" w:type="dxa"/>
              <w:left w:w="15" w:type="dxa"/>
              <w:bottom w:w="15" w:type="dxa"/>
              <w:right w:w="15" w:type="dxa"/>
            </w:tcMar>
            <w:vAlign w:val="center"/>
          </w:tcPr>
          <w:p w14:paraId="42C9E202">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1.5</w:t>
            </w:r>
          </w:p>
        </w:tc>
        <w:tc>
          <w:tcPr>
            <w:tcW w:w="567" w:type="dxa"/>
            <w:noWrap w:val="0"/>
            <w:tcMar>
              <w:top w:w="15" w:type="dxa"/>
              <w:left w:w="15" w:type="dxa"/>
              <w:bottom w:w="15" w:type="dxa"/>
              <w:right w:w="15" w:type="dxa"/>
            </w:tcMar>
            <w:vAlign w:val="center"/>
          </w:tcPr>
          <w:p w14:paraId="3024BAE0">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13</w:t>
            </w:r>
          </w:p>
        </w:tc>
        <w:tc>
          <w:tcPr>
            <w:tcW w:w="567" w:type="dxa"/>
            <w:noWrap w:val="0"/>
            <w:tcMar>
              <w:top w:w="15" w:type="dxa"/>
              <w:left w:w="15" w:type="dxa"/>
              <w:bottom w:w="15" w:type="dxa"/>
              <w:right w:w="15" w:type="dxa"/>
            </w:tcMar>
            <w:vAlign w:val="center"/>
          </w:tcPr>
          <w:p w14:paraId="390E6015">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1.1</w:t>
            </w:r>
          </w:p>
        </w:tc>
        <w:tc>
          <w:tcPr>
            <w:tcW w:w="567" w:type="dxa"/>
            <w:noWrap w:val="0"/>
            <w:tcMar>
              <w:top w:w="15" w:type="dxa"/>
              <w:left w:w="15" w:type="dxa"/>
              <w:bottom w:w="15" w:type="dxa"/>
              <w:right w:w="15" w:type="dxa"/>
            </w:tcMar>
            <w:vAlign w:val="center"/>
          </w:tcPr>
          <w:p w14:paraId="03EE08A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1.88</w:t>
            </w:r>
          </w:p>
        </w:tc>
        <w:tc>
          <w:tcPr>
            <w:tcW w:w="567" w:type="dxa"/>
            <w:noWrap w:val="0"/>
            <w:tcMar>
              <w:top w:w="15" w:type="dxa"/>
              <w:left w:w="15" w:type="dxa"/>
              <w:bottom w:w="15" w:type="dxa"/>
              <w:right w:w="15" w:type="dxa"/>
            </w:tcMar>
            <w:vAlign w:val="center"/>
          </w:tcPr>
          <w:p w14:paraId="79409CCF">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0.35</w:t>
            </w:r>
          </w:p>
        </w:tc>
        <w:tc>
          <w:tcPr>
            <w:tcW w:w="567" w:type="dxa"/>
            <w:noWrap w:val="0"/>
            <w:tcMar>
              <w:top w:w="15" w:type="dxa"/>
              <w:left w:w="15" w:type="dxa"/>
              <w:bottom w:w="15" w:type="dxa"/>
              <w:right w:w="15" w:type="dxa"/>
            </w:tcMar>
            <w:vAlign w:val="center"/>
          </w:tcPr>
          <w:p w14:paraId="1E210860">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0.001</w:t>
            </w:r>
          </w:p>
        </w:tc>
        <w:tc>
          <w:tcPr>
            <w:tcW w:w="567" w:type="dxa"/>
            <w:noWrap w:val="0"/>
            <w:tcMar>
              <w:top w:w="15" w:type="dxa"/>
              <w:left w:w="15" w:type="dxa"/>
              <w:bottom w:w="15" w:type="dxa"/>
              <w:right w:w="15" w:type="dxa"/>
            </w:tcMar>
            <w:vAlign w:val="center"/>
          </w:tcPr>
          <w:p w14:paraId="5FCD6CDF">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0.005</w:t>
            </w:r>
          </w:p>
        </w:tc>
        <w:tc>
          <w:tcPr>
            <w:tcW w:w="567" w:type="dxa"/>
            <w:noWrap w:val="0"/>
            <w:tcMar>
              <w:top w:w="15" w:type="dxa"/>
              <w:left w:w="15" w:type="dxa"/>
              <w:bottom w:w="15" w:type="dxa"/>
              <w:right w:w="15" w:type="dxa"/>
            </w:tcMar>
            <w:vAlign w:val="center"/>
          </w:tcPr>
          <w:p w14:paraId="0CFBB47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0.142</w:t>
            </w:r>
          </w:p>
        </w:tc>
        <w:tc>
          <w:tcPr>
            <w:tcW w:w="567" w:type="dxa"/>
            <w:noWrap w:val="0"/>
            <w:tcMar>
              <w:top w:w="15" w:type="dxa"/>
              <w:left w:w="15" w:type="dxa"/>
              <w:bottom w:w="15" w:type="dxa"/>
              <w:right w:w="15" w:type="dxa"/>
            </w:tcMar>
            <w:vAlign w:val="center"/>
          </w:tcPr>
          <w:p w14:paraId="4B0D591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0.00041L</w:t>
            </w:r>
          </w:p>
        </w:tc>
        <w:tc>
          <w:tcPr>
            <w:tcW w:w="567" w:type="dxa"/>
            <w:noWrap w:val="0"/>
            <w:tcMar>
              <w:top w:w="15" w:type="dxa"/>
              <w:left w:w="15" w:type="dxa"/>
              <w:bottom w:w="15" w:type="dxa"/>
              <w:right w:w="15" w:type="dxa"/>
            </w:tcMar>
            <w:vAlign w:val="center"/>
          </w:tcPr>
          <w:p w14:paraId="3AF0556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0.0004</w:t>
            </w:r>
          </w:p>
        </w:tc>
        <w:tc>
          <w:tcPr>
            <w:tcW w:w="567" w:type="dxa"/>
            <w:noWrap w:val="0"/>
            <w:tcMar>
              <w:top w:w="15" w:type="dxa"/>
              <w:left w:w="15" w:type="dxa"/>
              <w:bottom w:w="15" w:type="dxa"/>
              <w:right w:w="15" w:type="dxa"/>
            </w:tcMar>
            <w:vAlign w:val="center"/>
          </w:tcPr>
          <w:p w14:paraId="1AB62B70">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0.00004L</w:t>
            </w:r>
          </w:p>
        </w:tc>
        <w:tc>
          <w:tcPr>
            <w:tcW w:w="567" w:type="dxa"/>
            <w:noWrap w:val="0"/>
            <w:tcMar>
              <w:top w:w="15" w:type="dxa"/>
              <w:left w:w="15" w:type="dxa"/>
              <w:bottom w:w="15" w:type="dxa"/>
              <w:right w:w="15" w:type="dxa"/>
            </w:tcMar>
            <w:vAlign w:val="center"/>
          </w:tcPr>
          <w:p w14:paraId="4EC881D0">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0.00005L</w:t>
            </w:r>
          </w:p>
        </w:tc>
        <w:tc>
          <w:tcPr>
            <w:tcW w:w="567" w:type="dxa"/>
            <w:noWrap w:val="0"/>
            <w:tcMar>
              <w:top w:w="15" w:type="dxa"/>
              <w:left w:w="15" w:type="dxa"/>
              <w:bottom w:w="15" w:type="dxa"/>
              <w:right w:w="15" w:type="dxa"/>
            </w:tcMar>
            <w:vAlign w:val="center"/>
          </w:tcPr>
          <w:p w14:paraId="1A7DB02A">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0.004L</w:t>
            </w:r>
          </w:p>
        </w:tc>
        <w:tc>
          <w:tcPr>
            <w:tcW w:w="567" w:type="dxa"/>
            <w:noWrap w:val="0"/>
            <w:tcMar>
              <w:top w:w="15" w:type="dxa"/>
              <w:left w:w="15" w:type="dxa"/>
              <w:bottom w:w="15" w:type="dxa"/>
              <w:right w:w="15" w:type="dxa"/>
            </w:tcMar>
            <w:vAlign w:val="center"/>
          </w:tcPr>
          <w:p w14:paraId="31AB2A76">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0.001</w:t>
            </w:r>
          </w:p>
        </w:tc>
        <w:tc>
          <w:tcPr>
            <w:tcW w:w="567" w:type="dxa"/>
            <w:noWrap w:val="0"/>
            <w:tcMar>
              <w:top w:w="15" w:type="dxa"/>
              <w:left w:w="15" w:type="dxa"/>
              <w:bottom w:w="15" w:type="dxa"/>
              <w:right w:w="15" w:type="dxa"/>
            </w:tcMar>
            <w:vAlign w:val="center"/>
          </w:tcPr>
          <w:p w14:paraId="143ECEE1">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0.001L</w:t>
            </w:r>
          </w:p>
        </w:tc>
        <w:tc>
          <w:tcPr>
            <w:tcW w:w="567" w:type="dxa"/>
            <w:noWrap w:val="0"/>
            <w:tcMar>
              <w:top w:w="15" w:type="dxa"/>
              <w:left w:w="15" w:type="dxa"/>
              <w:bottom w:w="15" w:type="dxa"/>
              <w:right w:w="15" w:type="dxa"/>
            </w:tcMar>
            <w:vAlign w:val="center"/>
          </w:tcPr>
          <w:p w14:paraId="1ACC09F1">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0.0003L</w:t>
            </w:r>
          </w:p>
        </w:tc>
        <w:tc>
          <w:tcPr>
            <w:tcW w:w="567" w:type="dxa"/>
            <w:noWrap w:val="0"/>
            <w:tcMar>
              <w:top w:w="15" w:type="dxa"/>
              <w:left w:w="15" w:type="dxa"/>
              <w:bottom w:w="15" w:type="dxa"/>
              <w:right w:w="15" w:type="dxa"/>
            </w:tcMar>
            <w:vAlign w:val="center"/>
          </w:tcPr>
          <w:p w14:paraId="7B189DB8">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567" w:type="dxa"/>
            <w:noWrap w:val="0"/>
            <w:tcMar>
              <w:top w:w="15" w:type="dxa"/>
              <w:left w:w="15" w:type="dxa"/>
              <w:bottom w:w="15" w:type="dxa"/>
              <w:right w:w="15" w:type="dxa"/>
            </w:tcMar>
            <w:vAlign w:val="center"/>
          </w:tcPr>
          <w:p w14:paraId="35DC95CE">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0.05L</w:t>
            </w:r>
          </w:p>
        </w:tc>
        <w:tc>
          <w:tcPr>
            <w:tcW w:w="567" w:type="dxa"/>
            <w:noWrap w:val="0"/>
            <w:tcMar>
              <w:top w:w="15" w:type="dxa"/>
              <w:left w:w="15" w:type="dxa"/>
              <w:bottom w:w="15" w:type="dxa"/>
              <w:right w:w="15" w:type="dxa"/>
            </w:tcMar>
            <w:vAlign w:val="center"/>
          </w:tcPr>
          <w:p w14:paraId="107256E2">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491" w:type="dxa"/>
            <w:noWrap w:val="0"/>
            <w:vAlign w:val="center"/>
          </w:tcPr>
          <w:p w14:paraId="26A72A4A">
            <w:pPr>
              <w:widowControl w:val="0"/>
              <w:snapToGrid w:val="0"/>
              <w:spacing w:line="240" w:lineRule="auto"/>
              <w:ind w:firstLine="0" w:firstLineChars="0"/>
              <w:jc w:val="center"/>
              <w:rPr>
                <w:rFonts w:hint="eastAsia"/>
                <w:color w:val="000000"/>
                <w:kern w:val="0"/>
                <w:sz w:val="13"/>
                <w:szCs w:val="13"/>
                <w:u w:val="none"/>
                <w:lang w:bidi="ar"/>
              </w:rPr>
            </w:pPr>
            <w:r>
              <w:rPr>
                <w:rFonts w:hint="eastAsia"/>
                <w:color w:val="000000"/>
                <w:kern w:val="0"/>
                <w:sz w:val="13"/>
                <w:szCs w:val="13"/>
                <w:u w:val="none"/>
                <w:lang w:val="en-US" w:eastAsia="zh-CN" w:bidi="ar"/>
              </w:rPr>
              <w:t>Ⅴ类</w:t>
            </w:r>
          </w:p>
        </w:tc>
        <w:tc>
          <w:tcPr>
            <w:tcW w:w="1145" w:type="dxa"/>
            <w:noWrap w:val="0"/>
            <w:vAlign w:val="center"/>
          </w:tcPr>
          <w:p w14:paraId="41979518">
            <w:pPr>
              <w:widowControl w:val="0"/>
              <w:snapToGrid w:val="0"/>
              <w:spacing w:line="240" w:lineRule="auto"/>
              <w:ind w:firstLine="0" w:firstLineChars="0"/>
              <w:jc w:val="center"/>
              <w:rPr>
                <w:rFonts w:hint="eastAsia"/>
                <w:color w:val="000000"/>
                <w:kern w:val="0"/>
                <w:sz w:val="13"/>
                <w:szCs w:val="13"/>
                <w:u w:val="none"/>
                <w:lang w:bidi="ar"/>
              </w:rPr>
            </w:pPr>
            <w:r>
              <w:rPr>
                <w:rFonts w:hint="eastAsia"/>
                <w:color w:val="000000"/>
                <w:kern w:val="0"/>
                <w:sz w:val="13"/>
                <w:szCs w:val="13"/>
                <w:u w:val="none"/>
                <w:lang w:val="en-US" w:eastAsia="zh-CN" w:bidi="ar"/>
              </w:rPr>
              <w:t>氨氮(Ⅴ类)0.9,总磷(Ⅴ类)0.8</w:t>
            </w:r>
          </w:p>
        </w:tc>
      </w:tr>
      <w:tr w14:paraId="156EF0F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978" w:type="dxa"/>
            <w:tcBorders>
              <w:left w:val="single" w:color="auto" w:sz="4" w:space="0"/>
            </w:tcBorders>
            <w:noWrap w:val="0"/>
            <w:vAlign w:val="center"/>
          </w:tcPr>
          <w:p w14:paraId="0D387E4D">
            <w:pPr>
              <w:widowControl w:val="0"/>
              <w:snapToGrid w:val="0"/>
              <w:spacing w:line="240" w:lineRule="auto"/>
              <w:ind w:firstLine="0" w:firstLineChars="0"/>
              <w:jc w:val="center"/>
              <w:textAlignment w:val="center"/>
              <w:rPr>
                <w:color w:val="000000"/>
                <w:kern w:val="0"/>
                <w:sz w:val="13"/>
                <w:szCs w:val="13"/>
                <w:u w:val="none"/>
                <w:lang w:bidi="ar"/>
              </w:rPr>
            </w:pPr>
            <w:r>
              <w:rPr>
                <w:rFonts w:hint="eastAsia"/>
                <w:color w:val="000000"/>
                <w:kern w:val="0"/>
                <w:sz w:val="13"/>
                <w:szCs w:val="13"/>
                <w:u w:val="none"/>
                <w:lang w:eastAsia="zh-CN" w:bidi="ar"/>
              </w:rPr>
              <w:t>2023</w:t>
            </w:r>
            <w:r>
              <w:rPr>
                <w:rFonts w:hint="eastAsia"/>
                <w:color w:val="000000"/>
                <w:kern w:val="0"/>
                <w:sz w:val="13"/>
                <w:szCs w:val="13"/>
                <w:u w:val="none"/>
                <w:lang w:bidi="ar"/>
              </w:rPr>
              <w:t>年</w:t>
            </w:r>
            <w:r>
              <w:rPr>
                <w:color w:val="000000"/>
                <w:kern w:val="0"/>
                <w:sz w:val="13"/>
                <w:szCs w:val="13"/>
                <w:u w:val="none"/>
                <w:lang w:bidi="ar"/>
              </w:rPr>
              <w:t>3</w:t>
            </w:r>
            <w:r>
              <w:rPr>
                <w:rFonts w:hint="eastAsia"/>
                <w:color w:val="000000"/>
                <w:kern w:val="0"/>
                <w:sz w:val="13"/>
                <w:szCs w:val="13"/>
                <w:u w:val="none"/>
                <w:lang w:bidi="ar"/>
              </w:rPr>
              <w:t>月</w:t>
            </w:r>
          </w:p>
        </w:tc>
        <w:tc>
          <w:tcPr>
            <w:tcW w:w="567" w:type="dxa"/>
            <w:noWrap w:val="0"/>
            <w:tcMar>
              <w:top w:w="15" w:type="dxa"/>
              <w:left w:w="15" w:type="dxa"/>
              <w:bottom w:w="15" w:type="dxa"/>
              <w:right w:w="15" w:type="dxa"/>
            </w:tcMar>
            <w:vAlign w:val="center"/>
          </w:tcPr>
          <w:p w14:paraId="2F5CEA37">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w:t>
            </w:r>
          </w:p>
        </w:tc>
        <w:tc>
          <w:tcPr>
            <w:tcW w:w="567" w:type="dxa"/>
            <w:noWrap w:val="0"/>
            <w:tcMar>
              <w:top w:w="15" w:type="dxa"/>
              <w:left w:w="15" w:type="dxa"/>
              <w:bottom w:w="15" w:type="dxa"/>
              <w:right w:w="15" w:type="dxa"/>
            </w:tcMar>
            <w:vAlign w:val="center"/>
          </w:tcPr>
          <w:p w14:paraId="7B832E3F">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6.7</w:t>
            </w:r>
          </w:p>
        </w:tc>
        <w:tc>
          <w:tcPr>
            <w:tcW w:w="567" w:type="dxa"/>
            <w:noWrap w:val="0"/>
            <w:tcMar>
              <w:top w:w="15" w:type="dxa"/>
              <w:left w:w="15" w:type="dxa"/>
              <w:bottom w:w="15" w:type="dxa"/>
              <w:right w:w="15" w:type="dxa"/>
            </w:tcMar>
            <w:vAlign w:val="center"/>
          </w:tcPr>
          <w:p w14:paraId="774805B6">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1.7</w:t>
            </w:r>
          </w:p>
        </w:tc>
        <w:tc>
          <w:tcPr>
            <w:tcW w:w="567" w:type="dxa"/>
            <w:noWrap w:val="0"/>
            <w:tcMar>
              <w:top w:w="15" w:type="dxa"/>
              <w:left w:w="15" w:type="dxa"/>
              <w:bottom w:w="15" w:type="dxa"/>
              <w:right w:w="15" w:type="dxa"/>
            </w:tcMar>
            <w:vAlign w:val="center"/>
          </w:tcPr>
          <w:p w14:paraId="4898FB39">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11</w:t>
            </w:r>
          </w:p>
        </w:tc>
        <w:tc>
          <w:tcPr>
            <w:tcW w:w="567" w:type="dxa"/>
            <w:noWrap w:val="0"/>
            <w:tcMar>
              <w:top w:w="15" w:type="dxa"/>
              <w:left w:w="15" w:type="dxa"/>
              <w:bottom w:w="15" w:type="dxa"/>
              <w:right w:w="15" w:type="dxa"/>
            </w:tcMar>
            <w:vAlign w:val="center"/>
          </w:tcPr>
          <w:p w14:paraId="1CB645C7">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2.1</w:t>
            </w:r>
          </w:p>
        </w:tc>
        <w:tc>
          <w:tcPr>
            <w:tcW w:w="567" w:type="dxa"/>
            <w:noWrap w:val="0"/>
            <w:tcMar>
              <w:top w:w="15" w:type="dxa"/>
              <w:left w:w="15" w:type="dxa"/>
              <w:bottom w:w="15" w:type="dxa"/>
              <w:right w:w="15" w:type="dxa"/>
            </w:tcMar>
            <w:vAlign w:val="center"/>
          </w:tcPr>
          <w:p w14:paraId="451CC76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0.92</w:t>
            </w:r>
          </w:p>
        </w:tc>
        <w:tc>
          <w:tcPr>
            <w:tcW w:w="567" w:type="dxa"/>
            <w:noWrap w:val="0"/>
            <w:tcMar>
              <w:top w:w="15" w:type="dxa"/>
              <w:left w:w="15" w:type="dxa"/>
              <w:bottom w:w="15" w:type="dxa"/>
              <w:right w:w="15" w:type="dxa"/>
            </w:tcMar>
            <w:vAlign w:val="center"/>
          </w:tcPr>
          <w:p w14:paraId="62C1733A">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0.12</w:t>
            </w:r>
          </w:p>
        </w:tc>
        <w:tc>
          <w:tcPr>
            <w:tcW w:w="567" w:type="dxa"/>
            <w:noWrap w:val="0"/>
            <w:tcMar>
              <w:top w:w="15" w:type="dxa"/>
              <w:left w:w="15" w:type="dxa"/>
              <w:bottom w:w="15" w:type="dxa"/>
              <w:right w:w="15" w:type="dxa"/>
            </w:tcMar>
            <w:vAlign w:val="center"/>
          </w:tcPr>
          <w:p w14:paraId="6BD7921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0.001</w:t>
            </w:r>
          </w:p>
        </w:tc>
        <w:tc>
          <w:tcPr>
            <w:tcW w:w="567" w:type="dxa"/>
            <w:noWrap w:val="0"/>
            <w:tcMar>
              <w:top w:w="15" w:type="dxa"/>
              <w:left w:w="15" w:type="dxa"/>
              <w:bottom w:w="15" w:type="dxa"/>
              <w:right w:w="15" w:type="dxa"/>
            </w:tcMar>
            <w:vAlign w:val="center"/>
          </w:tcPr>
          <w:p w14:paraId="79C92EAA">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0.004L</w:t>
            </w:r>
          </w:p>
        </w:tc>
        <w:tc>
          <w:tcPr>
            <w:tcW w:w="567" w:type="dxa"/>
            <w:noWrap w:val="0"/>
            <w:tcMar>
              <w:top w:w="15" w:type="dxa"/>
              <w:left w:w="15" w:type="dxa"/>
              <w:bottom w:w="15" w:type="dxa"/>
              <w:right w:w="15" w:type="dxa"/>
            </w:tcMar>
            <w:vAlign w:val="center"/>
          </w:tcPr>
          <w:p w14:paraId="21CAAF11">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0.144</w:t>
            </w:r>
          </w:p>
        </w:tc>
        <w:tc>
          <w:tcPr>
            <w:tcW w:w="567" w:type="dxa"/>
            <w:noWrap w:val="0"/>
            <w:tcMar>
              <w:top w:w="15" w:type="dxa"/>
              <w:left w:w="15" w:type="dxa"/>
              <w:bottom w:w="15" w:type="dxa"/>
              <w:right w:w="15" w:type="dxa"/>
            </w:tcMar>
            <w:vAlign w:val="center"/>
          </w:tcPr>
          <w:p w14:paraId="0F51C192">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0.0006</w:t>
            </w:r>
          </w:p>
        </w:tc>
        <w:tc>
          <w:tcPr>
            <w:tcW w:w="567" w:type="dxa"/>
            <w:noWrap w:val="0"/>
            <w:tcMar>
              <w:top w:w="15" w:type="dxa"/>
              <w:left w:w="15" w:type="dxa"/>
              <w:bottom w:w="15" w:type="dxa"/>
              <w:right w:w="15" w:type="dxa"/>
            </w:tcMar>
            <w:vAlign w:val="center"/>
          </w:tcPr>
          <w:p w14:paraId="453AB295">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w:t>
            </w:r>
          </w:p>
        </w:tc>
        <w:tc>
          <w:tcPr>
            <w:tcW w:w="567" w:type="dxa"/>
            <w:noWrap w:val="0"/>
            <w:tcMar>
              <w:top w:w="15" w:type="dxa"/>
              <w:left w:w="15" w:type="dxa"/>
              <w:bottom w:w="15" w:type="dxa"/>
              <w:right w:w="15" w:type="dxa"/>
            </w:tcMar>
            <w:vAlign w:val="center"/>
          </w:tcPr>
          <w:p w14:paraId="132D95E6">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0.00004L</w:t>
            </w:r>
          </w:p>
        </w:tc>
        <w:tc>
          <w:tcPr>
            <w:tcW w:w="567" w:type="dxa"/>
            <w:noWrap w:val="0"/>
            <w:tcMar>
              <w:top w:w="15" w:type="dxa"/>
              <w:left w:w="15" w:type="dxa"/>
              <w:bottom w:w="15" w:type="dxa"/>
              <w:right w:w="15" w:type="dxa"/>
            </w:tcMar>
            <w:vAlign w:val="center"/>
          </w:tcPr>
          <w:p w14:paraId="116916E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0.00005L</w:t>
            </w:r>
          </w:p>
        </w:tc>
        <w:tc>
          <w:tcPr>
            <w:tcW w:w="567" w:type="dxa"/>
            <w:noWrap w:val="0"/>
            <w:tcMar>
              <w:top w:w="15" w:type="dxa"/>
              <w:left w:w="15" w:type="dxa"/>
              <w:bottom w:w="15" w:type="dxa"/>
              <w:right w:w="15" w:type="dxa"/>
            </w:tcMar>
            <w:vAlign w:val="center"/>
          </w:tcPr>
          <w:p w14:paraId="6135FDE2">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0.004L</w:t>
            </w:r>
          </w:p>
        </w:tc>
        <w:tc>
          <w:tcPr>
            <w:tcW w:w="567" w:type="dxa"/>
            <w:noWrap w:val="0"/>
            <w:tcMar>
              <w:top w:w="15" w:type="dxa"/>
              <w:left w:w="15" w:type="dxa"/>
              <w:bottom w:w="15" w:type="dxa"/>
              <w:right w:w="15" w:type="dxa"/>
            </w:tcMar>
            <w:vAlign w:val="center"/>
          </w:tcPr>
          <w:p w14:paraId="116472D1">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0.00009L</w:t>
            </w:r>
          </w:p>
        </w:tc>
        <w:tc>
          <w:tcPr>
            <w:tcW w:w="567" w:type="dxa"/>
            <w:noWrap w:val="0"/>
            <w:tcMar>
              <w:top w:w="15" w:type="dxa"/>
              <w:left w:w="15" w:type="dxa"/>
              <w:bottom w:w="15" w:type="dxa"/>
              <w:right w:w="15" w:type="dxa"/>
            </w:tcMar>
            <w:vAlign w:val="center"/>
          </w:tcPr>
          <w:p w14:paraId="49331563">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0.001L</w:t>
            </w:r>
          </w:p>
        </w:tc>
        <w:tc>
          <w:tcPr>
            <w:tcW w:w="567" w:type="dxa"/>
            <w:noWrap w:val="0"/>
            <w:tcMar>
              <w:top w:w="15" w:type="dxa"/>
              <w:left w:w="15" w:type="dxa"/>
              <w:bottom w:w="15" w:type="dxa"/>
              <w:right w:w="15" w:type="dxa"/>
            </w:tcMar>
            <w:vAlign w:val="center"/>
          </w:tcPr>
          <w:p w14:paraId="00294486">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0.0003L</w:t>
            </w:r>
          </w:p>
        </w:tc>
        <w:tc>
          <w:tcPr>
            <w:tcW w:w="567" w:type="dxa"/>
            <w:noWrap w:val="0"/>
            <w:tcMar>
              <w:top w:w="15" w:type="dxa"/>
              <w:left w:w="15" w:type="dxa"/>
              <w:bottom w:w="15" w:type="dxa"/>
              <w:right w:w="15" w:type="dxa"/>
            </w:tcMar>
            <w:vAlign w:val="center"/>
          </w:tcPr>
          <w:p w14:paraId="41659DCE">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567" w:type="dxa"/>
            <w:noWrap w:val="0"/>
            <w:tcMar>
              <w:top w:w="15" w:type="dxa"/>
              <w:left w:w="15" w:type="dxa"/>
              <w:bottom w:w="15" w:type="dxa"/>
              <w:right w:w="15" w:type="dxa"/>
            </w:tcMar>
            <w:vAlign w:val="center"/>
          </w:tcPr>
          <w:p w14:paraId="4BC8327A">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0.05L</w:t>
            </w:r>
          </w:p>
        </w:tc>
        <w:tc>
          <w:tcPr>
            <w:tcW w:w="567" w:type="dxa"/>
            <w:noWrap w:val="0"/>
            <w:tcMar>
              <w:top w:w="15" w:type="dxa"/>
              <w:left w:w="15" w:type="dxa"/>
              <w:bottom w:w="15" w:type="dxa"/>
              <w:right w:w="15" w:type="dxa"/>
            </w:tcMar>
            <w:vAlign w:val="center"/>
          </w:tcPr>
          <w:p w14:paraId="10AF270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491" w:type="dxa"/>
            <w:noWrap w:val="0"/>
            <w:vAlign w:val="center"/>
          </w:tcPr>
          <w:p w14:paraId="5144576E">
            <w:pPr>
              <w:widowControl w:val="0"/>
              <w:snapToGrid w:val="0"/>
              <w:spacing w:line="240" w:lineRule="auto"/>
              <w:ind w:firstLine="0" w:firstLineChars="0"/>
              <w:jc w:val="center"/>
              <w:rPr>
                <w:rFonts w:hint="eastAsia"/>
                <w:color w:val="000000"/>
                <w:kern w:val="0"/>
                <w:sz w:val="13"/>
                <w:szCs w:val="13"/>
                <w:u w:val="none"/>
                <w:lang w:bidi="ar"/>
              </w:rPr>
            </w:pPr>
            <w:r>
              <w:rPr>
                <w:rFonts w:hint="eastAsia"/>
                <w:color w:val="000000"/>
                <w:kern w:val="0"/>
                <w:sz w:val="13"/>
                <w:szCs w:val="13"/>
                <w:u w:val="none"/>
                <w:lang w:val="en-US" w:eastAsia="zh-CN" w:bidi="ar"/>
              </w:rPr>
              <w:t>Ⅲ类</w:t>
            </w:r>
          </w:p>
        </w:tc>
        <w:tc>
          <w:tcPr>
            <w:tcW w:w="1145" w:type="dxa"/>
            <w:noWrap w:val="0"/>
            <w:vAlign w:val="center"/>
          </w:tcPr>
          <w:p w14:paraId="0506201B">
            <w:pPr>
              <w:widowControl w:val="0"/>
              <w:snapToGrid w:val="0"/>
              <w:spacing w:line="240" w:lineRule="auto"/>
              <w:ind w:firstLine="0" w:firstLineChars="0"/>
              <w:jc w:val="center"/>
              <w:rPr>
                <w:rFonts w:hint="eastAsia"/>
                <w:color w:val="000000"/>
                <w:kern w:val="0"/>
                <w:sz w:val="13"/>
                <w:szCs w:val="13"/>
                <w:u w:val="none"/>
                <w:lang w:bidi="ar"/>
              </w:rPr>
            </w:pPr>
            <w:r>
              <w:rPr>
                <w:rFonts w:hint="eastAsia"/>
                <w:color w:val="000000"/>
                <w:kern w:val="0"/>
                <w:sz w:val="13"/>
                <w:szCs w:val="13"/>
                <w:u w:val="none"/>
                <w:lang w:val="en-US" w:eastAsia="zh-CN" w:bidi="ar"/>
              </w:rPr>
              <w:t xml:space="preserve"> </w:t>
            </w:r>
          </w:p>
        </w:tc>
      </w:tr>
      <w:tr w14:paraId="7096993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978" w:type="dxa"/>
            <w:tcBorders>
              <w:left w:val="single" w:color="auto" w:sz="4" w:space="0"/>
            </w:tcBorders>
            <w:noWrap w:val="0"/>
            <w:vAlign w:val="center"/>
          </w:tcPr>
          <w:p w14:paraId="12D49D51">
            <w:pPr>
              <w:widowControl w:val="0"/>
              <w:snapToGrid w:val="0"/>
              <w:spacing w:line="240" w:lineRule="auto"/>
              <w:ind w:firstLine="0" w:firstLineChars="0"/>
              <w:jc w:val="center"/>
              <w:textAlignment w:val="center"/>
              <w:rPr>
                <w:color w:val="000000"/>
                <w:kern w:val="0"/>
                <w:sz w:val="13"/>
                <w:szCs w:val="13"/>
                <w:u w:val="none"/>
                <w:lang w:bidi="ar"/>
              </w:rPr>
            </w:pPr>
            <w:r>
              <w:rPr>
                <w:rFonts w:hint="eastAsia"/>
                <w:color w:val="000000"/>
                <w:kern w:val="0"/>
                <w:sz w:val="13"/>
                <w:szCs w:val="13"/>
                <w:u w:val="none"/>
                <w:lang w:eastAsia="zh-CN" w:bidi="ar"/>
              </w:rPr>
              <w:t>2023</w:t>
            </w:r>
            <w:r>
              <w:rPr>
                <w:rFonts w:hint="eastAsia"/>
                <w:color w:val="000000"/>
                <w:kern w:val="0"/>
                <w:sz w:val="13"/>
                <w:szCs w:val="13"/>
                <w:u w:val="none"/>
                <w:lang w:bidi="ar"/>
              </w:rPr>
              <w:t>年</w:t>
            </w:r>
            <w:r>
              <w:rPr>
                <w:color w:val="000000"/>
                <w:kern w:val="0"/>
                <w:sz w:val="13"/>
                <w:szCs w:val="13"/>
                <w:u w:val="none"/>
                <w:lang w:bidi="ar"/>
              </w:rPr>
              <w:t>4</w:t>
            </w:r>
            <w:r>
              <w:rPr>
                <w:rFonts w:hint="eastAsia"/>
                <w:color w:val="000000"/>
                <w:kern w:val="0"/>
                <w:sz w:val="13"/>
                <w:szCs w:val="13"/>
                <w:u w:val="none"/>
                <w:lang w:bidi="ar"/>
              </w:rPr>
              <w:t>月</w:t>
            </w:r>
          </w:p>
        </w:tc>
        <w:tc>
          <w:tcPr>
            <w:tcW w:w="567" w:type="dxa"/>
            <w:noWrap w:val="0"/>
            <w:tcMar>
              <w:top w:w="15" w:type="dxa"/>
              <w:left w:w="15" w:type="dxa"/>
              <w:bottom w:w="15" w:type="dxa"/>
              <w:right w:w="15" w:type="dxa"/>
            </w:tcMar>
            <w:vAlign w:val="center"/>
          </w:tcPr>
          <w:p w14:paraId="5464664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w:t>
            </w:r>
          </w:p>
        </w:tc>
        <w:tc>
          <w:tcPr>
            <w:tcW w:w="567" w:type="dxa"/>
            <w:noWrap w:val="0"/>
            <w:tcMar>
              <w:top w:w="15" w:type="dxa"/>
              <w:left w:w="15" w:type="dxa"/>
              <w:bottom w:w="15" w:type="dxa"/>
              <w:right w:w="15" w:type="dxa"/>
            </w:tcMar>
            <w:vAlign w:val="center"/>
          </w:tcPr>
          <w:p w14:paraId="3186A35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7.3</w:t>
            </w:r>
          </w:p>
        </w:tc>
        <w:tc>
          <w:tcPr>
            <w:tcW w:w="567" w:type="dxa"/>
            <w:noWrap w:val="0"/>
            <w:tcMar>
              <w:top w:w="15" w:type="dxa"/>
              <w:left w:w="15" w:type="dxa"/>
              <w:bottom w:w="15" w:type="dxa"/>
              <w:right w:w="15" w:type="dxa"/>
            </w:tcMar>
            <w:vAlign w:val="center"/>
          </w:tcPr>
          <w:p w14:paraId="03F8FEFA">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2.4</w:t>
            </w:r>
          </w:p>
        </w:tc>
        <w:tc>
          <w:tcPr>
            <w:tcW w:w="567" w:type="dxa"/>
            <w:noWrap w:val="0"/>
            <w:tcMar>
              <w:top w:w="15" w:type="dxa"/>
              <w:left w:w="15" w:type="dxa"/>
              <w:bottom w:w="15" w:type="dxa"/>
              <w:right w:w="15" w:type="dxa"/>
            </w:tcMar>
            <w:vAlign w:val="center"/>
          </w:tcPr>
          <w:p w14:paraId="5D3D3F8B">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12</w:t>
            </w:r>
          </w:p>
        </w:tc>
        <w:tc>
          <w:tcPr>
            <w:tcW w:w="567" w:type="dxa"/>
            <w:noWrap w:val="0"/>
            <w:tcMar>
              <w:top w:w="15" w:type="dxa"/>
              <w:left w:w="15" w:type="dxa"/>
              <w:bottom w:w="15" w:type="dxa"/>
              <w:right w:w="15" w:type="dxa"/>
            </w:tcMar>
            <w:vAlign w:val="center"/>
          </w:tcPr>
          <w:p w14:paraId="58DBDD5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3.5</w:t>
            </w:r>
          </w:p>
        </w:tc>
        <w:tc>
          <w:tcPr>
            <w:tcW w:w="567" w:type="dxa"/>
            <w:noWrap w:val="0"/>
            <w:tcMar>
              <w:top w:w="15" w:type="dxa"/>
              <w:left w:w="15" w:type="dxa"/>
              <w:bottom w:w="15" w:type="dxa"/>
              <w:right w:w="15" w:type="dxa"/>
            </w:tcMar>
            <w:vAlign w:val="center"/>
          </w:tcPr>
          <w:p w14:paraId="312CC88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0.7</w:t>
            </w:r>
          </w:p>
        </w:tc>
        <w:tc>
          <w:tcPr>
            <w:tcW w:w="567" w:type="dxa"/>
            <w:noWrap w:val="0"/>
            <w:tcMar>
              <w:top w:w="15" w:type="dxa"/>
              <w:left w:w="15" w:type="dxa"/>
              <w:bottom w:w="15" w:type="dxa"/>
              <w:right w:w="15" w:type="dxa"/>
            </w:tcMar>
            <w:vAlign w:val="center"/>
          </w:tcPr>
          <w:p w14:paraId="0E2C1796">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0.23</w:t>
            </w:r>
          </w:p>
        </w:tc>
        <w:tc>
          <w:tcPr>
            <w:tcW w:w="567" w:type="dxa"/>
            <w:noWrap w:val="0"/>
            <w:tcMar>
              <w:top w:w="15" w:type="dxa"/>
              <w:left w:w="15" w:type="dxa"/>
              <w:bottom w:w="15" w:type="dxa"/>
              <w:right w:w="15" w:type="dxa"/>
            </w:tcMar>
            <w:vAlign w:val="center"/>
          </w:tcPr>
          <w:p w14:paraId="317ED3A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0.001L</w:t>
            </w:r>
          </w:p>
        </w:tc>
        <w:tc>
          <w:tcPr>
            <w:tcW w:w="567" w:type="dxa"/>
            <w:noWrap w:val="0"/>
            <w:tcMar>
              <w:top w:w="15" w:type="dxa"/>
              <w:left w:w="15" w:type="dxa"/>
              <w:bottom w:w="15" w:type="dxa"/>
              <w:right w:w="15" w:type="dxa"/>
            </w:tcMar>
            <w:vAlign w:val="center"/>
          </w:tcPr>
          <w:p w14:paraId="4C27EF37">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0.002</w:t>
            </w:r>
          </w:p>
        </w:tc>
        <w:tc>
          <w:tcPr>
            <w:tcW w:w="567" w:type="dxa"/>
            <w:noWrap w:val="0"/>
            <w:tcMar>
              <w:top w:w="15" w:type="dxa"/>
              <w:left w:w="15" w:type="dxa"/>
              <w:bottom w:w="15" w:type="dxa"/>
              <w:right w:w="15" w:type="dxa"/>
            </w:tcMar>
            <w:vAlign w:val="center"/>
          </w:tcPr>
          <w:p w14:paraId="1A66B8CB">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0.115</w:t>
            </w:r>
          </w:p>
        </w:tc>
        <w:tc>
          <w:tcPr>
            <w:tcW w:w="567" w:type="dxa"/>
            <w:noWrap w:val="0"/>
            <w:tcMar>
              <w:top w:w="15" w:type="dxa"/>
              <w:left w:w="15" w:type="dxa"/>
              <w:bottom w:w="15" w:type="dxa"/>
              <w:right w:w="15" w:type="dxa"/>
            </w:tcMar>
            <w:vAlign w:val="center"/>
          </w:tcPr>
          <w:p w14:paraId="57A2BAB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0.0004L</w:t>
            </w:r>
          </w:p>
        </w:tc>
        <w:tc>
          <w:tcPr>
            <w:tcW w:w="567" w:type="dxa"/>
            <w:noWrap w:val="0"/>
            <w:tcMar>
              <w:top w:w="15" w:type="dxa"/>
              <w:left w:w="15" w:type="dxa"/>
              <w:bottom w:w="15" w:type="dxa"/>
              <w:right w:w="15" w:type="dxa"/>
            </w:tcMar>
            <w:vAlign w:val="center"/>
          </w:tcPr>
          <w:p w14:paraId="6E2DA83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0.0003L</w:t>
            </w:r>
          </w:p>
        </w:tc>
        <w:tc>
          <w:tcPr>
            <w:tcW w:w="567" w:type="dxa"/>
            <w:noWrap w:val="0"/>
            <w:tcMar>
              <w:top w:w="15" w:type="dxa"/>
              <w:left w:w="15" w:type="dxa"/>
              <w:bottom w:w="15" w:type="dxa"/>
              <w:right w:w="15" w:type="dxa"/>
            </w:tcMar>
            <w:vAlign w:val="center"/>
          </w:tcPr>
          <w:p w14:paraId="3D3B3C41">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0.00004L</w:t>
            </w:r>
          </w:p>
        </w:tc>
        <w:tc>
          <w:tcPr>
            <w:tcW w:w="567" w:type="dxa"/>
            <w:noWrap w:val="0"/>
            <w:tcMar>
              <w:top w:w="15" w:type="dxa"/>
              <w:left w:w="15" w:type="dxa"/>
              <w:bottom w:w="15" w:type="dxa"/>
              <w:right w:w="15" w:type="dxa"/>
            </w:tcMar>
            <w:vAlign w:val="center"/>
          </w:tcPr>
          <w:p w14:paraId="3FB76666">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0.0001L</w:t>
            </w:r>
          </w:p>
        </w:tc>
        <w:tc>
          <w:tcPr>
            <w:tcW w:w="567" w:type="dxa"/>
            <w:noWrap w:val="0"/>
            <w:tcMar>
              <w:top w:w="15" w:type="dxa"/>
              <w:left w:w="15" w:type="dxa"/>
              <w:bottom w:w="15" w:type="dxa"/>
              <w:right w:w="15" w:type="dxa"/>
            </w:tcMar>
            <w:vAlign w:val="center"/>
          </w:tcPr>
          <w:p w14:paraId="11348B5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0.004L</w:t>
            </w:r>
          </w:p>
        </w:tc>
        <w:tc>
          <w:tcPr>
            <w:tcW w:w="567" w:type="dxa"/>
            <w:noWrap w:val="0"/>
            <w:tcMar>
              <w:top w:w="15" w:type="dxa"/>
              <w:left w:w="15" w:type="dxa"/>
              <w:bottom w:w="15" w:type="dxa"/>
              <w:right w:w="15" w:type="dxa"/>
            </w:tcMar>
            <w:vAlign w:val="center"/>
          </w:tcPr>
          <w:p w14:paraId="23DE4B8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0.002L</w:t>
            </w:r>
          </w:p>
        </w:tc>
        <w:tc>
          <w:tcPr>
            <w:tcW w:w="567" w:type="dxa"/>
            <w:noWrap w:val="0"/>
            <w:tcMar>
              <w:top w:w="15" w:type="dxa"/>
              <w:left w:w="15" w:type="dxa"/>
              <w:bottom w:w="15" w:type="dxa"/>
              <w:right w:w="15" w:type="dxa"/>
            </w:tcMar>
            <w:vAlign w:val="center"/>
          </w:tcPr>
          <w:p w14:paraId="5C63450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0.001L</w:t>
            </w:r>
          </w:p>
        </w:tc>
        <w:tc>
          <w:tcPr>
            <w:tcW w:w="567" w:type="dxa"/>
            <w:noWrap w:val="0"/>
            <w:tcMar>
              <w:top w:w="15" w:type="dxa"/>
              <w:left w:w="15" w:type="dxa"/>
              <w:bottom w:w="15" w:type="dxa"/>
              <w:right w:w="15" w:type="dxa"/>
            </w:tcMar>
            <w:vAlign w:val="center"/>
          </w:tcPr>
          <w:p w14:paraId="45C8A0B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0.0003L</w:t>
            </w:r>
          </w:p>
        </w:tc>
        <w:tc>
          <w:tcPr>
            <w:tcW w:w="567" w:type="dxa"/>
            <w:noWrap w:val="0"/>
            <w:tcMar>
              <w:top w:w="15" w:type="dxa"/>
              <w:left w:w="15" w:type="dxa"/>
              <w:bottom w:w="15" w:type="dxa"/>
              <w:right w:w="15" w:type="dxa"/>
            </w:tcMar>
            <w:vAlign w:val="center"/>
          </w:tcPr>
          <w:p w14:paraId="117790DB">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567" w:type="dxa"/>
            <w:noWrap w:val="0"/>
            <w:tcMar>
              <w:top w:w="15" w:type="dxa"/>
              <w:left w:w="15" w:type="dxa"/>
              <w:bottom w:w="15" w:type="dxa"/>
              <w:right w:w="15" w:type="dxa"/>
            </w:tcMar>
            <w:vAlign w:val="center"/>
          </w:tcPr>
          <w:p w14:paraId="23B2CD3F">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0.09</w:t>
            </w:r>
          </w:p>
        </w:tc>
        <w:tc>
          <w:tcPr>
            <w:tcW w:w="567" w:type="dxa"/>
            <w:noWrap w:val="0"/>
            <w:tcMar>
              <w:top w:w="15" w:type="dxa"/>
              <w:left w:w="15" w:type="dxa"/>
              <w:bottom w:w="15" w:type="dxa"/>
              <w:right w:w="15" w:type="dxa"/>
            </w:tcMar>
            <w:vAlign w:val="center"/>
          </w:tcPr>
          <w:p w14:paraId="73CFB85A">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491" w:type="dxa"/>
            <w:noWrap w:val="0"/>
            <w:vAlign w:val="center"/>
          </w:tcPr>
          <w:p w14:paraId="5933AC3C">
            <w:pPr>
              <w:widowControl w:val="0"/>
              <w:snapToGrid w:val="0"/>
              <w:spacing w:line="240" w:lineRule="auto"/>
              <w:ind w:firstLine="0" w:firstLineChars="0"/>
              <w:jc w:val="center"/>
              <w:rPr>
                <w:rFonts w:hint="eastAsia"/>
                <w:color w:val="000000"/>
                <w:kern w:val="0"/>
                <w:sz w:val="13"/>
                <w:szCs w:val="13"/>
                <w:u w:val="none"/>
                <w:lang w:bidi="ar"/>
              </w:rPr>
            </w:pPr>
            <w:r>
              <w:rPr>
                <w:rFonts w:hint="eastAsia"/>
                <w:color w:val="000000"/>
                <w:kern w:val="0"/>
                <w:sz w:val="13"/>
                <w:szCs w:val="13"/>
                <w:u w:val="none"/>
                <w:lang w:val="en-US" w:eastAsia="zh-CN" w:bidi="ar"/>
              </w:rPr>
              <w:t>Ⅳ类</w:t>
            </w:r>
          </w:p>
        </w:tc>
        <w:tc>
          <w:tcPr>
            <w:tcW w:w="1145" w:type="dxa"/>
            <w:noWrap w:val="0"/>
            <w:vAlign w:val="center"/>
          </w:tcPr>
          <w:p w14:paraId="3C4F8B98">
            <w:pPr>
              <w:widowControl w:val="0"/>
              <w:snapToGrid w:val="0"/>
              <w:spacing w:line="240" w:lineRule="auto"/>
              <w:ind w:firstLine="0" w:firstLineChars="0"/>
              <w:jc w:val="center"/>
              <w:rPr>
                <w:rFonts w:hint="eastAsia"/>
                <w:color w:val="000000"/>
                <w:kern w:val="0"/>
                <w:sz w:val="13"/>
                <w:szCs w:val="13"/>
                <w:u w:val="none"/>
                <w:lang w:bidi="ar"/>
              </w:rPr>
            </w:pPr>
            <w:r>
              <w:rPr>
                <w:rFonts w:hint="eastAsia"/>
                <w:color w:val="000000"/>
                <w:kern w:val="0"/>
                <w:sz w:val="13"/>
                <w:szCs w:val="13"/>
                <w:u w:val="none"/>
                <w:lang w:val="en-US" w:eastAsia="zh-CN" w:bidi="ar"/>
              </w:rPr>
              <w:t>总磷(Ⅳ类)0.2</w:t>
            </w:r>
          </w:p>
        </w:tc>
      </w:tr>
      <w:tr w14:paraId="716AD31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978" w:type="dxa"/>
            <w:tcBorders>
              <w:left w:val="single" w:color="auto" w:sz="4" w:space="0"/>
            </w:tcBorders>
            <w:noWrap w:val="0"/>
            <w:vAlign w:val="center"/>
          </w:tcPr>
          <w:p w14:paraId="739B9B23">
            <w:pPr>
              <w:widowControl w:val="0"/>
              <w:snapToGrid w:val="0"/>
              <w:spacing w:line="240" w:lineRule="auto"/>
              <w:ind w:firstLine="0" w:firstLineChars="0"/>
              <w:jc w:val="center"/>
              <w:textAlignment w:val="center"/>
              <w:rPr>
                <w:color w:val="000000"/>
                <w:kern w:val="0"/>
                <w:sz w:val="13"/>
                <w:szCs w:val="13"/>
                <w:u w:val="none"/>
                <w:lang w:bidi="ar"/>
              </w:rPr>
            </w:pPr>
            <w:r>
              <w:rPr>
                <w:rFonts w:hint="eastAsia"/>
                <w:color w:val="000000"/>
                <w:kern w:val="0"/>
                <w:sz w:val="13"/>
                <w:szCs w:val="13"/>
                <w:u w:val="none"/>
                <w:lang w:eastAsia="zh-CN" w:bidi="ar"/>
              </w:rPr>
              <w:t>2023</w:t>
            </w:r>
            <w:r>
              <w:rPr>
                <w:rFonts w:hint="eastAsia"/>
                <w:color w:val="000000"/>
                <w:kern w:val="0"/>
                <w:sz w:val="13"/>
                <w:szCs w:val="13"/>
                <w:u w:val="none"/>
                <w:lang w:bidi="ar"/>
              </w:rPr>
              <w:t>年</w:t>
            </w:r>
            <w:r>
              <w:rPr>
                <w:color w:val="000000"/>
                <w:kern w:val="0"/>
                <w:sz w:val="13"/>
                <w:szCs w:val="13"/>
                <w:u w:val="none"/>
                <w:lang w:bidi="ar"/>
              </w:rPr>
              <w:t>5</w:t>
            </w:r>
            <w:r>
              <w:rPr>
                <w:rFonts w:hint="eastAsia"/>
                <w:color w:val="000000"/>
                <w:kern w:val="0"/>
                <w:sz w:val="13"/>
                <w:szCs w:val="13"/>
                <w:u w:val="none"/>
                <w:lang w:bidi="ar"/>
              </w:rPr>
              <w:t>月</w:t>
            </w:r>
          </w:p>
        </w:tc>
        <w:tc>
          <w:tcPr>
            <w:tcW w:w="567" w:type="dxa"/>
            <w:noWrap w:val="0"/>
            <w:tcMar>
              <w:top w:w="15" w:type="dxa"/>
              <w:left w:w="15" w:type="dxa"/>
              <w:bottom w:w="15" w:type="dxa"/>
              <w:right w:w="15" w:type="dxa"/>
            </w:tcMar>
            <w:vAlign w:val="center"/>
          </w:tcPr>
          <w:p w14:paraId="65541F87">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w:t>
            </w:r>
          </w:p>
        </w:tc>
        <w:tc>
          <w:tcPr>
            <w:tcW w:w="567" w:type="dxa"/>
            <w:noWrap w:val="0"/>
            <w:tcMar>
              <w:top w:w="15" w:type="dxa"/>
              <w:left w:w="15" w:type="dxa"/>
              <w:bottom w:w="15" w:type="dxa"/>
              <w:right w:w="15" w:type="dxa"/>
            </w:tcMar>
            <w:vAlign w:val="center"/>
          </w:tcPr>
          <w:p w14:paraId="3FCE0061">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w:t>
            </w:r>
          </w:p>
        </w:tc>
        <w:tc>
          <w:tcPr>
            <w:tcW w:w="567" w:type="dxa"/>
            <w:noWrap w:val="0"/>
            <w:tcMar>
              <w:top w:w="15" w:type="dxa"/>
              <w:left w:w="15" w:type="dxa"/>
              <w:bottom w:w="15" w:type="dxa"/>
              <w:right w:w="15" w:type="dxa"/>
            </w:tcMar>
            <w:vAlign w:val="center"/>
          </w:tcPr>
          <w:p w14:paraId="3215E2B2">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1.9</w:t>
            </w:r>
          </w:p>
        </w:tc>
        <w:tc>
          <w:tcPr>
            <w:tcW w:w="567" w:type="dxa"/>
            <w:noWrap w:val="0"/>
            <w:tcMar>
              <w:top w:w="15" w:type="dxa"/>
              <w:left w:w="15" w:type="dxa"/>
              <w:bottom w:w="15" w:type="dxa"/>
              <w:right w:w="15" w:type="dxa"/>
            </w:tcMar>
            <w:vAlign w:val="center"/>
          </w:tcPr>
          <w:p w14:paraId="3631D4AF">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w:t>
            </w:r>
          </w:p>
        </w:tc>
        <w:tc>
          <w:tcPr>
            <w:tcW w:w="567" w:type="dxa"/>
            <w:noWrap w:val="0"/>
            <w:tcMar>
              <w:top w:w="15" w:type="dxa"/>
              <w:left w:w="15" w:type="dxa"/>
              <w:bottom w:w="15" w:type="dxa"/>
              <w:right w:w="15" w:type="dxa"/>
            </w:tcMar>
            <w:vAlign w:val="center"/>
          </w:tcPr>
          <w:p w14:paraId="641D8FD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2.6</w:t>
            </w:r>
          </w:p>
        </w:tc>
        <w:tc>
          <w:tcPr>
            <w:tcW w:w="567" w:type="dxa"/>
            <w:noWrap w:val="0"/>
            <w:tcMar>
              <w:top w:w="15" w:type="dxa"/>
              <w:left w:w="15" w:type="dxa"/>
              <w:bottom w:w="15" w:type="dxa"/>
              <w:right w:w="15" w:type="dxa"/>
            </w:tcMar>
            <w:vAlign w:val="center"/>
          </w:tcPr>
          <w:p w14:paraId="79A11327">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0.68</w:t>
            </w:r>
          </w:p>
        </w:tc>
        <w:tc>
          <w:tcPr>
            <w:tcW w:w="567" w:type="dxa"/>
            <w:noWrap w:val="0"/>
            <w:tcMar>
              <w:top w:w="15" w:type="dxa"/>
              <w:left w:w="15" w:type="dxa"/>
              <w:bottom w:w="15" w:type="dxa"/>
              <w:right w:w="15" w:type="dxa"/>
            </w:tcMar>
            <w:vAlign w:val="center"/>
          </w:tcPr>
          <w:p w14:paraId="243CBEA0">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0.09</w:t>
            </w:r>
          </w:p>
        </w:tc>
        <w:tc>
          <w:tcPr>
            <w:tcW w:w="567" w:type="dxa"/>
            <w:noWrap w:val="0"/>
            <w:tcMar>
              <w:top w:w="15" w:type="dxa"/>
              <w:left w:w="15" w:type="dxa"/>
              <w:bottom w:w="15" w:type="dxa"/>
              <w:right w:w="15" w:type="dxa"/>
            </w:tcMar>
            <w:vAlign w:val="center"/>
          </w:tcPr>
          <w:p w14:paraId="0CFCA2DB">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0.00008L</w:t>
            </w:r>
          </w:p>
        </w:tc>
        <w:tc>
          <w:tcPr>
            <w:tcW w:w="567" w:type="dxa"/>
            <w:noWrap w:val="0"/>
            <w:tcMar>
              <w:top w:w="15" w:type="dxa"/>
              <w:left w:w="15" w:type="dxa"/>
              <w:bottom w:w="15" w:type="dxa"/>
              <w:right w:w="15" w:type="dxa"/>
            </w:tcMar>
            <w:vAlign w:val="center"/>
          </w:tcPr>
          <w:p w14:paraId="5086323B">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0.0007L</w:t>
            </w:r>
          </w:p>
        </w:tc>
        <w:tc>
          <w:tcPr>
            <w:tcW w:w="567" w:type="dxa"/>
            <w:noWrap w:val="0"/>
            <w:tcMar>
              <w:top w:w="15" w:type="dxa"/>
              <w:left w:w="15" w:type="dxa"/>
              <w:bottom w:w="15" w:type="dxa"/>
              <w:right w:w="15" w:type="dxa"/>
            </w:tcMar>
            <w:vAlign w:val="center"/>
          </w:tcPr>
          <w:p w14:paraId="64918D61">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0.13</w:t>
            </w:r>
          </w:p>
        </w:tc>
        <w:tc>
          <w:tcPr>
            <w:tcW w:w="567" w:type="dxa"/>
            <w:noWrap w:val="0"/>
            <w:tcMar>
              <w:top w:w="15" w:type="dxa"/>
              <w:left w:w="15" w:type="dxa"/>
              <w:bottom w:w="15" w:type="dxa"/>
              <w:right w:w="15" w:type="dxa"/>
            </w:tcMar>
            <w:vAlign w:val="center"/>
          </w:tcPr>
          <w:p w14:paraId="2068CFA2">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0.0004L</w:t>
            </w:r>
          </w:p>
        </w:tc>
        <w:tc>
          <w:tcPr>
            <w:tcW w:w="567" w:type="dxa"/>
            <w:noWrap w:val="0"/>
            <w:tcMar>
              <w:top w:w="15" w:type="dxa"/>
              <w:left w:w="15" w:type="dxa"/>
              <w:bottom w:w="15" w:type="dxa"/>
              <w:right w:w="15" w:type="dxa"/>
            </w:tcMar>
            <w:vAlign w:val="center"/>
          </w:tcPr>
          <w:p w14:paraId="22DF542A">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0.0002L</w:t>
            </w:r>
          </w:p>
        </w:tc>
        <w:tc>
          <w:tcPr>
            <w:tcW w:w="567" w:type="dxa"/>
            <w:noWrap w:val="0"/>
            <w:tcMar>
              <w:top w:w="15" w:type="dxa"/>
              <w:left w:w="15" w:type="dxa"/>
              <w:bottom w:w="15" w:type="dxa"/>
              <w:right w:w="15" w:type="dxa"/>
            </w:tcMar>
            <w:vAlign w:val="center"/>
          </w:tcPr>
          <w:p w14:paraId="743EC6BE">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0.00004L</w:t>
            </w:r>
          </w:p>
        </w:tc>
        <w:tc>
          <w:tcPr>
            <w:tcW w:w="567" w:type="dxa"/>
            <w:noWrap w:val="0"/>
            <w:tcMar>
              <w:top w:w="15" w:type="dxa"/>
              <w:left w:w="15" w:type="dxa"/>
              <w:bottom w:w="15" w:type="dxa"/>
              <w:right w:w="15" w:type="dxa"/>
            </w:tcMar>
            <w:vAlign w:val="center"/>
          </w:tcPr>
          <w:p w14:paraId="5ADDE262">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0.00005L</w:t>
            </w:r>
          </w:p>
        </w:tc>
        <w:tc>
          <w:tcPr>
            <w:tcW w:w="567" w:type="dxa"/>
            <w:noWrap w:val="0"/>
            <w:tcMar>
              <w:top w:w="15" w:type="dxa"/>
              <w:left w:w="15" w:type="dxa"/>
              <w:bottom w:w="15" w:type="dxa"/>
              <w:right w:w="15" w:type="dxa"/>
            </w:tcMar>
            <w:vAlign w:val="center"/>
          </w:tcPr>
          <w:p w14:paraId="00C87DA1">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0.004L</w:t>
            </w:r>
          </w:p>
        </w:tc>
        <w:tc>
          <w:tcPr>
            <w:tcW w:w="567" w:type="dxa"/>
            <w:noWrap w:val="0"/>
            <w:tcMar>
              <w:top w:w="15" w:type="dxa"/>
              <w:left w:w="15" w:type="dxa"/>
              <w:bottom w:w="15" w:type="dxa"/>
              <w:right w:w="15" w:type="dxa"/>
            </w:tcMar>
            <w:vAlign w:val="center"/>
          </w:tcPr>
          <w:p w14:paraId="59A4D4D2">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0.00009L</w:t>
            </w:r>
          </w:p>
        </w:tc>
        <w:tc>
          <w:tcPr>
            <w:tcW w:w="567" w:type="dxa"/>
            <w:noWrap w:val="0"/>
            <w:tcMar>
              <w:top w:w="15" w:type="dxa"/>
              <w:left w:w="15" w:type="dxa"/>
              <w:bottom w:w="15" w:type="dxa"/>
              <w:right w:w="15" w:type="dxa"/>
            </w:tcMar>
            <w:vAlign w:val="center"/>
          </w:tcPr>
          <w:p w14:paraId="02565B3A">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0.004L</w:t>
            </w:r>
          </w:p>
        </w:tc>
        <w:tc>
          <w:tcPr>
            <w:tcW w:w="567" w:type="dxa"/>
            <w:noWrap w:val="0"/>
            <w:tcMar>
              <w:top w:w="15" w:type="dxa"/>
              <w:left w:w="15" w:type="dxa"/>
              <w:bottom w:w="15" w:type="dxa"/>
              <w:right w:w="15" w:type="dxa"/>
            </w:tcMar>
            <w:vAlign w:val="center"/>
          </w:tcPr>
          <w:p w14:paraId="745D65A5">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0.0003L</w:t>
            </w:r>
          </w:p>
        </w:tc>
        <w:tc>
          <w:tcPr>
            <w:tcW w:w="567" w:type="dxa"/>
            <w:noWrap w:val="0"/>
            <w:tcMar>
              <w:top w:w="15" w:type="dxa"/>
              <w:left w:w="15" w:type="dxa"/>
              <w:bottom w:w="15" w:type="dxa"/>
              <w:right w:w="15" w:type="dxa"/>
            </w:tcMar>
            <w:vAlign w:val="center"/>
          </w:tcPr>
          <w:p w14:paraId="1B11D33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567" w:type="dxa"/>
            <w:noWrap w:val="0"/>
            <w:tcMar>
              <w:top w:w="15" w:type="dxa"/>
              <w:left w:w="15" w:type="dxa"/>
              <w:bottom w:w="15" w:type="dxa"/>
              <w:right w:w="15" w:type="dxa"/>
            </w:tcMar>
            <w:vAlign w:val="center"/>
          </w:tcPr>
          <w:p w14:paraId="5F2FB7F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0.05L</w:t>
            </w:r>
          </w:p>
        </w:tc>
        <w:tc>
          <w:tcPr>
            <w:tcW w:w="567" w:type="dxa"/>
            <w:noWrap w:val="0"/>
            <w:tcMar>
              <w:top w:w="15" w:type="dxa"/>
              <w:left w:w="15" w:type="dxa"/>
              <w:bottom w:w="15" w:type="dxa"/>
              <w:right w:w="15" w:type="dxa"/>
            </w:tcMar>
            <w:vAlign w:val="center"/>
          </w:tcPr>
          <w:p w14:paraId="0F83C73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491" w:type="dxa"/>
            <w:noWrap w:val="0"/>
            <w:vAlign w:val="center"/>
          </w:tcPr>
          <w:p w14:paraId="359B127B">
            <w:pPr>
              <w:widowControl w:val="0"/>
              <w:snapToGrid w:val="0"/>
              <w:spacing w:line="240" w:lineRule="auto"/>
              <w:ind w:firstLine="0" w:firstLineChars="0"/>
              <w:jc w:val="center"/>
              <w:rPr>
                <w:rFonts w:hint="eastAsia"/>
                <w:color w:val="000000"/>
                <w:kern w:val="0"/>
                <w:sz w:val="13"/>
                <w:szCs w:val="13"/>
                <w:u w:val="none"/>
                <w:lang w:bidi="ar"/>
              </w:rPr>
            </w:pPr>
            <w:r>
              <w:rPr>
                <w:rFonts w:hint="eastAsia"/>
                <w:color w:val="000000"/>
                <w:kern w:val="0"/>
                <w:sz w:val="13"/>
                <w:szCs w:val="13"/>
                <w:u w:val="none"/>
                <w:lang w:val="en-US" w:eastAsia="zh-CN" w:bidi="ar"/>
              </w:rPr>
              <w:t>Ⅲ类</w:t>
            </w:r>
          </w:p>
        </w:tc>
        <w:tc>
          <w:tcPr>
            <w:tcW w:w="1145" w:type="dxa"/>
            <w:noWrap w:val="0"/>
            <w:vAlign w:val="center"/>
          </w:tcPr>
          <w:p w14:paraId="45CDE13E">
            <w:pPr>
              <w:widowControl w:val="0"/>
              <w:snapToGrid w:val="0"/>
              <w:spacing w:line="240" w:lineRule="auto"/>
              <w:ind w:firstLine="0" w:firstLineChars="0"/>
              <w:jc w:val="center"/>
              <w:rPr>
                <w:rFonts w:hint="eastAsia"/>
                <w:color w:val="000000"/>
                <w:kern w:val="0"/>
                <w:sz w:val="13"/>
                <w:szCs w:val="13"/>
                <w:u w:val="none"/>
                <w:lang w:bidi="ar"/>
              </w:rPr>
            </w:pPr>
          </w:p>
        </w:tc>
      </w:tr>
      <w:tr w14:paraId="1C30F14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978" w:type="dxa"/>
            <w:tcBorders>
              <w:left w:val="single" w:color="auto" w:sz="4" w:space="0"/>
            </w:tcBorders>
            <w:noWrap w:val="0"/>
            <w:vAlign w:val="center"/>
          </w:tcPr>
          <w:p w14:paraId="26F993FF">
            <w:pPr>
              <w:widowControl w:val="0"/>
              <w:snapToGrid w:val="0"/>
              <w:spacing w:line="240" w:lineRule="auto"/>
              <w:ind w:firstLine="0" w:firstLineChars="0"/>
              <w:jc w:val="center"/>
              <w:textAlignment w:val="center"/>
              <w:rPr>
                <w:color w:val="000000"/>
                <w:kern w:val="0"/>
                <w:sz w:val="13"/>
                <w:szCs w:val="13"/>
                <w:u w:val="none"/>
                <w:lang w:bidi="ar"/>
              </w:rPr>
            </w:pPr>
            <w:r>
              <w:rPr>
                <w:rFonts w:hint="eastAsia"/>
                <w:color w:val="000000"/>
                <w:kern w:val="0"/>
                <w:sz w:val="13"/>
                <w:szCs w:val="13"/>
                <w:u w:val="none"/>
                <w:lang w:eastAsia="zh-CN" w:bidi="ar"/>
              </w:rPr>
              <w:t>2023</w:t>
            </w:r>
            <w:r>
              <w:rPr>
                <w:rFonts w:hint="eastAsia"/>
                <w:color w:val="000000"/>
                <w:kern w:val="0"/>
                <w:sz w:val="13"/>
                <w:szCs w:val="13"/>
                <w:u w:val="none"/>
                <w:lang w:bidi="ar"/>
              </w:rPr>
              <w:t>年</w:t>
            </w:r>
            <w:r>
              <w:rPr>
                <w:color w:val="000000"/>
                <w:kern w:val="0"/>
                <w:sz w:val="13"/>
                <w:szCs w:val="13"/>
                <w:u w:val="none"/>
                <w:lang w:bidi="ar"/>
              </w:rPr>
              <w:t>6</w:t>
            </w:r>
            <w:r>
              <w:rPr>
                <w:rFonts w:hint="eastAsia"/>
                <w:color w:val="000000"/>
                <w:kern w:val="0"/>
                <w:sz w:val="13"/>
                <w:szCs w:val="13"/>
                <w:u w:val="none"/>
                <w:lang w:bidi="ar"/>
              </w:rPr>
              <w:t>月</w:t>
            </w:r>
          </w:p>
        </w:tc>
        <w:tc>
          <w:tcPr>
            <w:tcW w:w="567" w:type="dxa"/>
            <w:noWrap w:val="0"/>
            <w:tcMar>
              <w:top w:w="15" w:type="dxa"/>
              <w:left w:w="15" w:type="dxa"/>
              <w:bottom w:w="15" w:type="dxa"/>
              <w:right w:w="15" w:type="dxa"/>
            </w:tcMar>
            <w:vAlign w:val="center"/>
          </w:tcPr>
          <w:p w14:paraId="06283597">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w:t>
            </w:r>
          </w:p>
        </w:tc>
        <w:tc>
          <w:tcPr>
            <w:tcW w:w="567" w:type="dxa"/>
            <w:noWrap w:val="0"/>
            <w:tcMar>
              <w:top w:w="15" w:type="dxa"/>
              <w:left w:w="15" w:type="dxa"/>
              <w:bottom w:w="15" w:type="dxa"/>
              <w:right w:w="15" w:type="dxa"/>
            </w:tcMar>
            <w:vAlign w:val="center"/>
          </w:tcPr>
          <w:p w14:paraId="7DEFA62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w:t>
            </w:r>
          </w:p>
        </w:tc>
        <w:tc>
          <w:tcPr>
            <w:tcW w:w="567" w:type="dxa"/>
            <w:noWrap w:val="0"/>
            <w:tcMar>
              <w:top w:w="15" w:type="dxa"/>
              <w:left w:w="15" w:type="dxa"/>
              <w:bottom w:w="15" w:type="dxa"/>
              <w:right w:w="15" w:type="dxa"/>
            </w:tcMar>
            <w:vAlign w:val="center"/>
          </w:tcPr>
          <w:p w14:paraId="5DB5D8C0">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1.5</w:t>
            </w:r>
          </w:p>
        </w:tc>
        <w:tc>
          <w:tcPr>
            <w:tcW w:w="567" w:type="dxa"/>
            <w:noWrap w:val="0"/>
            <w:tcMar>
              <w:top w:w="15" w:type="dxa"/>
              <w:left w:w="15" w:type="dxa"/>
              <w:bottom w:w="15" w:type="dxa"/>
              <w:right w:w="15" w:type="dxa"/>
            </w:tcMar>
            <w:vAlign w:val="center"/>
          </w:tcPr>
          <w:p w14:paraId="32E72E30">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w:t>
            </w:r>
          </w:p>
        </w:tc>
        <w:tc>
          <w:tcPr>
            <w:tcW w:w="567" w:type="dxa"/>
            <w:noWrap w:val="0"/>
            <w:tcMar>
              <w:top w:w="15" w:type="dxa"/>
              <w:left w:w="15" w:type="dxa"/>
              <w:bottom w:w="15" w:type="dxa"/>
              <w:right w:w="15" w:type="dxa"/>
            </w:tcMar>
            <w:vAlign w:val="center"/>
          </w:tcPr>
          <w:p w14:paraId="6A2CA33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0.7</w:t>
            </w:r>
          </w:p>
        </w:tc>
        <w:tc>
          <w:tcPr>
            <w:tcW w:w="567" w:type="dxa"/>
            <w:noWrap w:val="0"/>
            <w:tcMar>
              <w:top w:w="15" w:type="dxa"/>
              <w:left w:w="15" w:type="dxa"/>
              <w:bottom w:w="15" w:type="dxa"/>
              <w:right w:w="15" w:type="dxa"/>
            </w:tcMar>
            <w:vAlign w:val="center"/>
          </w:tcPr>
          <w:p w14:paraId="067E934B">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0.5</w:t>
            </w:r>
          </w:p>
        </w:tc>
        <w:tc>
          <w:tcPr>
            <w:tcW w:w="567" w:type="dxa"/>
            <w:noWrap w:val="0"/>
            <w:tcMar>
              <w:top w:w="15" w:type="dxa"/>
              <w:left w:w="15" w:type="dxa"/>
              <w:bottom w:w="15" w:type="dxa"/>
              <w:right w:w="15" w:type="dxa"/>
            </w:tcMar>
            <w:vAlign w:val="center"/>
          </w:tcPr>
          <w:p w14:paraId="1153A549">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0.15</w:t>
            </w:r>
          </w:p>
        </w:tc>
        <w:tc>
          <w:tcPr>
            <w:tcW w:w="567" w:type="dxa"/>
            <w:noWrap w:val="0"/>
            <w:tcMar>
              <w:top w:w="15" w:type="dxa"/>
              <w:left w:w="15" w:type="dxa"/>
              <w:bottom w:w="15" w:type="dxa"/>
              <w:right w:w="15" w:type="dxa"/>
            </w:tcMar>
            <w:vAlign w:val="center"/>
          </w:tcPr>
          <w:p w14:paraId="084C4660">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0.00002</w:t>
            </w:r>
          </w:p>
        </w:tc>
        <w:tc>
          <w:tcPr>
            <w:tcW w:w="567" w:type="dxa"/>
            <w:noWrap w:val="0"/>
            <w:tcMar>
              <w:top w:w="15" w:type="dxa"/>
              <w:left w:w="15" w:type="dxa"/>
              <w:bottom w:w="15" w:type="dxa"/>
              <w:right w:w="15" w:type="dxa"/>
            </w:tcMar>
            <w:vAlign w:val="center"/>
          </w:tcPr>
          <w:p w14:paraId="6B461662">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0.0007L</w:t>
            </w:r>
          </w:p>
        </w:tc>
        <w:tc>
          <w:tcPr>
            <w:tcW w:w="567" w:type="dxa"/>
            <w:noWrap w:val="0"/>
            <w:tcMar>
              <w:top w:w="15" w:type="dxa"/>
              <w:left w:w="15" w:type="dxa"/>
              <w:bottom w:w="15" w:type="dxa"/>
              <w:right w:w="15" w:type="dxa"/>
            </w:tcMar>
            <w:vAlign w:val="center"/>
          </w:tcPr>
          <w:p w14:paraId="4B4D3B7F">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0.09</w:t>
            </w:r>
          </w:p>
        </w:tc>
        <w:tc>
          <w:tcPr>
            <w:tcW w:w="567" w:type="dxa"/>
            <w:noWrap w:val="0"/>
            <w:tcMar>
              <w:top w:w="15" w:type="dxa"/>
              <w:left w:w="15" w:type="dxa"/>
              <w:bottom w:w="15" w:type="dxa"/>
              <w:right w:w="15" w:type="dxa"/>
            </w:tcMar>
            <w:vAlign w:val="center"/>
          </w:tcPr>
          <w:p w14:paraId="0A5C8E0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0.00041L</w:t>
            </w:r>
          </w:p>
        </w:tc>
        <w:tc>
          <w:tcPr>
            <w:tcW w:w="567" w:type="dxa"/>
            <w:noWrap w:val="0"/>
            <w:tcMar>
              <w:top w:w="15" w:type="dxa"/>
              <w:left w:w="15" w:type="dxa"/>
              <w:bottom w:w="15" w:type="dxa"/>
              <w:right w:w="15" w:type="dxa"/>
            </w:tcMar>
            <w:vAlign w:val="center"/>
          </w:tcPr>
          <w:p w14:paraId="2A42EC3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0.0002L</w:t>
            </w:r>
          </w:p>
        </w:tc>
        <w:tc>
          <w:tcPr>
            <w:tcW w:w="567" w:type="dxa"/>
            <w:noWrap w:val="0"/>
            <w:tcMar>
              <w:top w:w="15" w:type="dxa"/>
              <w:left w:w="15" w:type="dxa"/>
              <w:bottom w:w="15" w:type="dxa"/>
              <w:right w:w="15" w:type="dxa"/>
            </w:tcMar>
            <w:vAlign w:val="center"/>
          </w:tcPr>
          <w:p w14:paraId="3E840ABE">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0.00004L</w:t>
            </w:r>
          </w:p>
        </w:tc>
        <w:tc>
          <w:tcPr>
            <w:tcW w:w="567" w:type="dxa"/>
            <w:noWrap w:val="0"/>
            <w:tcMar>
              <w:top w:w="15" w:type="dxa"/>
              <w:left w:w="15" w:type="dxa"/>
              <w:bottom w:w="15" w:type="dxa"/>
              <w:right w:w="15" w:type="dxa"/>
            </w:tcMar>
            <w:vAlign w:val="center"/>
          </w:tcPr>
          <w:p w14:paraId="6C4D05A8">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0.00005L</w:t>
            </w:r>
          </w:p>
        </w:tc>
        <w:tc>
          <w:tcPr>
            <w:tcW w:w="567" w:type="dxa"/>
            <w:noWrap w:val="0"/>
            <w:tcMar>
              <w:top w:w="15" w:type="dxa"/>
              <w:left w:w="15" w:type="dxa"/>
              <w:bottom w:w="15" w:type="dxa"/>
              <w:right w:w="15" w:type="dxa"/>
            </w:tcMar>
            <w:vAlign w:val="center"/>
          </w:tcPr>
          <w:p w14:paraId="150D2BC3">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0.004L</w:t>
            </w:r>
          </w:p>
        </w:tc>
        <w:tc>
          <w:tcPr>
            <w:tcW w:w="567" w:type="dxa"/>
            <w:noWrap w:val="0"/>
            <w:tcMar>
              <w:top w:w="15" w:type="dxa"/>
              <w:left w:w="15" w:type="dxa"/>
              <w:bottom w:w="15" w:type="dxa"/>
              <w:right w:w="15" w:type="dxa"/>
            </w:tcMar>
            <w:vAlign w:val="center"/>
          </w:tcPr>
          <w:p w14:paraId="4721175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w:t>
            </w:r>
          </w:p>
        </w:tc>
        <w:tc>
          <w:tcPr>
            <w:tcW w:w="567" w:type="dxa"/>
            <w:noWrap w:val="0"/>
            <w:tcMar>
              <w:top w:w="15" w:type="dxa"/>
              <w:left w:w="15" w:type="dxa"/>
              <w:bottom w:w="15" w:type="dxa"/>
              <w:right w:w="15" w:type="dxa"/>
            </w:tcMar>
            <w:vAlign w:val="center"/>
          </w:tcPr>
          <w:p w14:paraId="6E5852A8">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0.004L</w:t>
            </w:r>
          </w:p>
        </w:tc>
        <w:tc>
          <w:tcPr>
            <w:tcW w:w="567" w:type="dxa"/>
            <w:noWrap w:val="0"/>
            <w:tcMar>
              <w:top w:w="15" w:type="dxa"/>
              <w:left w:w="15" w:type="dxa"/>
              <w:bottom w:w="15" w:type="dxa"/>
              <w:right w:w="15" w:type="dxa"/>
            </w:tcMar>
            <w:vAlign w:val="center"/>
          </w:tcPr>
          <w:p w14:paraId="236E0E0F">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0.0003L</w:t>
            </w:r>
          </w:p>
        </w:tc>
        <w:tc>
          <w:tcPr>
            <w:tcW w:w="567" w:type="dxa"/>
            <w:noWrap w:val="0"/>
            <w:tcMar>
              <w:top w:w="15" w:type="dxa"/>
              <w:left w:w="15" w:type="dxa"/>
              <w:bottom w:w="15" w:type="dxa"/>
              <w:right w:w="15" w:type="dxa"/>
            </w:tcMar>
            <w:vAlign w:val="center"/>
          </w:tcPr>
          <w:p w14:paraId="4D3EF90F">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567" w:type="dxa"/>
            <w:noWrap w:val="0"/>
            <w:tcMar>
              <w:top w:w="15" w:type="dxa"/>
              <w:left w:w="15" w:type="dxa"/>
              <w:bottom w:w="15" w:type="dxa"/>
              <w:right w:w="15" w:type="dxa"/>
            </w:tcMar>
            <w:vAlign w:val="center"/>
          </w:tcPr>
          <w:p w14:paraId="09E655EE">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0.05L</w:t>
            </w:r>
          </w:p>
        </w:tc>
        <w:tc>
          <w:tcPr>
            <w:tcW w:w="567" w:type="dxa"/>
            <w:noWrap w:val="0"/>
            <w:tcMar>
              <w:top w:w="15" w:type="dxa"/>
              <w:left w:w="15" w:type="dxa"/>
              <w:bottom w:w="15" w:type="dxa"/>
              <w:right w:w="15" w:type="dxa"/>
            </w:tcMar>
            <w:vAlign w:val="center"/>
          </w:tcPr>
          <w:p w14:paraId="2828EA5B">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491" w:type="dxa"/>
            <w:noWrap w:val="0"/>
            <w:vAlign w:val="center"/>
          </w:tcPr>
          <w:p w14:paraId="14A3BD47">
            <w:pPr>
              <w:widowControl w:val="0"/>
              <w:snapToGrid w:val="0"/>
              <w:spacing w:line="240" w:lineRule="auto"/>
              <w:ind w:firstLine="0" w:firstLineChars="0"/>
              <w:jc w:val="center"/>
              <w:rPr>
                <w:rFonts w:hint="eastAsia"/>
                <w:color w:val="000000"/>
                <w:kern w:val="0"/>
                <w:sz w:val="13"/>
                <w:szCs w:val="13"/>
                <w:u w:val="none"/>
                <w:lang w:bidi="ar"/>
              </w:rPr>
            </w:pPr>
            <w:r>
              <w:rPr>
                <w:rFonts w:hint="eastAsia"/>
                <w:color w:val="000000"/>
                <w:kern w:val="0"/>
                <w:sz w:val="13"/>
                <w:szCs w:val="13"/>
                <w:u w:val="none"/>
                <w:lang w:val="en-US" w:eastAsia="zh-CN" w:bidi="ar"/>
              </w:rPr>
              <w:t>Ⅲ类</w:t>
            </w:r>
          </w:p>
        </w:tc>
        <w:tc>
          <w:tcPr>
            <w:tcW w:w="1145" w:type="dxa"/>
            <w:noWrap w:val="0"/>
            <w:vAlign w:val="center"/>
          </w:tcPr>
          <w:p w14:paraId="0EFF64CE">
            <w:pPr>
              <w:widowControl w:val="0"/>
              <w:snapToGrid w:val="0"/>
              <w:spacing w:line="240" w:lineRule="auto"/>
              <w:ind w:firstLine="0" w:firstLineChars="0"/>
              <w:jc w:val="center"/>
              <w:rPr>
                <w:rFonts w:hint="eastAsia"/>
                <w:color w:val="000000"/>
                <w:kern w:val="0"/>
                <w:sz w:val="13"/>
                <w:szCs w:val="13"/>
                <w:u w:val="none"/>
                <w:lang w:bidi="ar"/>
              </w:rPr>
            </w:pPr>
          </w:p>
        </w:tc>
      </w:tr>
      <w:tr w14:paraId="330B8E4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978" w:type="dxa"/>
            <w:tcBorders>
              <w:left w:val="single" w:color="auto" w:sz="4" w:space="0"/>
            </w:tcBorders>
            <w:noWrap w:val="0"/>
            <w:vAlign w:val="center"/>
          </w:tcPr>
          <w:p w14:paraId="093100E8">
            <w:pPr>
              <w:widowControl w:val="0"/>
              <w:snapToGrid w:val="0"/>
              <w:spacing w:line="240" w:lineRule="auto"/>
              <w:ind w:firstLine="0" w:firstLineChars="0"/>
              <w:jc w:val="center"/>
              <w:textAlignment w:val="center"/>
              <w:rPr>
                <w:color w:val="000000"/>
                <w:kern w:val="0"/>
                <w:sz w:val="13"/>
                <w:szCs w:val="13"/>
                <w:u w:val="none"/>
                <w:lang w:bidi="ar"/>
              </w:rPr>
            </w:pPr>
            <w:r>
              <w:rPr>
                <w:rFonts w:hint="eastAsia"/>
                <w:color w:val="000000"/>
                <w:kern w:val="0"/>
                <w:sz w:val="13"/>
                <w:szCs w:val="13"/>
                <w:u w:val="none"/>
                <w:lang w:eastAsia="zh-CN" w:bidi="ar"/>
              </w:rPr>
              <w:t>2023</w:t>
            </w:r>
            <w:r>
              <w:rPr>
                <w:rFonts w:hint="eastAsia"/>
                <w:color w:val="000000"/>
                <w:kern w:val="0"/>
                <w:sz w:val="13"/>
                <w:szCs w:val="13"/>
                <w:u w:val="none"/>
                <w:lang w:bidi="ar"/>
              </w:rPr>
              <w:t>年</w:t>
            </w:r>
            <w:r>
              <w:rPr>
                <w:color w:val="000000"/>
                <w:kern w:val="0"/>
                <w:sz w:val="13"/>
                <w:szCs w:val="13"/>
                <w:u w:val="none"/>
                <w:lang w:bidi="ar"/>
              </w:rPr>
              <w:t>7</w:t>
            </w:r>
            <w:r>
              <w:rPr>
                <w:rFonts w:hint="eastAsia"/>
                <w:color w:val="000000"/>
                <w:kern w:val="0"/>
                <w:sz w:val="13"/>
                <w:szCs w:val="13"/>
                <w:u w:val="none"/>
                <w:lang w:bidi="ar"/>
              </w:rPr>
              <w:t>月</w:t>
            </w:r>
          </w:p>
        </w:tc>
        <w:tc>
          <w:tcPr>
            <w:tcW w:w="567" w:type="dxa"/>
            <w:noWrap w:val="0"/>
            <w:tcMar>
              <w:top w:w="15" w:type="dxa"/>
              <w:left w:w="15" w:type="dxa"/>
              <w:bottom w:w="15" w:type="dxa"/>
              <w:right w:w="15" w:type="dxa"/>
            </w:tcMar>
            <w:vAlign w:val="center"/>
          </w:tcPr>
          <w:p w14:paraId="75785EF1">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w:t>
            </w:r>
          </w:p>
        </w:tc>
        <w:tc>
          <w:tcPr>
            <w:tcW w:w="567" w:type="dxa"/>
            <w:noWrap w:val="0"/>
            <w:tcMar>
              <w:top w:w="15" w:type="dxa"/>
              <w:left w:w="15" w:type="dxa"/>
              <w:bottom w:w="15" w:type="dxa"/>
              <w:right w:w="15" w:type="dxa"/>
            </w:tcMar>
            <w:vAlign w:val="center"/>
          </w:tcPr>
          <w:p w14:paraId="1B6CEE2A">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7.7</w:t>
            </w:r>
          </w:p>
        </w:tc>
        <w:tc>
          <w:tcPr>
            <w:tcW w:w="567" w:type="dxa"/>
            <w:noWrap w:val="0"/>
            <w:tcMar>
              <w:top w:w="15" w:type="dxa"/>
              <w:left w:w="15" w:type="dxa"/>
              <w:bottom w:w="15" w:type="dxa"/>
              <w:right w:w="15" w:type="dxa"/>
            </w:tcMar>
            <w:vAlign w:val="center"/>
          </w:tcPr>
          <w:p w14:paraId="01EE4683">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1.5</w:t>
            </w:r>
          </w:p>
        </w:tc>
        <w:tc>
          <w:tcPr>
            <w:tcW w:w="567" w:type="dxa"/>
            <w:noWrap w:val="0"/>
            <w:tcMar>
              <w:top w:w="15" w:type="dxa"/>
              <w:left w:w="15" w:type="dxa"/>
              <w:bottom w:w="15" w:type="dxa"/>
              <w:right w:w="15" w:type="dxa"/>
            </w:tcMar>
            <w:vAlign w:val="center"/>
          </w:tcPr>
          <w:p w14:paraId="7D6F2937">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5</w:t>
            </w:r>
          </w:p>
        </w:tc>
        <w:tc>
          <w:tcPr>
            <w:tcW w:w="567" w:type="dxa"/>
            <w:noWrap w:val="0"/>
            <w:tcMar>
              <w:top w:w="15" w:type="dxa"/>
              <w:left w:w="15" w:type="dxa"/>
              <w:bottom w:w="15" w:type="dxa"/>
              <w:right w:w="15" w:type="dxa"/>
            </w:tcMar>
            <w:vAlign w:val="center"/>
          </w:tcPr>
          <w:p w14:paraId="10574DCB">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1.6</w:t>
            </w:r>
          </w:p>
        </w:tc>
        <w:tc>
          <w:tcPr>
            <w:tcW w:w="567" w:type="dxa"/>
            <w:noWrap w:val="0"/>
            <w:tcMar>
              <w:top w:w="15" w:type="dxa"/>
              <w:left w:w="15" w:type="dxa"/>
              <w:bottom w:w="15" w:type="dxa"/>
              <w:right w:w="15" w:type="dxa"/>
            </w:tcMar>
            <w:vAlign w:val="center"/>
          </w:tcPr>
          <w:p w14:paraId="64F524D5">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0.54</w:t>
            </w:r>
          </w:p>
        </w:tc>
        <w:tc>
          <w:tcPr>
            <w:tcW w:w="567" w:type="dxa"/>
            <w:noWrap w:val="0"/>
            <w:tcMar>
              <w:top w:w="15" w:type="dxa"/>
              <w:left w:w="15" w:type="dxa"/>
              <w:bottom w:w="15" w:type="dxa"/>
              <w:right w:w="15" w:type="dxa"/>
            </w:tcMar>
            <w:vAlign w:val="center"/>
          </w:tcPr>
          <w:p w14:paraId="545E4CC5">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0.09</w:t>
            </w:r>
          </w:p>
        </w:tc>
        <w:tc>
          <w:tcPr>
            <w:tcW w:w="567" w:type="dxa"/>
            <w:noWrap w:val="0"/>
            <w:tcMar>
              <w:top w:w="15" w:type="dxa"/>
              <w:left w:w="15" w:type="dxa"/>
              <w:bottom w:w="15" w:type="dxa"/>
              <w:right w:w="15" w:type="dxa"/>
            </w:tcMar>
            <w:vAlign w:val="center"/>
          </w:tcPr>
          <w:p w14:paraId="6D1EF21B">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0.00008L</w:t>
            </w:r>
          </w:p>
        </w:tc>
        <w:tc>
          <w:tcPr>
            <w:tcW w:w="567" w:type="dxa"/>
            <w:noWrap w:val="0"/>
            <w:tcMar>
              <w:top w:w="15" w:type="dxa"/>
              <w:left w:w="15" w:type="dxa"/>
              <w:bottom w:w="15" w:type="dxa"/>
              <w:right w:w="15" w:type="dxa"/>
            </w:tcMar>
            <w:vAlign w:val="center"/>
          </w:tcPr>
          <w:p w14:paraId="35CD8D56">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0.003</w:t>
            </w:r>
          </w:p>
        </w:tc>
        <w:tc>
          <w:tcPr>
            <w:tcW w:w="567" w:type="dxa"/>
            <w:noWrap w:val="0"/>
            <w:tcMar>
              <w:top w:w="15" w:type="dxa"/>
              <w:left w:w="15" w:type="dxa"/>
              <w:bottom w:w="15" w:type="dxa"/>
              <w:right w:w="15" w:type="dxa"/>
            </w:tcMar>
            <w:vAlign w:val="center"/>
          </w:tcPr>
          <w:p w14:paraId="076F1B53">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0.12</w:t>
            </w:r>
          </w:p>
        </w:tc>
        <w:tc>
          <w:tcPr>
            <w:tcW w:w="567" w:type="dxa"/>
            <w:noWrap w:val="0"/>
            <w:tcMar>
              <w:top w:w="15" w:type="dxa"/>
              <w:left w:w="15" w:type="dxa"/>
              <w:bottom w:w="15" w:type="dxa"/>
              <w:right w:w="15" w:type="dxa"/>
            </w:tcMar>
            <w:vAlign w:val="center"/>
          </w:tcPr>
          <w:p w14:paraId="0CF08E2E">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0.0004L</w:t>
            </w:r>
          </w:p>
        </w:tc>
        <w:tc>
          <w:tcPr>
            <w:tcW w:w="567" w:type="dxa"/>
            <w:noWrap w:val="0"/>
            <w:tcMar>
              <w:top w:w="15" w:type="dxa"/>
              <w:left w:w="15" w:type="dxa"/>
              <w:bottom w:w="15" w:type="dxa"/>
              <w:right w:w="15" w:type="dxa"/>
            </w:tcMar>
            <w:vAlign w:val="center"/>
          </w:tcPr>
          <w:p w14:paraId="0A204B5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0.0002L</w:t>
            </w:r>
          </w:p>
        </w:tc>
        <w:tc>
          <w:tcPr>
            <w:tcW w:w="567" w:type="dxa"/>
            <w:noWrap w:val="0"/>
            <w:tcMar>
              <w:top w:w="15" w:type="dxa"/>
              <w:left w:w="15" w:type="dxa"/>
              <w:bottom w:w="15" w:type="dxa"/>
              <w:right w:w="15" w:type="dxa"/>
            </w:tcMar>
            <w:vAlign w:val="center"/>
          </w:tcPr>
          <w:p w14:paraId="2C5CEDD7">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0.00004L</w:t>
            </w:r>
          </w:p>
        </w:tc>
        <w:tc>
          <w:tcPr>
            <w:tcW w:w="567" w:type="dxa"/>
            <w:noWrap w:val="0"/>
            <w:tcMar>
              <w:top w:w="15" w:type="dxa"/>
              <w:left w:w="15" w:type="dxa"/>
              <w:bottom w:w="15" w:type="dxa"/>
              <w:right w:w="15" w:type="dxa"/>
            </w:tcMar>
            <w:vAlign w:val="center"/>
          </w:tcPr>
          <w:p w14:paraId="4742378B">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0.00005L</w:t>
            </w:r>
          </w:p>
        </w:tc>
        <w:tc>
          <w:tcPr>
            <w:tcW w:w="567" w:type="dxa"/>
            <w:noWrap w:val="0"/>
            <w:tcMar>
              <w:top w:w="15" w:type="dxa"/>
              <w:left w:w="15" w:type="dxa"/>
              <w:bottom w:w="15" w:type="dxa"/>
              <w:right w:w="15" w:type="dxa"/>
            </w:tcMar>
            <w:vAlign w:val="center"/>
          </w:tcPr>
          <w:p w14:paraId="79FC8293">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0.004L</w:t>
            </w:r>
          </w:p>
        </w:tc>
        <w:tc>
          <w:tcPr>
            <w:tcW w:w="567" w:type="dxa"/>
            <w:noWrap w:val="0"/>
            <w:tcMar>
              <w:top w:w="15" w:type="dxa"/>
              <w:left w:w="15" w:type="dxa"/>
              <w:bottom w:w="15" w:type="dxa"/>
              <w:right w:w="15" w:type="dxa"/>
            </w:tcMar>
            <w:vAlign w:val="center"/>
          </w:tcPr>
          <w:p w14:paraId="1AFEAED8">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0.00009L</w:t>
            </w:r>
          </w:p>
        </w:tc>
        <w:tc>
          <w:tcPr>
            <w:tcW w:w="567" w:type="dxa"/>
            <w:noWrap w:val="0"/>
            <w:tcMar>
              <w:top w:w="15" w:type="dxa"/>
              <w:left w:w="15" w:type="dxa"/>
              <w:bottom w:w="15" w:type="dxa"/>
              <w:right w:w="15" w:type="dxa"/>
            </w:tcMar>
            <w:vAlign w:val="center"/>
          </w:tcPr>
          <w:p w14:paraId="2D63B59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0.004L</w:t>
            </w:r>
          </w:p>
        </w:tc>
        <w:tc>
          <w:tcPr>
            <w:tcW w:w="567" w:type="dxa"/>
            <w:noWrap w:val="0"/>
            <w:tcMar>
              <w:top w:w="15" w:type="dxa"/>
              <w:left w:w="15" w:type="dxa"/>
              <w:bottom w:w="15" w:type="dxa"/>
              <w:right w:w="15" w:type="dxa"/>
            </w:tcMar>
            <w:vAlign w:val="center"/>
          </w:tcPr>
          <w:p w14:paraId="4277ACEF">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0.0003L</w:t>
            </w:r>
          </w:p>
        </w:tc>
        <w:tc>
          <w:tcPr>
            <w:tcW w:w="567" w:type="dxa"/>
            <w:noWrap w:val="0"/>
            <w:tcMar>
              <w:top w:w="15" w:type="dxa"/>
              <w:left w:w="15" w:type="dxa"/>
              <w:bottom w:w="15" w:type="dxa"/>
              <w:right w:w="15" w:type="dxa"/>
            </w:tcMar>
            <w:vAlign w:val="center"/>
          </w:tcPr>
          <w:p w14:paraId="58F1CB6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0.04</w:t>
            </w:r>
          </w:p>
        </w:tc>
        <w:tc>
          <w:tcPr>
            <w:tcW w:w="567" w:type="dxa"/>
            <w:noWrap w:val="0"/>
            <w:tcMar>
              <w:top w:w="15" w:type="dxa"/>
              <w:left w:w="15" w:type="dxa"/>
              <w:bottom w:w="15" w:type="dxa"/>
              <w:right w:w="15" w:type="dxa"/>
            </w:tcMar>
            <w:vAlign w:val="center"/>
          </w:tcPr>
          <w:p w14:paraId="72DD1EF5">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0.05L</w:t>
            </w:r>
          </w:p>
        </w:tc>
        <w:tc>
          <w:tcPr>
            <w:tcW w:w="567" w:type="dxa"/>
            <w:noWrap w:val="0"/>
            <w:tcMar>
              <w:top w:w="15" w:type="dxa"/>
              <w:left w:w="15" w:type="dxa"/>
              <w:bottom w:w="15" w:type="dxa"/>
              <w:right w:w="15" w:type="dxa"/>
            </w:tcMar>
            <w:vAlign w:val="center"/>
          </w:tcPr>
          <w:p w14:paraId="0E7C2B20">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491" w:type="dxa"/>
            <w:noWrap w:val="0"/>
            <w:vAlign w:val="center"/>
          </w:tcPr>
          <w:p w14:paraId="1D8AEF9B">
            <w:pPr>
              <w:widowControl w:val="0"/>
              <w:snapToGrid w:val="0"/>
              <w:spacing w:line="240" w:lineRule="auto"/>
              <w:ind w:firstLine="0" w:firstLineChars="0"/>
              <w:jc w:val="center"/>
              <w:rPr>
                <w:rFonts w:hint="eastAsia"/>
                <w:color w:val="000000"/>
                <w:kern w:val="0"/>
                <w:sz w:val="13"/>
                <w:szCs w:val="13"/>
                <w:u w:val="none"/>
                <w:lang w:bidi="ar"/>
              </w:rPr>
            </w:pPr>
            <w:r>
              <w:rPr>
                <w:rFonts w:hint="eastAsia"/>
                <w:color w:val="000000"/>
                <w:kern w:val="0"/>
                <w:sz w:val="13"/>
                <w:szCs w:val="13"/>
                <w:u w:val="none"/>
                <w:lang w:val="en-US" w:eastAsia="zh-CN" w:bidi="ar"/>
              </w:rPr>
              <w:t>Ⅲ类</w:t>
            </w:r>
          </w:p>
        </w:tc>
        <w:tc>
          <w:tcPr>
            <w:tcW w:w="1145" w:type="dxa"/>
            <w:noWrap w:val="0"/>
            <w:vAlign w:val="center"/>
          </w:tcPr>
          <w:p w14:paraId="49232EFB">
            <w:pPr>
              <w:widowControl w:val="0"/>
              <w:snapToGrid w:val="0"/>
              <w:spacing w:line="240" w:lineRule="auto"/>
              <w:ind w:firstLine="0" w:firstLineChars="0"/>
              <w:jc w:val="center"/>
              <w:rPr>
                <w:rFonts w:hint="eastAsia"/>
                <w:color w:val="000000"/>
                <w:kern w:val="0"/>
                <w:sz w:val="13"/>
                <w:szCs w:val="13"/>
                <w:u w:val="none"/>
                <w:lang w:bidi="ar"/>
              </w:rPr>
            </w:pPr>
          </w:p>
        </w:tc>
      </w:tr>
      <w:tr w14:paraId="65D4295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978" w:type="dxa"/>
            <w:tcBorders>
              <w:left w:val="single" w:color="auto" w:sz="4" w:space="0"/>
            </w:tcBorders>
            <w:noWrap w:val="0"/>
            <w:vAlign w:val="center"/>
          </w:tcPr>
          <w:p w14:paraId="0DE5710D">
            <w:pPr>
              <w:widowControl w:val="0"/>
              <w:snapToGrid w:val="0"/>
              <w:spacing w:line="240" w:lineRule="auto"/>
              <w:ind w:firstLine="0" w:firstLineChars="0"/>
              <w:jc w:val="center"/>
              <w:textAlignment w:val="center"/>
              <w:rPr>
                <w:color w:val="000000"/>
                <w:kern w:val="0"/>
                <w:sz w:val="13"/>
                <w:szCs w:val="13"/>
                <w:u w:val="none"/>
                <w:lang w:bidi="ar"/>
              </w:rPr>
            </w:pPr>
            <w:r>
              <w:rPr>
                <w:rFonts w:hint="eastAsia"/>
                <w:color w:val="000000"/>
                <w:kern w:val="0"/>
                <w:sz w:val="13"/>
                <w:szCs w:val="13"/>
                <w:u w:val="none"/>
                <w:lang w:eastAsia="zh-CN" w:bidi="ar"/>
              </w:rPr>
              <w:t>2023</w:t>
            </w:r>
            <w:r>
              <w:rPr>
                <w:rFonts w:hint="eastAsia"/>
                <w:color w:val="000000"/>
                <w:kern w:val="0"/>
                <w:sz w:val="13"/>
                <w:szCs w:val="13"/>
                <w:u w:val="none"/>
                <w:lang w:bidi="ar"/>
              </w:rPr>
              <w:t>年</w:t>
            </w:r>
            <w:r>
              <w:rPr>
                <w:color w:val="000000"/>
                <w:kern w:val="0"/>
                <w:sz w:val="13"/>
                <w:szCs w:val="13"/>
                <w:u w:val="none"/>
                <w:lang w:bidi="ar"/>
              </w:rPr>
              <w:t>8</w:t>
            </w:r>
            <w:r>
              <w:rPr>
                <w:rFonts w:hint="eastAsia"/>
                <w:color w:val="000000"/>
                <w:kern w:val="0"/>
                <w:sz w:val="13"/>
                <w:szCs w:val="13"/>
                <w:u w:val="none"/>
                <w:lang w:bidi="ar"/>
              </w:rPr>
              <w:t>月</w:t>
            </w:r>
          </w:p>
        </w:tc>
        <w:tc>
          <w:tcPr>
            <w:tcW w:w="567" w:type="dxa"/>
            <w:noWrap w:val="0"/>
            <w:tcMar>
              <w:top w:w="15" w:type="dxa"/>
              <w:left w:w="15" w:type="dxa"/>
              <w:bottom w:w="15" w:type="dxa"/>
              <w:right w:w="15" w:type="dxa"/>
            </w:tcMar>
            <w:vAlign w:val="center"/>
          </w:tcPr>
          <w:p w14:paraId="3893716B">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w:t>
            </w:r>
          </w:p>
        </w:tc>
        <w:tc>
          <w:tcPr>
            <w:tcW w:w="567" w:type="dxa"/>
            <w:noWrap w:val="0"/>
            <w:tcMar>
              <w:top w:w="15" w:type="dxa"/>
              <w:left w:w="15" w:type="dxa"/>
              <w:bottom w:w="15" w:type="dxa"/>
              <w:right w:w="15" w:type="dxa"/>
            </w:tcMar>
            <w:vAlign w:val="center"/>
          </w:tcPr>
          <w:p w14:paraId="5C5A25D8">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8.3</w:t>
            </w:r>
          </w:p>
        </w:tc>
        <w:tc>
          <w:tcPr>
            <w:tcW w:w="567" w:type="dxa"/>
            <w:noWrap w:val="0"/>
            <w:tcMar>
              <w:top w:w="15" w:type="dxa"/>
              <w:left w:w="15" w:type="dxa"/>
              <w:bottom w:w="15" w:type="dxa"/>
              <w:right w:w="15" w:type="dxa"/>
            </w:tcMar>
            <w:vAlign w:val="center"/>
          </w:tcPr>
          <w:p w14:paraId="47808580">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1.8</w:t>
            </w:r>
          </w:p>
        </w:tc>
        <w:tc>
          <w:tcPr>
            <w:tcW w:w="567" w:type="dxa"/>
            <w:noWrap w:val="0"/>
            <w:tcMar>
              <w:top w:w="15" w:type="dxa"/>
              <w:left w:w="15" w:type="dxa"/>
              <w:bottom w:w="15" w:type="dxa"/>
              <w:right w:w="15" w:type="dxa"/>
            </w:tcMar>
            <w:vAlign w:val="center"/>
          </w:tcPr>
          <w:p w14:paraId="588EB9D0">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w:t>
            </w:r>
          </w:p>
        </w:tc>
        <w:tc>
          <w:tcPr>
            <w:tcW w:w="567" w:type="dxa"/>
            <w:noWrap w:val="0"/>
            <w:tcMar>
              <w:top w:w="15" w:type="dxa"/>
              <w:left w:w="15" w:type="dxa"/>
              <w:bottom w:w="15" w:type="dxa"/>
              <w:right w:w="15" w:type="dxa"/>
            </w:tcMar>
            <w:vAlign w:val="center"/>
          </w:tcPr>
          <w:p w14:paraId="6133B279">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1.4</w:t>
            </w:r>
          </w:p>
        </w:tc>
        <w:tc>
          <w:tcPr>
            <w:tcW w:w="567" w:type="dxa"/>
            <w:noWrap w:val="0"/>
            <w:tcMar>
              <w:top w:w="15" w:type="dxa"/>
              <w:left w:w="15" w:type="dxa"/>
              <w:bottom w:w="15" w:type="dxa"/>
              <w:right w:w="15" w:type="dxa"/>
            </w:tcMar>
            <w:vAlign w:val="center"/>
          </w:tcPr>
          <w:p w14:paraId="356A6F76">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0.47</w:t>
            </w:r>
          </w:p>
        </w:tc>
        <w:tc>
          <w:tcPr>
            <w:tcW w:w="567" w:type="dxa"/>
            <w:noWrap w:val="0"/>
            <w:tcMar>
              <w:top w:w="15" w:type="dxa"/>
              <w:left w:w="15" w:type="dxa"/>
              <w:bottom w:w="15" w:type="dxa"/>
              <w:right w:w="15" w:type="dxa"/>
            </w:tcMar>
            <w:vAlign w:val="center"/>
          </w:tcPr>
          <w:p w14:paraId="2F070145">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0.17</w:t>
            </w:r>
          </w:p>
        </w:tc>
        <w:tc>
          <w:tcPr>
            <w:tcW w:w="567" w:type="dxa"/>
            <w:noWrap w:val="0"/>
            <w:tcMar>
              <w:top w:w="15" w:type="dxa"/>
              <w:left w:w="15" w:type="dxa"/>
              <w:bottom w:w="15" w:type="dxa"/>
              <w:right w:w="15" w:type="dxa"/>
            </w:tcMar>
            <w:vAlign w:val="center"/>
          </w:tcPr>
          <w:p w14:paraId="4EE4B13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0.00008L</w:t>
            </w:r>
          </w:p>
        </w:tc>
        <w:tc>
          <w:tcPr>
            <w:tcW w:w="567" w:type="dxa"/>
            <w:noWrap w:val="0"/>
            <w:tcMar>
              <w:top w:w="15" w:type="dxa"/>
              <w:left w:w="15" w:type="dxa"/>
              <w:bottom w:w="15" w:type="dxa"/>
              <w:right w:w="15" w:type="dxa"/>
            </w:tcMar>
            <w:vAlign w:val="center"/>
          </w:tcPr>
          <w:p w14:paraId="5383D6D9">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0.0007L</w:t>
            </w:r>
          </w:p>
        </w:tc>
        <w:tc>
          <w:tcPr>
            <w:tcW w:w="567" w:type="dxa"/>
            <w:noWrap w:val="0"/>
            <w:tcMar>
              <w:top w:w="15" w:type="dxa"/>
              <w:left w:w="15" w:type="dxa"/>
              <w:bottom w:w="15" w:type="dxa"/>
              <w:right w:w="15" w:type="dxa"/>
            </w:tcMar>
            <w:vAlign w:val="center"/>
          </w:tcPr>
          <w:p w14:paraId="1D403A91">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0.1</w:t>
            </w:r>
          </w:p>
        </w:tc>
        <w:tc>
          <w:tcPr>
            <w:tcW w:w="567" w:type="dxa"/>
            <w:noWrap w:val="0"/>
            <w:tcMar>
              <w:top w:w="15" w:type="dxa"/>
              <w:left w:w="15" w:type="dxa"/>
              <w:bottom w:w="15" w:type="dxa"/>
              <w:right w:w="15" w:type="dxa"/>
            </w:tcMar>
            <w:vAlign w:val="center"/>
          </w:tcPr>
          <w:p w14:paraId="6F6B026E">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0.0004L</w:t>
            </w:r>
          </w:p>
        </w:tc>
        <w:tc>
          <w:tcPr>
            <w:tcW w:w="567" w:type="dxa"/>
            <w:noWrap w:val="0"/>
            <w:tcMar>
              <w:top w:w="15" w:type="dxa"/>
              <w:left w:w="15" w:type="dxa"/>
              <w:bottom w:w="15" w:type="dxa"/>
              <w:right w:w="15" w:type="dxa"/>
            </w:tcMar>
            <w:vAlign w:val="center"/>
          </w:tcPr>
          <w:p w14:paraId="4263DF8F">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0.0002L</w:t>
            </w:r>
          </w:p>
        </w:tc>
        <w:tc>
          <w:tcPr>
            <w:tcW w:w="567" w:type="dxa"/>
            <w:noWrap w:val="0"/>
            <w:tcMar>
              <w:top w:w="15" w:type="dxa"/>
              <w:left w:w="15" w:type="dxa"/>
              <w:bottom w:w="15" w:type="dxa"/>
              <w:right w:w="15" w:type="dxa"/>
            </w:tcMar>
            <w:vAlign w:val="center"/>
          </w:tcPr>
          <w:p w14:paraId="484F7079">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0.00004L</w:t>
            </w:r>
          </w:p>
        </w:tc>
        <w:tc>
          <w:tcPr>
            <w:tcW w:w="567" w:type="dxa"/>
            <w:noWrap w:val="0"/>
            <w:tcMar>
              <w:top w:w="15" w:type="dxa"/>
              <w:left w:w="15" w:type="dxa"/>
              <w:bottom w:w="15" w:type="dxa"/>
              <w:right w:w="15" w:type="dxa"/>
            </w:tcMar>
            <w:vAlign w:val="center"/>
          </w:tcPr>
          <w:p w14:paraId="51CA273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0.00005L</w:t>
            </w:r>
          </w:p>
        </w:tc>
        <w:tc>
          <w:tcPr>
            <w:tcW w:w="567" w:type="dxa"/>
            <w:noWrap w:val="0"/>
            <w:tcMar>
              <w:top w:w="15" w:type="dxa"/>
              <w:left w:w="15" w:type="dxa"/>
              <w:bottom w:w="15" w:type="dxa"/>
              <w:right w:w="15" w:type="dxa"/>
            </w:tcMar>
            <w:vAlign w:val="center"/>
          </w:tcPr>
          <w:p w14:paraId="0880B08F">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0.004L</w:t>
            </w:r>
          </w:p>
        </w:tc>
        <w:tc>
          <w:tcPr>
            <w:tcW w:w="567" w:type="dxa"/>
            <w:noWrap w:val="0"/>
            <w:tcMar>
              <w:top w:w="15" w:type="dxa"/>
              <w:left w:w="15" w:type="dxa"/>
              <w:bottom w:w="15" w:type="dxa"/>
              <w:right w:w="15" w:type="dxa"/>
            </w:tcMar>
            <w:vAlign w:val="center"/>
          </w:tcPr>
          <w:p w14:paraId="0F52D899">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0.00009L</w:t>
            </w:r>
          </w:p>
        </w:tc>
        <w:tc>
          <w:tcPr>
            <w:tcW w:w="567" w:type="dxa"/>
            <w:noWrap w:val="0"/>
            <w:tcMar>
              <w:top w:w="15" w:type="dxa"/>
              <w:left w:w="15" w:type="dxa"/>
              <w:bottom w:w="15" w:type="dxa"/>
              <w:right w:w="15" w:type="dxa"/>
            </w:tcMar>
            <w:vAlign w:val="center"/>
          </w:tcPr>
          <w:p w14:paraId="6935CC9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0.004L</w:t>
            </w:r>
          </w:p>
        </w:tc>
        <w:tc>
          <w:tcPr>
            <w:tcW w:w="567" w:type="dxa"/>
            <w:noWrap w:val="0"/>
            <w:tcMar>
              <w:top w:w="15" w:type="dxa"/>
              <w:left w:w="15" w:type="dxa"/>
              <w:bottom w:w="15" w:type="dxa"/>
              <w:right w:w="15" w:type="dxa"/>
            </w:tcMar>
            <w:vAlign w:val="center"/>
          </w:tcPr>
          <w:p w14:paraId="70F986DA">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0.0003L</w:t>
            </w:r>
          </w:p>
        </w:tc>
        <w:tc>
          <w:tcPr>
            <w:tcW w:w="567" w:type="dxa"/>
            <w:noWrap w:val="0"/>
            <w:tcMar>
              <w:top w:w="15" w:type="dxa"/>
              <w:left w:w="15" w:type="dxa"/>
              <w:bottom w:w="15" w:type="dxa"/>
              <w:right w:w="15" w:type="dxa"/>
            </w:tcMar>
            <w:vAlign w:val="center"/>
          </w:tcPr>
          <w:p w14:paraId="30880765">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567" w:type="dxa"/>
            <w:noWrap w:val="0"/>
            <w:tcMar>
              <w:top w:w="15" w:type="dxa"/>
              <w:left w:w="15" w:type="dxa"/>
              <w:bottom w:w="15" w:type="dxa"/>
              <w:right w:w="15" w:type="dxa"/>
            </w:tcMar>
            <w:vAlign w:val="center"/>
          </w:tcPr>
          <w:p w14:paraId="7E63DDE1">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0.05L</w:t>
            </w:r>
          </w:p>
        </w:tc>
        <w:tc>
          <w:tcPr>
            <w:tcW w:w="567" w:type="dxa"/>
            <w:noWrap w:val="0"/>
            <w:tcMar>
              <w:top w:w="15" w:type="dxa"/>
              <w:left w:w="15" w:type="dxa"/>
              <w:bottom w:w="15" w:type="dxa"/>
              <w:right w:w="15" w:type="dxa"/>
            </w:tcMar>
            <w:vAlign w:val="center"/>
          </w:tcPr>
          <w:p w14:paraId="1BAF13EE">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491" w:type="dxa"/>
            <w:noWrap w:val="0"/>
            <w:vAlign w:val="center"/>
          </w:tcPr>
          <w:p w14:paraId="0C9FC526">
            <w:pPr>
              <w:widowControl w:val="0"/>
              <w:snapToGrid w:val="0"/>
              <w:spacing w:line="240" w:lineRule="auto"/>
              <w:ind w:firstLine="0" w:firstLineChars="0"/>
              <w:jc w:val="center"/>
              <w:rPr>
                <w:rFonts w:hint="eastAsia"/>
                <w:color w:val="000000"/>
                <w:kern w:val="0"/>
                <w:sz w:val="13"/>
                <w:szCs w:val="13"/>
                <w:u w:val="none"/>
                <w:lang w:bidi="ar"/>
              </w:rPr>
            </w:pPr>
            <w:r>
              <w:rPr>
                <w:rFonts w:hint="eastAsia"/>
                <w:color w:val="000000"/>
                <w:kern w:val="0"/>
                <w:sz w:val="13"/>
                <w:szCs w:val="13"/>
                <w:u w:val="none"/>
                <w:lang w:val="en-US" w:eastAsia="zh-CN" w:bidi="ar"/>
              </w:rPr>
              <w:t>Ⅲ类</w:t>
            </w:r>
          </w:p>
        </w:tc>
        <w:tc>
          <w:tcPr>
            <w:tcW w:w="1145" w:type="dxa"/>
            <w:noWrap w:val="0"/>
            <w:vAlign w:val="center"/>
          </w:tcPr>
          <w:p w14:paraId="0689524F">
            <w:pPr>
              <w:widowControl w:val="0"/>
              <w:snapToGrid w:val="0"/>
              <w:spacing w:line="240" w:lineRule="auto"/>
              <w:ind w:firstLine="0" w:firstLineChars="0"/>
              <w:jc w:val="center"/>
              <w:rPr>
                <w:rFonts w:hint="eastAsia"/>
                <w:color w:val="000000"/>
                <w:kern w:val="0"/>
                <w:sz w:val="13"/>
                <w:szCs w:val="13"/>
                <w:u w:val="none"/>
                <w:lang w:bidi="ar"/>
              </w:rPr>
            </w:pPr>
          </w:p>
        </w:tc>
      </w:tr>
      <w:tr w14:paraId="67F485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978" w:type="dxa"/>
            <w:tcBorders>
              <w:left w:val="single" w:color="auto" w:sz="4" w:space="0"/>
            </w:tcBorders>
            <w:noWrap w:val="0"/>
            <w:vAlign w:val="center"/>
          </w:tcPr>
          <w:p w14:paraId="7272A897">
            <w:pPr>
              <w:widowControl w:val="0"/>
              <w:snapToGrid w:val="0"/>
              <w:spacing w:line="240" w:lineRule="auto"/>
              <w:ind w:firstLine="0" w:firstLineChars="0"/>
              <w:jc w:val="center"/>
              <w:textAlignment w:val="center"/>
              <w:rPr>
                <w:color w:val="000000"/>
                <w:kern w:val="0"/>
                <w:sz w:val="13"/>
                <w:szCs w:val="13"/>
                <w:u w:val="none"/>
                <w:lang w:bidi="ar"/>
              </w:rPr>
            </w:pPr>
            <w:r>
              <w:rPr>
                <w:rFonts w:hint="eastAsia"/>
                <w:color w:val="000000"/>
                <w:kern w:val="0"/>
                <w:sz w:val="13"/>
                <w:szCs w:val="13"/>
                <w:u w:val="none"/>
                <w:lang w:eastAsia="zh-CN" w:bidi="ar"/>
              </w:rPr>
              <w:t>2023</w:t>
            </w:r>
            <w:r>
              <w:rPr>
                <w:rFonts w:hint="eastAsia"/>
                <w:color w:val="000000"/>
                <w:kern w:val="0"/>
                <w:sz w:val="13"/>
                <w:szCs w:val="13"/>
                <w:u w:val="none"/>
                <w:lang w:bidi="ar"/>
              </w:rPr>
              <w:t>年</w:t>
            </w:r>
            <w:r>
              <w:rPr>
                <w:color w:val="000000"/>
                <w:kern w:val="0"/>
                <w:sz w:val="13"/>
                <w:szCs w:val="13"/>
                <w:u w:val="none"/>
                <w:lang w:bidi="ar"/>
              </w:rPr>
              <w:t>9</w:t>
            </w:r>
            <w:r>
              <w:rPr>
                <w:rFonts w:hint="eastAsia"/>
                <w:color w:val="000000"/>
                <w:kern w:val="0"/>
                <w:sz w:val="13"/>
                <w:szCs w:val="13"/>
                <w:u w:val="none"/>
                <w:lang w:bidi="ar"/>
              </w:rPr>
              <w:t>月</w:t>
            </w:r>
          </w:p>
        </w:tc>
        <w:tc>
          <w:tcPr>
            <w:tcW w:w="567" w:type="dxa"/>
            <w:noWrap w:val="0"/>
            <w:tcMar>
              <w:top w:w="15" w:type="dxa"/>
              <w:left w:w="15" w:type="dxa"/>
              <w:bottom w:w="15" w:type="dxa"/>
              <w:right w:w="15" w:type="dxa"/>
            </w:tcMar>
            <w:vAlign w:val="center"/>
          </w:tcPr>
          <w:p w14:paraId="4DDB101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w:t>
            </w:r>
          </w:p>
        </w:tc>
        <w:tc>
          <w:tcPr>
            <w:tcW w:w="567" w:type="dxa"/>
            <w:noWrap w:val="0"/>
            <w:tcMar>
              <w:top w:w="15" w:type="dxa"/>
              <w:left w:w="15" w:type="dxa"/>
              <w:bottom w:w="15" w:type="dxa"/>
              <w:right w:w="15" w:type="dxa"/>
            </w:tcMar>
            <w:vAlign w:val="center"/>
          </w:tcPr>
          <w:p w14:paraId="0E0AA51A">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8.1</w:t>
            </w:r>
          </w:p>
        </w:tc>
        <w:tc>
          <w:tcPr>
            <w:tcW w:w="567" w:type="dxa"/>
            <w:noWrap w:val="0"/>
            <w:tcMar>
              <w:top w:w="15" w:type="dxa"/>
              <w:left w:w="15" w:type="dxa"/>
              <w:bottom w:w="15" w:type="dxa"/>
              <w:right w:w="15" w:type="dxa"/>
            </w:tcMar>
            <w:vAlign w:val="center"/>
          </w:tcPr>
          <w:p w14:paraId="4B148CDA">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1.6</w:t>
            </w:r>
          </w:p>
        </w:tc>
        <w:tc>
          <w:tcPr>
            <w:tcW w:w="567" w:type="dxa"/>
            <w:noWrap w:val="0"/>
            <w:tcMar>
              <w:top w:w="15" w:type="dxa"/>
              <w:left w:w="15" w:type="dxa"/>
              <w:bottom w:w="15" w:type="dxa"/>
              <w:right w:w="15" w:type="dxa"/>
            </w:tcMar>
            <w:vAlign w:val="center"/>
          </w:tcPr>
          <w:p w14:paraId="5CE25FF5">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11</w:t>
            </w:r>
          </w:p>
        </w:tc>
        <w:tc>
          <w:tcPr>
            <w:tcW w:w="567" w:type="dxa"/>
            <w:noWrap w:val="0"/>
            <w:tcMar>
              <w:top w:w="15" w:type="dxa"/>
              <w:left w:w="15" w:type="dxa"/>
              <w:bottom w:w="15" w:type="dxa"/>
              <w:right w:w="15" w:type="dxa"/>
            </w:tcMar>
            <w:vAlign w:val="center"/>
          </w:tcPr>
          <w:p w14:paraId="172A4B23">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1.5</w:t>
            </w:r>
          </w:p>
        </w:tc>
        <w:tc>
          <w:tcPr>
            <w:tcW w:w="567" w:type="dxa"/>
            <w:noWrap w:val="0"/>
            <w:tcMar>
              <w:top w:w="15" w:type="dxa"/>
              <w:left w:w="15" w:type="dxa"/>
              <w:bottom w:w="15" w:type="dxa"/>
              <w:right w:w="15" w:type="dxa"/>
            </w:tcMar>
            <w:vAlign w:val="center"/>
          </w:tcPr>
          <w:p w14:paraId="5971273F">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0.76</w:t>
            </w:r>
          </w:p>
        </w:tc>
        <w:tc>
          <w:tcPr>
            <w:tcW w:w="567" w:type="dxa"/>
            <w:noWrap w:val="0"/>
            <w:tcMar>
              <w:top w:w="15" w:type="dxa"/>
              <w:left w:w="15" w:type="dxa"/>
              <w:bottom w:w="15" w:type="dxa"/>
              <w:right w:w="15" w:type="dxa"/>
            </w:tcMar>
            <w:vAlign w:val="center"/>
          </w:tcPr>
          <w:p w14:paraId="65B6C011">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0.15</w:t>
            </w:r>
          </w:p>
        </w:tc>
        <w:tc>
          <w:tcPr>
            <w:tcW w:w="567" w:type="dxa"/>
            <w:noWrap w:val="0"/>
            <w:tcMar>
              <w:top w:w="15" w:type="dxa"/>
              <w:left w:w="15" w:type="dxa"/>
              <w:bottom w:w="15" w:type="dxa"/>
              <w:right w:w="15" w:type="dxa"/>
            </w:tcMar>
            <w:vAlign w:val="center"/>
          </w:tcPr>
          <w:p w14:paraId="2DEBADE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0.001</w:t>
            </w:r>
          </w:p>
        </w:tc>
        <w:tc>
          <w:tcPr>
            <w:tcW w:w="567" w:type="dxa"/>
            <w:noWrap w:val="0"/>
            <w:tcMar>
              <w:top w:w="15" w:type="dxa"/>
              <w:left w:w="15" w:type="dxa"/>
              <w:bottom w:w="15" w:type="dxa"/>
              <w:right w:w="15" w:type="dxa"/>
            </w:tcMar>
            <w:vAlign w:val="center"/>
          </w:tcPr>
          <w:p w14:paraId="63EEA11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0.013</w:t>
            </w:r>
          </w:p>
        </w:tc>
        <w:tc>
          <w:tcPr>
            <w:tcW w:w="567" w:type="dxa"/>
            <w:noWrap w:val="0"/>
            <w:tcMar>
              <w:top w:w="15" w:type="dxa"/>
              <w:left w:w="15" w:type="dxa"/>
              <w:bottom w:w="15" w:type="dxa"/>
              <w:right w:w="15" w:type="dxa"/>
            </w:tcMar>
            <w:vAlign w:val="center"/>
          </w:tcPr>
          <w:p w14:paraId="3072A1EE">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0.113</w:t>
            </w:r>
          </w:p>
        </w:tc>
        <w:tc>
          <w:tcPr>
            <w:tcW w:w="567" w:type="dxa"/>
            <w:noWrap w:val="0"/>
            <w:tcMar>
              <w:top w:w="15" w:type="dxa"/>
              <w:left w:w="15" w:type="dxa"/>
              <w:bottom w:w="15" w:type="dxa"/>
              <w:right w:w="15" w:type="dxa"/>
            </w:tcMar>
            <w:vAlign w:val="center"/>
          </w:tcPr>
          <w:p w14:paraId="75AB7773">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0.00041L</w:t>
            </w:r>
          </w:p>
        </w:tc>
        <w:tc>
          <w:tcPr>
            <w:tcW w:w="567" w:type="dxa"/>
            <w:noWrap w:val="0"/>
            <w:tcMar>
              <w:top w:w="15" w:type="dxa"/>
              <w:left w:w="15" w:type="dxa"/>
              <w:bottom w:w="15" w:type="dxa"/>
              <w:right w:w="15" w:type="dxa"/>
            </w:tcMar>
            <w:vAlign w:val="center"/>
          </w:tcPr>
          <w:p w14:paraId="1B8A655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0.0004</w:t>
            </w:r>
          </w:p>
        </w:tc>
        <w:tc>
          <w:tcPr>
            <w:tcW w:w="567" w:type="dxa"/>
            <w:noWrap w:val="0"/>
            <w:tcMar>
              <w:top w:w="15" w:type="dxa"/>
              <w:left w:w="15" w:type="dxa"/>
              <w:bottom w:w="15" w:type="dxa"/>
              <w:right w:w="15" w:type="dxa"/>
            </w:tcMar>
            <w:vAlign w:val="center"/>
          </w:tcPr>
          <w:p w14:paraId="5347E078">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0.00004L</w:t>
            </w:r>
          </w:p>
        </w:tc>
        <w:tc>
          <w:tcPr>
            <w:tcW w:w="567" w:type="dxa"/>
            <w:noWrap w:val="0"/>
            <w:tcMar>
              <w:top w:w="15" w:type="dxa"/>
              <w:left w:w="15" w:type="dxa"/>
              <w:bottom w:w="15" w:type="dxa"/>
              <w:right w:w="15" w:type="dxa"/>
            </w:tcMar>
            <w:vAlign w:val="center"/>
          </w:tcPr>
          <w:p w14:paraId="5E17EE52">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0.00005L</w:t>
            </w:r>
          </w:p>
        </w:tc>
        <w:tc>
          <w:tcPr>
            <w:tcW w:w="567" w:type="dxa"/>
            <w:noWrap w:val="0"/>
            <w:tcMar>
              <w:top w:w="15" w:type="dxa"/>
              <w:left w:w="15" w:type="dxa"/>
              <w:bottom w:w="15" w:type="dxa"/>
              <w:right w:w="15" w:type="dxa"/>
            </w:tcMar>
            <w:vAlign w:val="center"/>
          </w:tcPr>
          <w:p w14:paraId="5DF904D1">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0.004L</w:t>
            </w:r>
          </w:p>
        </w:tc>
        <w:tc>
          <w:tcPr>
            <w:tcW w:w="567" w:type="dxa"/>
            <w:noWrap w:val="0"/>
            <w:tcMar>
              <w:top w:w="15" w:type="dxa"/>
              <w:left w:w="15" w:type="dxa"/>
              <w:bottom w:w="15" w:type="dxa"/>
              <w:right w:w="15" w:type="dxa"/>
            </w:tcMar>
            <w:vAlign w:val="center"/>
          </w:tcPr>
          <w:p w14:paraId="73F6D4AE">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0.0002</w:t>
            </w:r>
          </w:p>
        </w:tc>
        <w:tc>
          <w:tcPr>
            <w:tcW w:w="567" w:type="dxa"/>
            <w:noWrap w:val="0"/>
            <w:tcMar>
              <w:top w:w="15" w:type="dxa"/>
              <w:left w:w="15" w:type="dxa"/>
              <w:bottom w:w="15" w:type="dxa"/>
              <w:right w:w="15" w:type="dxa"/>
            </w:tcMar>
            <w:vAlign w:val="center"/>
          </w:tcPr>
          <w:p w14:paraId="48982D37">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0.001L</w:t>
            </w:r>
          </w:p>
        </w:tc>
        <w:tc>
          <w:tcPr>
            <w:tcW w:w="567" w:type="dxa"/>
            <w:noWrap w:val="0"/>
            <w:tcMar>
              <w:top w:w="15" w:type="dxa"/>
              <w:left w:w="15" w:type="dxa"/>
              <w:bottom w:w="15" w:type="dxa"/>
              <w:right w:w="15" w:type="dxa"/>
            </w:tcMar>
            <w:vAlign w:val="center"/>
          </w:tcPr>
          <w:p w14:paraId="3E29D0C5">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0.0003L</w:t>
            </w:r>
          </w:p>
        </w:tc>
        <w:tc>
          <w:tcPr>
            <w:tcW w:w="567" w:type="dxa"/>
            <w:noWrap w:val="0"/>
            <w:tcMar>
              <w:top w:w="15" w:type="dxa"/>
              <w:left w:w="15" w:type="dxa"/>
              <w:bottom w:w="15" w:type="dxa"/>
              <w:right w:w="15" w:type="dxa"/>
            </w:tcMar>
            <w:vAlign w:val="center"/>
          </w:tcPr>
          <w:p w14:paraId="45FF6B48">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567" w:type="dxa"/>
            <w:noWrap w:val="0"/>
            <w:tcMar>
              <w:top w:w="15" w:type="dxa"/>
              <w:left w:w="15" w:type="dxa"/>
              <w:bottom w:w="15" w:type="dxa"/>
              <w:right w:w="15" w:type="dxa"/>
            </w:tcMar>
            <w:vAlign w:val="center"/>
          </w:tcPr>
          <w:p w14:paraId="12BF3B9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0.05L</w:t>
            </w:r>
          </w:p>
        </w:tc>
        <w:tc>
          <w:tcPr>
            <w:tcW w:w="567" w:type="dxa"/>
            <w:noWrap w:val="0"/>
            <w:tcMar>
              <w:top w:w="15" w:type="dxa"/>
              <w:left w:w="15" w:type="dxa"/>
              <w:bottom w:w="15" w:type="dxa"/>
              <w:right w:w="15" w:type="dxa"/>
            </w:tcMar>
            <w:vAlign w:val="center"/>
          </w:tcPr>
          <w:p w14:paraId="4FFA5670">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491" w:type="dxa"/>
            <w:noWrap w:val="0"/>
            <w:vAlign w:val="center"/>
          </w:tcPr>
          <w:p w14:paraId="34169E3D">
            <w:pPr>
              <w:widowControl w:val="0"/>
              <w:snapToGrid w:val="0"/>
              <w:spacing w:line="240" w:lineRule="auto"/>
              <w:ind w:firstLine="0" w:firstLineChars="0"/>
              <w:jc w:val="center"/>
              <w:rPr>
                <w:rFonts w:hint="eastAsia"/>
                <w:color w:val="000000"/>
                <w:kern w:val="0"/>
                <w:sz w:val="13"/>
                <w:szCs w:val="13"/>
                <w:u w:val="none"/>
                <w:lang w:bidi="ar"/>
              </w:rPr>
            </w:pPr>
            <w:r>
              <w:rPr>
                <w:rFonts w:hint="eastAsia"/>
                <w:color w:val="000000"/>
                <w:kern w:val="0"/>
                <w:sz w:val="13"/>
                <w:szCs w:val="13"/>
                <w:u w:val="none"/>
                <w:lang w:val="en-US" w:eastAsia="zh-CN" w:bidi="ar"/>
              </w:rPr>
              <w:t>Ⅲ类</w:t>
            </w:r>
          </w:p>
        </w:tc>
        <w:tc>
          <w:tcPr>
            <w:tcW w:w="1145" w:type="dxa"/>
            <w:noWrap w:val="0"/>
            <w:vAlign w:val="center"/>
          </w:tcPr>
          <w:p w14:paraId="38E84F04">
            <w:pPr>
              <w:widowControl w:val="0"/>
              <w:snapToGrid w:val="0"/>
              <w:spacing w:line="240" w:lineRule="auto"/>
              <w:ind w:firstLine="0" w:firstLineChars="0"/>
              <w:jc w:val="center"/>
              <w:rPr>
                <w:rFonts w:hint="eastAsia"/>
                <w:color w:val="000000"/>
                <w:kern w:val="0"/>
                <w:sz w:val="13"/>
                <w:szCs w:val="13"/>
                <w:u w:val="none"/>
                <w:lang w:bidi="ar"/>
              </w:rPr>
            </w:pPr>
          </w:p>
        </w:tc>
      </w:tr>
      <w:tr w14:paraId="300540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978" w:type="dxa"/>
            <w:tcBorders>
              <w:left w:val="single" w:color="auto" w:sz="4" w:space="0"/>
            </w:tcBorders>
            <w:noWrap w:val="0"/>
            <w:vAlign w:val="center"/>
          </w:tcPr>
          <w:p w14:paraId="05626117">
            <w:pPr>
              <w:widowControl w:val="0"/>
              <w:snapToGrid w:val="0"/>
              <w:spacing w:line="240" w:lineRule="auto"/>
              <w:ind w:firstLine="0" w:firstLineChars="0"/>
              <w:jc w:val="center"/>
              <w:textAlignment w:val="center"/>
              <w:rPr>
                <w:color w:val="000000"/>
                <w:kern w:val="0"/>
                <w:sz w:val="13"/>
                <w:szCs w:val="13"/>
                <w:u w:val="none"/>
                <w:lang w:bidi="ar"/>
              </w:rPr>
            </w:pPr>
            <w:r>
              <w:rPr>
                <w:rFonts w:hint="eastAsia"/>
                <w:color w:val="000000"/>
                <w:kern w:val="0"/>
                <w:sz w:val="13"/>
                <w:szCs w:val="13"/>
                <w:u w:val="none"/>
                <w:lang w:eastAsia="zh-CN" w:bidi="ar"/>
              </w:rPr>
              <w:t>2023</w:t>
            </w:r>
            <w:r>
              <w:rPr>
                <w:rFonts w:hint="eastAsia"/>
                <w:color w:val="000000"/>
                <w:kern w:val="0"/>
                <w:sz w:val="13"/>
                <w:szCs w:val="13"/>
                <w:u w:val="none"/>
                <w:lang w:bidi="ar"/>
              </w:rPr>
              <w:t>年1</w:t>
            </w:r>
            <w:r>
              <w:rPr>
                <w:color w:val="000000"/>
                <w:kern w:val="0"/>
                <w:sz w:val="13"/>
                <w:szCs w:val="13"/>
                <w:u w:val="none"/>
                <w:lang w:bidi="ar"/>
              </w:rPr>
              <w:t>0</w:t>
            </w:r>
            <w:r>
              <w:rPr>
                <w:rFonts w:hint="eastAsia"/>
                <w:color w:val="000000"/>
                <w:kern w:val="0"/>
                <w:sz w:val="13"/>
                <w:szCs w:val="13"/>
                <w:u w:val="none"/>
                <w:lang w:bidi="ar"/>
              </w:rPr>
              <w:t>月</w:t>
            </w:r>
          </w:p>
        </w:tc>
        <w:tc>
          <w:tcPr>
            <w:tcW w:w="567" w:type="dxa"/>
            <w:noWrap w:val="0"/>
            <w:tcMar>
              <w:top w:w="15" w:type="dxa"/>
              <w:left w:w="15" w:type="dxa"/>
              <w:bottom w:w="15" w:type="dxa"/>
              <w:right w:w="15" w:type="dxa"/>
            </w:tcMar>
            <w:vAlign w:val="center"/>
          </w:tcPr>
          <w:p w14:paraId="4646524A">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7</w:t>
            </w:r>
          </w:p>
        </w:tc>
        <w:tc>
          <w:tcPr>
            <w:tcW w:w="567" w:type="dxa"/>
            <w:noWrap w:val="0"/>
            <w:tcMar>
              <w:top w:w="15" w:type="dxa"/>
              <w:left w:w="15" w:type="dxa"/>
              <w:bottom w:w="15" w:type="dxa"/>
              <w:right w:w="15" w:type="dxa"/>
            </w:tcMar>
            <w:vAlign w:val="center"/>
          </w:tcPr>
          <w:p w14:paraId="635DBE06">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6.4</w:t>
            </w:r>
          </w:p>
        </w:tc>
        <w:tc>
          <w:tcPr>
            <w:tcW w:w="567" w:type="dxa"/>
            <w:noWrap w:val="0"/>
            <w:tcMar>
              <w:top w:w="15" w:type="dxa"/>
              <w:left w:w="15" w:type="dxa"/>
              <w:bottom w:w="15" w:type="dxa"/>
              <w:right w:w="15" w:type="dxa"/>
            </w:tcMar>
            <w:vAlign w:val="center"/>
          </w:tcPr>
          <w:p w14:paraId="1F0959C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1.4</w:t>
            </w:r>
          </w:p>
        </w:tc>
        <w:tc>
          <w:tcPr>
            <w:tcW w:w="567" w:type="dxa"/>
            <w:noWrap w:val="0"/>
            <w:tcMar>
              <w:top w:w="15" w:type="dxa"/>
              <w:left w:w="15" w:type="dxa"/>
              <w:bottom w:w="15" w:type="dxa"/>
              <w:right w:w="15" w:type="dxa"/>
            </w:tcMar>
            <w:vAlign w:val="center"/>
          </w:tcPr>
          <w:p w14:paraId="0DA74B6B">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10</w:t>
            </w:r>
          </w:p>
        </w:tc>
        <w:tc>
          <w:tcPr>
            <w:tcW w:w="567" w:type="dxa"/>
            <w:noWrap w:val="0"/>
            <w:tcMar>
              <w:top w:w="15" w:type="dxa"/>
              <w:left w:w="15" w:type="dxa"/>
              <w:bottom w:w="15" w:type="dxa"/>
              <w:right w:w="15" w:type="dxa"/>
            </w:tcMar>
            <w:vAlign w:val="center"/>
          </w:tcPr>
          <w:p w14:paraId="409098D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1.6</w:t>
            </w:r>
          </w:p>
        </w:tc>
        <w:tc>
          <w:tcPr>
            <w:tcW w:w="567" w:type="dxa"/>
            <w:noWrap w:val="0"/>
            <w:tcMar>
              <w:top w:w="15" w:type="dxa"/>
              <w:left w:w="15" w:type="dxa"/>
              <w:bottom w:w="15" w:type="dxa"/>
              <w:right w:w="15" w:type="dxa"/>
            </w:tcMar>
            <w:vAlign w:val="center"/>
          </w:tcPr>
          <w:p w14:paraId="4972F6B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0.43</w:t>
            </w:r>
          </w:p>
        </w:tc>
        <w:tc>
          <w:tcPr>
            <w:tcW w:w="567" w:type="dxa"/>
            <w:noWrap w:val="0"/>
            <w:tcMar>
              <w:top w:w="15" w:type="dxa"/>
              <w:left w:w="15" w:type="dxa"/>
              <w:bottom w:w="15" w:type="dxa"/>
              <w:right w:w="15" w:type="dxa"/>
            </w:tcMar>
            <w:vAlign w:val="center"/>
          </w:tcPr>
          <w:p w14:paraId="06AA51FE">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0.08</w:t>
            </w:r>
          </w:p>
        </w:tc>
        <w:tc>
          <w:tcPr>
            <w:tcW w:w="567" w:type="dxa"/>
            <w:noWrap w:val="0"/>
            <w:tcMar>
              <w:top w:w="15" w:type="dxa"/>
              <w:left w:w="15" w:type="dxa"/>
              <w:bottom w:w="15" w:type="dxa"/>
              <w:right w:w="15" w:type="dxa"/>
            </w:tcMar>
            <w:vAlign w:val="center"/>
          </w:tcPr>
          <w:p w14:paraId="2E6EE496">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0.001</w:t>
            </w:r>
          </w:p>
        </w:tc>
        <w:tc>
          <w:tcPr>
            <w:tcW w:w="567" w:type="dxa"/>
            <w:noWrap w:val="0"/>
            <w:tcMar>
              <w:top w:w="15" w:type="dxa"/>
              <w:left w:w="15" w:type="dxa"/>
              <w:bottom w:w="15" w:type="dxa"/>
              <w:right w:w="15" w:type="dxa"/>
            </w:tcMar>
            <w:vAlign w:val="center"/>
          </w:tcPr>
          <w:p w14:paraId="7C2115DB">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0.012</w:t>
            </w:r>
          </w:p>
        </w:tc>
        <w:tc>
          <w:tcPr>
            <w:tcW w:w="567" w:type="dxa"/>
            <w:noWrap w:val="0"/>
            <w:tcMar>
              <w:top w:w="15" w:type="dxa"/>
              <w:left w:w="15" w:type="dxa"/>
              <w:bottom w:w="15" w:type="dxa"/>
              <w:right w:w="15" w:type="dxa"/>
            </w:tcMar>
            <w:vAlign w:val="center"/>
          </w:tcPr>
          <w:p w14:paraId="24F47903">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0.111</w:t>
            </w:r>
          </w:p>
        </w:tc>
        <w:tc>
          <w:tcPr>
            <w:tcW w:w="567" w:type="dxa"/>
            <w:noWrap w:val="0"/>
            <w:tcMar>
              <w:top w:w="15" w:type="dxa"/>
              <w:left w:w="15" w:type="dxa"/>
              <w:bottom w:w="15" w:type="dxa"/>
              <w:right w:w="15" w:type="dxa"/>
            </w:tcMar>
            <w:vAlign w:val="center"/>
          </w:tcPr>
          <w:p w14:paraId="4ADBC866">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0.00041L</w:t>
            </w:r>
          </w:p>
        </w:tc>
        <w:tc>
          <w:tcPr>
            <w:tcW w:w="567" w:type="dxa"/>
            <w:noWrap w:val="0"/>
            <w:tcMar>
              <w:top w:w="15" w:type="dxa"/>
              <w:left w:w="15" w:type="dxa"/>
              <w:bottom w:w="15" w:type="dxa"/>
              <w:right w:w="15" w:type="dxa"/>
            </w:tcMar>
            <w:vAlign w:val="center"/>
          </w:tcPr>
          <w:p w14:paraId="37AEBB97">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0.0003L</w:t>
            </w:r>
          </w:p>
        </w:tc>
        <w:tc>
          <w:tcPr>
            <w:tcW w:w="567" w:type="dxa"/>
            <w:noWrap w:val="0"/>
            <w:tcMar>
              <w:top w:w="15" w:type="dxa"/>
              <w:left w:w="15" w:type="dxa"/>
              <w:bottom w:w="15" w:type="dxa"/>
              <w:right w:w="15" w:type="dxa"/>
            </w:tcMar>
            <w:vAlign w:val="center"/>
          </w:tcPr>
          <w:p w14:paraId="64E68B67">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0.00004L</w:t>
            </w:r>
          </w:p>
        </w:tc>
        <w:tc>
          <w:tcPr>
            <w:tcW w:w="567" w:type="dxa"/>
            <w:noWrap w:val="0"/>
            <w:tcMar>
              <w:top w:w="15" w:type="dxa"/>
              <w:left w:w="15" w:type="dxa"/>
              <w:bottom w:w="15" w:type="dxa"/>
              <w:right w:w="15" w:type="dxa"/>
            </w:tcMar>
            <w:vAlign w:val="center"/>
          </w:tcPr>
          <w:p w14:paraId="42D46DB7">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0.00005L</w:t>
            </w:r>
          </w:p>
        </w:tc>
        <w:tc>
          <w:tcPr>
            <w:tcW w:w="567" w:type="dxa"/>
            <w:noWrap w:val="0"/>
            <w:tcMar>
              <w:top w:w="15" w:type="dxa"/>
              <w:left w:w="15" w:type="dxa"/>
              <w:bottom w:w="15" w:type="dxa"/>
              <w:right w:w="15" w:type="dxa"/>
            </w:tcMar>
            <w:vAlign w:val="center"/>
          </w:tcPr>
          <w:p w14:paraId="4CCECF50">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0.004L</w:t>
            </w:r>
          </w:p>
        </w:tc>
        <w:tc>
          <w:tcPr>
            <w:tcW w:w="567" w:type="dxa"/>
            <w:noWrap w:val="0"/>
            <w:tcMar>
              <w:top w:w="15" w:type="dxa"/>
              <w:left w:w="15" w:type="dxa"/>
              <w:bottom w:w="15" w:type="dxa"/>
              <w:right w:w="15" w:type="dxa"/>
            </w:tcMar>
            <w:vAlign w:val="center"/>
          </w:tcPr>
          <w:p w14:paraId="25C83A4E">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0.0002</w:t>
            </w:r>
          </w:p>
        </w:tc>
        <w:tc>
          <w:tcPr>
            <w:tcW w:w="567" w:type="dxa"/>
            <w:noWrap w:val="0"/>
            <w:tcMar>
              <w:top w:w="15" w:type="dxa"/>
              <w:left w:w="15" w:type="dxa"/>
              <w:bottom w:w="15" w:type="dxa"/>
              <w:right w:w="15" w:type="dxa"/>
            </w:tcMar>
            <w:vAlign w:val="center"/>
          </w:tcPr>
          <w:p w14:paraId="1B78155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0.001L</w:t>
            </w:r>
          </w:p>
        </w:tc>
        <w:tc>
          <w:tcPr>
            <w:tcW w:w="567" w:type="dxa"/>
            <w:noWrap w:val="0"/>
            <w:tcMar>
              <w:top w:w="15" w:type="dxa"/>
              <w:left w:w="15" w:type="dxa"/>
              <w:bottom w:w="15" w:type="dxa"/>
              <w:right w:w="15" w:type="dxa"/>
            </w:tcMar>
            <w:vAlign w:val="center"/>
          </w:tcPr>
          <w:p w14:paraId="3F8A39E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0.0003L</w:t>
            </w:r>
          </w:p>
        </w:tc>
        <w:tc>
          <w:tcPr>
            <w:tcW w:w="567" w:type="dxa"/>
            <w:noWrap w:val="0"/>
            <w:tcMar>
              <w:top w:w="15" w:type="dxa"/>
              <w:left w:w="15" w:type="dxa"/>
              <w:bottom w:w="15" w:type="dxa"/>
              <w:right w:w="15" w:type="dxa"/>
            </w:tcMar>
            <w:vAlign w:val="center"/>
          </w:tcPr>
          <w:p w14:paraId="1B500819">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567" w:type="dxa"/>
            <w:noWrap w:val="0"/>
            <w:tcMar>
              <w:top w:w="15" w:type="dxa"/>
              <w:left w:w="15" w:type="dxa"/>
              <w:bottom w:w="15" w:type="dxa"/>
              <w:right w:w="15" w:type="dxa"/>
            </w:tcMar>
            <w:vAlign w:val="center"/>
          </w:tcPr>
          <w:p w14:paraId="55E18468">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0.05L</w:t>
            </w:r>
          </w:p>
        </w:tc>
        <w:tc>
          <w:tcPr>
            <w:tcW w:w="567" w:type="dxa"/>
            <w:noWrap w:val="0"/>
            <w:tcMar>
              <w:top w:w="15" w:type="dxa"/>
              <w:left w:w="15" w:type="dxa"/>
              <w:bottom w:w="15" w:type="dxa"/>
              <w:right w:w="15" w:type="dxa"/>
            </w:tcMar>
            <w:vAlign w:val="center"/>
          </w:tcPr>
          <w:p w14:paraId="324FDEDA">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491" w:type="dxa"/>
            <w:noWrap w:val="0"/>
            <w:vAlign w:val="center"/>
          </w:tcPr>
          <w:p w14:paraId="5EFF3559">
            <w:pPr>
              <w:widowControl w:val="0"/>
              <w:snapToGrid w:val="0"/>
              <w:spacing w:line="240" w:lineRule="auto"/>
              <w:ind w:firstLine="0" w:firstLineChars="0"/>
              <w:jc w:val="center"/>
              <w:rPr>
                <w:rFonts w:hint="eastAsia"/>
                <w:color w:val="000000"/>
                <w:kern w:val="0"/>
                <w:sz w:val="13"/>
                <w:szCs w:val="13"/>
                <w:u w:val="none"/>
                <w:lang w:bidi="ar"/>
              </w:rPr>
            </w:pPr>
            <w:r>
              <w:rPr>
                <w:rFonts w:hint="eastAsia"/>
                <w:color w:val="000000"/>
                <w:kern w:val="0"/>
                <w:sz w:val="13"/>
                <w:szCs w:val="13"/>
                <w:u w:val="none"/>
                <w:lang w:val="en-US" w:eastAsia="zh-CN" w:bidi="ar"/>
              </w:rPr>
              <w:t>Ⅱ类</w:t>
            </w:r>
          </w:p>
        </w:tc>
        <w:tc>
          <w:tcPr>
            <w:tcW w:w="1145" w:type="dxa"/>
            <w:noWrap w:val="0"/>
            <w:vAlign w:val="center"/>
          </w:tcPr>
          <w:p w14:paraId="3564DD5D">
            <w:pPr>
              <w:widowControl w:val="0"/>
              <w:snapToGrid w:val="0"/>
              <w:spacing w:line="240" w:lineRule="auto"/>
              <w:ind w:firstLine="0" w:firstLineChars="0"/>
              <w:jc w:val="center"/>
              <w:rPr>
                <w:rFonts w:hint="eastAsia"/>
                <w:color w:val="000000"/>
                <w:kern w:val="0"/>
                <w:sz w:val="13"/>
                <w:szCs w:val="13"/>
                <w:u w:val="none"/>
                <w:lang w:bidi="ar"/>
              </w:rPr>
            </w:pPr>
          </w:p>
        </w:tc>
      </w:tr>
      <w:tr w14:paraId="3BEDD1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978" w:type="dxa"/>
            <w:tcBorders>
              <w:left w:val="single" w:color="auto" w:sz="4" w:space="0"/>
            </w:tcBorders>
            <w:noWrap w:val="0"/>
            <w:vAlign w:val="center"/>
          </w:tcPr>
          <w:p w14:paraId="764E0160">
            <w:pPr>
              <w:widowControl w:val="0"/>
              <w:snapToGrid w:val="0"/>
              <w:spacing w:line="240" w:lineRule="auto"/>
              <w:ind w:firstLine="0" w:firstLineChars="0"/>
              <w:jc w:val="center"/>
              <w:textAlignment w:val="center"/>
              <w:rPr>
                <w:color w:val="000000"/>
                <w:kern w:val="0"/>
                <w:sz w:val="13"/>
                <w:szCs w:val="13"/>
                <w:u w:val="none"/>
                <w:lang w:bidi="ar"/>
              </w:rPr>
            </w:pPr>
            <w:r>
              <w:rPr>
                <w:rFonts w:hint="eastAsia"/>
                <w:color w:val="000000"/>
                <w:kern w:val="0"/>
                <w:sz w:val="13"/>
                <w:szCs w:val="13"/>
                <w:u w:val="none"/>
                <w:lang w:eastAsia="zh-CN" w:bidi="ar"/>
              </w:rPr>
              <w:t>2023</w:t>
            </w:r>
            <w:r>
              <w:rPr>
                <w:rFonts w:hint="eastAsia"/>
                <w:color w:val="000000"/>
                <w:kern w:val="0"/>
                <w:sz w:val="13"/>
                <w:szCs w:val="13"/>
                <w:u w:val="none"/>
                <w:lang w:bidi="ar"/>
              </w:rPr>
              <w:t>年1</w:t>
            </w:r>
            <w:r>
              <w:rPr>
                <w:color w:val="000000"/>
                <w:kern w:val="0"/>
                <w:sz w:val="13"/>
                <w:szCs w:val="13"/>
                <w:u w:val="none"/>
                <w:lang w:bidi="ar"/>
              </w:rPr>
              <w:t>1</w:t>
            </w:r>
            <w:r>
              <w:rPr>
                <w:rFonts w:hint="eastAsia"/>
                <w:color w:val="000000"/>
                <w:kern w:val="0"/>
                <w:sz w:val="13"/>
                <w:szCs w:val="13"/>
                <w:u w:val="none"/>
                <w:lang w:bidi="ar"/>
              </w:rPr>
              <w:t>月</w:t>
            </w:r>
          </w:p>
        </w:tc>
        <w:tc>
          <w:tcPr>
            <w:tcW w:w="567" w:type="dxa"/>
            <w:noWrap w:val="0"/>
            <w:tcMar>
              <w:top w:w="15" w:type="dxa"/>
              <w:left w:w="15" w:type="dxa"/>
              <w:bottom w:w="15" w:type="dxa"/>
              <w:right w:w="15" w:type="dxa"/>
            </w:tcMar>
            <w:vAlign w:val="center"/>
          </w:tcPr>
          <w:p w14:paraId="1EBAA7BE">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w:t>
            </w:r>
          </w:p>
        </w:tc>
        <w:tc>
          <w:tcPr>
            <w:tcW w:w="567" w:type="dxa"/>
            <w:noWrap w:val="0"/>
            <w:tcMar>
              <w:top w:w="15" w:type="dxa"/>
              <w:left w:w="15" w:type="dxa"/>
              <w:bottom w:w="15" w:type="dxa"/>
              <w:right w:w="15" w:type="dxa"/>
            </w:tcMar>
            <w:vAlign w:val="center"/>
          </w:tcPr>
          <w:p w14:paraId="3F5D0565">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6.1</w:t>
            </w:r>
          </w:p>
        </w:tc>
        <w:tc>
          <w:tcPr>
            <w:tcW w:w="567" w:type="dxa"/>
            <w:noWrap w:val="0"/>
            <w:tcMar>
              <w:top w:w="15" w:type="dxa"/>
              <w:left w:w="15" w:type="dxa"/>
              <w:bottom w:w="15" w:type="dxa"/>
              <w:right w:w="15" w:type="dxa"/>
            </w:tcMar>
            <w:vAlign w:val="center"/>
          </w:tcPr>
          <w:p w14:paraId="25E53F30">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1.3</w:t>
            </w:r>
          </w:p>
        </w:tc>
        <w:tc>
          <w:tcPr>
            <w:tcW w:w="567" w:type="dxa"/>
            <w:noWrap w:val="0"/>
            <w:tcMar>
              <w:top w:w="15" w:type="dxa"/>
              <w:left w:w="15" w:type="dxa"/>
              <w:bottom w:w="15" w:type="dxa"/>
              <w:right w:w="15" w:type="dxa"/>
            </w:tcMar>
            <w:vAlign w:val="center"/>
          </w:tcPr>
          <w:p w14:paraId="30523D4E">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12</w:t>
            </w:r>
          </w:p>
        </w:tc>
        <w:tc>
          <w:tcPr>
            <w:tcW w:w="567" w:type="dxa"/>
            <w:noWrap w:val="0"/>
            <w:tcMar>
              <w:top w:w="15" w:type="dxa"/>
              <w:left w:w="15" w:type="dxa"/>
              <w:bottom w:w="15" w:type="dxa"/>
              <w:right w:w="15" w:type="dxa"/>
            </w:tcMar>
            <w:vAlign w:val="center"/>
          </w:tcPr>
          <w:p w14:paraId="317B98BF">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1.5</w:t>
            </w:r>
          </w:p>
        </w:tc>
        <w:tc>
          <w:tcPr>
            <w:tcW w:w="567" w:type="dxa"/>
            <w:noWrap w:val="0"/>
            <w:tcMar>
              <w:top w:w="15" w:type="dxa"/>
              <w:left w:w="15" w:type="dxa"/>
              <w:bottom w:w="15" w:type="dxa"/>
              <w:right w:w="15" w:type="dxa"/>
            </w:tcMar>
            <w:vAlign w:val="center"/>
          </w:tcPr>
          <w:p w14:paraId="4DBA0958">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0.82</w:t>
            </w:r>
          </w:p>
        </w:tc>
        <w:tc>
          <w:tcPr>
            <w:tcW w:w="567" w:type="dxa"/>
            <w:noWrap w:val="0"/>
            <w:tcMar>
              <w:top w:w="15" w:type="dxa"/>
              <w:left w:w="15" w:type="dxa"/>
              <w:bottom w:w="15" w:type="dxa"/>
              <w:right w:w="15" w:type="dxa"/>
            </w:tcMar>
            <w:vAlign w:val="center"/>
          </w:tcPr>
          <w:p w14:paraId="5B25CD82">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0.12</w:t>
            </w:r>
          </w:p>
        </w:tc>
        <w:tc>
          <w:tcPr>
            <w:tcW w:w="567" w:type="dxa"/>
            <w:noWrap w:val="0"/>
            <w:tcMar>
              <w:top w:w="15" w:type="dxa"/>
              <w:left w:w="15" w:type="dxa"/>
              <w:bottom w:w="15" w:type="dxa"/>
              <w:right w:w="15" w:type="dxa"/>
            </w:tcMar>
            <w:vAlign w:val="center"/>
          </w:tcPr>
          <w:p w14:paraId="3EDBA782">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0.001</w:t>
            </w:r>
          </w:p>
        </w:tc>
        <w:tc>
          <w:tcPr>
            <w:tcW w:w="567" w:type="dxa"/>
            <w:noWrap w:val="0"/>
            <w:tcMar>
              <w:top w:w="15" w:type="dxa"/>
              <w:left w:w="15" w:type="dxa"/>
              <w:bottom w:w="15" w:type="dxa"/>
              <w:right w:w="15" w:type="dxa"/>
            </w:tcMar>
            <w:vAlign w:val="center"/>
          </w:tcPr>
          <w:p w14:paraId="3A674440">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w:t>
            </w:r>
          </w:p>
        </w:tc>
        <w:tc>
          <w:tcPr>
            <w:tcW w:w="567" w:type="dxa"/>
            <w:noWrap w:val="0"/>
            <w:tcMar>
              <w:top w:w="15" w:type="dxa"/>
              <w:left w:w="15" w:type="dxa"/>
              <w:bottom w:w="15" w:type="dxa"/>
              <w:right w:w="15" w:type="dxa"/>
            </w:tcMar>
            <w:vAlign w:val="center"/>
          </w:tcPr>
          <w:p w14:paraId="40EBE86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0.113</w:t>
            </w:r>
          </w:p>
        </w:tc>
        <w:tc>
          <w:tcPr>
            <w:tcW w:w="567" w:type="dxa"/>
            <w:noWrap w:val="0"/>
            <w:tcMar>
              <w:top w:w="15" w:type="dxa"/>
              <w:left w:w="15" w:type="dxa"/>
              <w:bottom w:w="15" w:type="dxa"/>
              <w:right w:w="15" w:type="dxa"/>
            </w:tcMar>
            <w:vAlign w:val="center"/>
          </w:tcPr>
          <w:p w14:paraId="3615285B">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0.00041L</w:t>
            </w:r>
          </w:p>
        </w:tc>
        <w:tc>
          <w:tcPr>
            <w:tcW w:w="567" w:type="dxa"/>
            <w:noWrap w:val="0"/>
            <w:tcMar>
              <w:top w:w="15" w:type="dxa"/>
              <w:left w:w="15" w:type="dxa"/>
              <w:bottom w:w="15" w:type="dxa"/>
              <w:right w:w="15" w:type="dxa"/>
            </w:tcMar>
            <w:vAlign w:val="center"/>
          </w:tcPr>
          <w:p w14:paraId="714346BE">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0.0003L</w:t>
            </w:r>
          </w:p>
        </w:tc>
        <w:tc>
          <w:tcPr>
            <w:tcW w:w="567" w:type="dxa"/>
            <w:noWrap w:val="0"/>
            <w:tcMar>
              <w:top w:w="15" w:type="dxa"/>
              <w:left w:w="15" w:type="dxa"/>
              <w:bottom w:w="15" w:type="dxa"/>
              <w:right w:w="15" w:type="dxa"/>
            </w:tcMar>
            <w:vAlign w:val="center"/>
          </w:tcPr>
          <w:p w14:paraId="1FA0956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0.00004L</w:t>
            </w:r>
          </w:p>
        </w:tc>
        <w:tc>
          <w:tcPr>
            <w:tcW w:w="567" w:type="dxa"/>
            <w:noWrap w:val="0"/>
            <w:tcMar>
              <w:top w:w="15" w:type="dxa"/>
              <w:left w:w="15" w:type="dxa"/>
              <w:bottom w:w="15" w:type="dxa"/>
              <w:right w:w="15" w:type="dxa"/>
            </w:tcMar>
            <w:vAlign w:val="center"/>
          </w:tcPr>
          <w:p w14:paraId="4740741E">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0.00005L</w:t>
            </w:r>
          </w:p>
        </w:tc>
        <w:tc>
          <w:tcPr>
            <w:tcW w:w="567" w:type="dxa"/>
            <w:noWrap w:val="0"/>
            <w:tcMar>
              <w:top w:w="15" w:type="dxa"/>
              <w:left w:w="15" w:type="dxa"/>
              <w:bottom w:w="15" w:type="dxa"/>
              <w:right w:w="15" w:type="dxa"/>
            </w:tcMar>
            <w:vAlign w:val="center"/>
          </w:tcPr>
          <w:p w14:paraId="216560C2">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0.004L</w:t>
            </w:r>
          </w:p>
        </w:tc>
        <w:tc>
          <w:tcPr>
            <w:tcW w:w="567" w:type="dxa"/>
            <w:noWrap w:val="0"/>
            <w:tcMar>
              <w:top w:w="15" w:type="dxa"/>
              <w:left w:w="15" w:type="dxa"/>
              <w:bottom w:w="15" w:type="dxa"/>
              <w:right w:w="15" w:type="dxa"/>
            </w:tcMar>
            <w:vAlign w:val="center"/>
          </w:tcPr>
          <w:p w14:paraId="0AF2374B">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0.0001</w:t>
            </w:r>
          </w:p>
        </w:tc>
        <w:tc>
          <w:tcPr>
            <w:tcW w:w="567" w:type="dxa"/>
            <w:noWrap w:val="0"/>
            <w:tcMar>
              <w:top w:w="15" w:type="dxa"/>
              <w:left w:w="15" w:type="dxa"/>
              <w:bottom w:w="15" w:type="dxa"/>
              <w:right w:w="15" w:type="dxa"/>
            </w:tcMar>
            <w:vAlign w:val="center"/>
          </w:tcPr>
          <w:p w14:paraId="7F77E5A7">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0.001L</w:t>
            </w:r>
          </w:p>
        </w:tc>
        <w:tc>
          <w:tcPr>
            <w:tcW w:w="567" w:type="dxa"/>
            <w:noWrap w:val="0"/>
            <w:tcMar>
              <w:top w:w="15" w:type="dxa"/>
              <w:left w:w="15" w:type="dxa"/>
              <w:bottom w:w="15" w:type="dxa"/>
              <w:right w:w="15" w:type="dxa"/>
            </w:tcMar>
            <w:vAlign w:val="center"/>
          </w:tcPr>
          <w:p w14:paraId="2E834356">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0.0003L</w:t>
            </w:r>
          </w:p>
        </w:tc>
        <w:tc>
          <w:tcPr>
            <w:tcW w:w="567" w:type="dxa"/>
            <w:noWrap w:val="0"/>
            <w:tcMar>
              <w:top w:w="15" w:type="dxa"/>
              <w:left w:w="15" w:type="dxa"/>
              <w:bottom w:w="15" w:type="dxa"/>
              <w:right w:w="15" w:type="dxa"/>
            </w:tcMar>
            <w:vAlign w:val="center"/>
          </w:tcPr>
          <w:p w14:paraId="1762BA61">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567" w:type="dxa"/>
            <w:noWrap w:val="0"/>
            <w:tcMar>
              <w:top w:w="15" w:type="dxa"/>
              <w:left w:w="15" w:type="dxa"/>
              <w:bottom w:w="15" w:type="dxa"/>
              <w:right w:w="15" w:type="dxa"/>
            </w:tcMar>
            <w:vAlign w:val="center"/>
          </w:tcPr>
          <w:p w14:paraId="0980E9B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0.05L</w:t>
            </w:r>
          </w:p>
        </w:tc>
        <w:tc>
          <w:tcPr>
            <w:tcW w:w="567" w:type="dxa"/>
            <w:noWrap w:val="0"/>
            <w:tcMar>
              <w:top w:w="15" w:type="dxa"/>
              <w:left w:w="15" w:type="dxa"/>
              <w:bottom w:w="15" w:type="dxa"/>
              <w:right w:w="15" w:type="dxa"/>
            </w:tcMar>
            <w:vAlign w:val="center"/>
          </w:tcPr>
          <w:p w14:paraId="0112F3B2">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491" w:type="dxa"/>
            <w:noWrap w:val="0"/>
            <w:vAlign w:val="center"/>
          </w:tcPr>
          <w:p w14:paraId="601B176D">
            <w:pPr>
              <w:widowControl w:val="0"/>
              <w:snapToGrid w:val="0"/>
              <w:spacing w:line="240" w:lineRule="auto"/>
              <w:ind w:firstLine="0" w:firstLineChars="0"/>
              <w:jc w:val="center"/>
              <w:rPr>
                <w:rFonts w:hint="eastAsia"/>
                <w:color w:val="000000"/>
                <w:kern w:val="0"/>
                <w:sz w:val="13"/>
                <w:szCs w:val="13"/>
                <w:u w:val="none"/>
                <w:lang w:bidi="ar"/>
              </w:rPr>
            </w:pPr>
            <w:r>
              <w:rPr>
                <w:rFonts w:hint="eastAsia"/>
                <w:color w:val="000000"/>
                <w:kern w:val="0"/>
                <w:sz w:val="13"/>
                <w:szCs w:val="13"/>
                <w:u w:val="none"/>
                <w:lang w:val="en-US" w:eastAsia="zh-CN" w:bidi="ar"/>
              </w:rPr>
              <w:t>Ⅲ类</w:t>
            </w:r>
          </w:p>
        </w:tc>
        <w:tc>
          <w:tcPr>
            <w:tcW w:w="1145" w:type="dxa"/>
            <w:noWrap w:val="0"/>
            <w:vAlign w:val="center"/>
          </w:tcPr>
          <w:p w14:paraId="2D24CFDD">
            <w:pPr>
              <w:widowControl w:val="0"/>
              <w:snapToGrid w:val="0"/>
              <w:spacing w:line="240" w:lineRule="auto"/>
              <w:ind w:firstLine="0" w:firstLineChars="0"/>
              <w:jc w:val="center"/>
              <w:rPr>
                <w:rFonts w:hint="eastAsia"/>
                <w:color w:val="000000"/>
                <w:kern w:val="0"/>
                <w:sz w:val="13"/>
                <w:szCs w:val="13"/>
                <w:u w:val="none"/>
                <w:lang w:bidi="ar"/>
              </w:rPr>
            </w:pPr>
          </w:p>
        </w:tc>
      </w:tr>
      <w:tr w14:paraId="3DAC48A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978" w:type="dxa"/>
            <w:tcBorders>
              <w:left w:val="single" w:color="auto" w:sz="4" w:space="0"/>
            </w:tcBorders>
            <w:noWrap w:val="0"/>
            <w:vAlign w:val="center"/>
          </w:tcPr>
          <w:p w14:paraId="5176C738">
            <w:pPr>
              <w:widowControl w:val="0"/>
              <w:snapToGrid w:val="0"/>
              <w:spacing w:line="240" w:lineRule="auto"/>
              <w:ind w:firstLine="0" w:firstLineChars="0"/>
              <w:jc w:val="center"/>
              <w:textAlignment w:val="center"/>
              <w:rPr>
                <w:color w:val="000000"/>
                <w:kern w:val="0"/>
                <w:sz w:val="13"/>
                <w:szCs w:val="13"/>
                <w:u w:val="none"/>
                <w:lang w:bidi="ar"/>
              </w:rPr>
            </w:pPr>
            <w:r>
              <w:rPr>
                <w:rFonts w:hint="eastAsia"/>
                <w:color w:val="000000"/>
                <w:kern w:val="0"/>
                <w:sz w:val="13"/>
                <w:szCs w:val="13"/>
                <w:u w:val="none"/>
                <w:lang w:eastAsia="zh-CN" w:bidi="ar"/>
              </w:rPr>
              <w:t>2023</w:t>
            </w:r>
            <w:r>
              <w:rPr>
                <w:rFonts w:hint="eastAsia"/>
                <w:color w:val="000000"/>
                <w:kern w:val="0"/>
                <w:sz w:val="13"/>
                <w:szCs w:val="13"/>
                <w:u w:val="none"/>
                <w:lang w:bidi="ar"/>
              </w:rPr>
              <w:t>年1</w:t>
            </w:r>
            <w:r>
              <w:rPr>
                <w:color w:val="000000"/>
                <w:kern w:val="0"/>
                <w:sz w:val="13"/>
                <w:szCs w:val="13"/>
                <w:u w:val="none"/>
                <w:lang w:bidi="ar"/>
              </w:rPr>
              <w:t>2</w:t>
            </w:r>
            <w:r>
              <w:rPr>
                <w:rFonts w:hint="eastAsia"/>
                <w:color w:val="000000"/>
                <w:kern w:val="0"/>
                <w:sz w:val="13"/>
                <w:szCs w:val="13"/>
                <w:u w:val="none"/>
                <w:lang w:bidi="ar"/>
              </w:rPr>
              <w:t>月</w:t>
            </w:r>
          </w:p>
        </w:tc>
        <w:tc>
          <w:tcPr>
            <w:tcW w:w="567" w:type="dxa"/>
            <w:noWrap w:val="0"/>
            <w:tcMar>
              <w:top w:w="15" w:type="dxa"/>
              <w:left w:w="15" w:type="dxa"/>
              <w:bottom w:w="15" w:type="dxa"/>
              <w:right w:w="15" w:type="dxa"/>
            </w:tcMar>
            <w:vAlign w:val="center"/>
          </w:tcPr>
          <w:p w14:paraId="2D821073">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w:t>
            </w:r>
          </w:p>
        </w:tc>
        <w:tc>
          <w:tcPr>
            <w:tcW w:w="567" w:type="dxa"/>
            <w:noWrap w:val="0"/>
            <w:tcMar>
              <w:top w:w="15" w:type="dxa"/>
              <w:left w:w="15" w:type="dxa"/>
              <w:bottom w:w="15" w:type="dxa"/>
              <w:right w:w="15" w:type="dxa"/>
            </w:tcMar>
            <w:vAlign w:val="center"/>
          </w:tcPr>
          <w:p w14:paraId="21515451">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8.1</w:t>
            </w:r>
          </w:p>
        </w:tc>
        <w:tc>
          <w:tcPr>
            <w:tcW w:w="567" w:type="dxa"/>
            <w:noWrap w:val="0"/>
            <w:tcMar>
              <w:top w:w="15" w:type="dxa"/>
              <w:left w:w="15" w:type="dxa"/>
              <w:bottom w:w="15" w:type="dxa"/>
              <w:right w:w="15" w:type="dxa"/>
            </w:tcMar>
            <w:vAlign w:val="center"/>
          </w:tcPr>
          <w:p w14:paraId="5EF3DB95">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1.2</w:t>
            </w:r>
          </w:p>
        </w:tc>
        <w:tc>
          <w:tcPr>
            <w:tcW w:w="567" w:type="dxa"/>
            <w:noWrap w:val="0"/>
            <w:tcMar>
              <w:top w:w="15" w:type="dxa"/>
              <w:left w:w="15" w:type="dxa"/>
              <w:bottom w:w="15" w:type="dxa"/>
              <w:right w:w="15" w:type="dxa"/>
            </w:tcMar>
            <w:vAlign w:val="center"/>
          </w:tcPr>
          <w:p w14:paraId="4B47D97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10</w:t>
            </w:r>
          </w:p>
        </w:tc>
        <w:tc>
          <w:tcPr>
            <w:tcW w:w="567" w:type="dxa"/>
            <w:noWrap w:val="0"/>
            <w:tcMar>
              <w:top w:w="15" w:type="dxa"/>
              <w:left w:w="15" w:type="dxa"/>
              <w:bottom w:w="15" w:type="dxa"/>
              <w:right w:w="15" w:type="dxa"/>
            </w:tcMar>
            <w:vAlign w:val="center"/>
          </w:tcPr>
          <w:p w14:paraId="6F74446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1.7</w:t>
            </w:r>
          </w:p>
        </w:tc>
        <w:tc>
          <w:tcPr>
            <w:tcW w:w="567" w:type="dxa"/>
            <w:noWrap w:val="0"/>
            <w:tcMar>
              <w:top w:w="15" w:type="dxa"/>
              <w:left w:w="15" w:type="dxa"/>
              <w:bottom w:w="15" w:type="dxa"/>
              <w:right w:w="15" w:type="dxa"/>
            </w:tcMar>
            <w:vAlign w:val="center"/>
          </w:tcPr>
          <w:p w14:paraId="3B67A1AE">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0.05</w:t>
            </w:r>
          </w:p>
        </w:tc>
        <w:tc>
          <w:tcPr>
            <w:tcW w:w="567" w:type="dxa"/>
            <w:noWrap w:val="0"/>
            <w:tcMar>
              <w:top w:w="15" w:type="dxa"/>
              <w:left w:w="15" w:type="dxa"/>
              <w:bottom w:w="15" w:type="dxa"/>
              <w:right w:w="15" w:type="dxa"/>
            </w:tcMar>
            <w:vAlign w:val="center"/>
          </w:tcPr>
          <w:p w14:paraId="02C41001">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0.04</w:t>
            </w:r>
          </w:p>
        </w:tc>
        <w:tc>
          <w:tcPr>
            <w:tcW w:w="567" w:type="dxa"/>
            <w:noWrap w:val="0"/>
            <w:tcMar>
              <w:top w:w="15" w:type="dxa"/>
              <w:left w:w="15" w:type="dxa"/>
              <w:bottom w:w="15" w:type="dxa"/>
              <w:right w:w="15" w:type="dxa"/>
            </w:tcMar>
            <w:vAlign w:val="center"/>
          </w:tcPr>
          <w:p w14:paraId="77006CE6">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0.0004</w:t>
            </w:r>
          </w:p>
        </w:tc>
        <w:tc>
          <w:tcPr>
            <w:tcW w:w="567" w:type="dxa"/>
            <w:noWrap w:val="0"/>
            <w:tcMar>
              <w:top w:w="15" w:type="dxa"/>
              <w:left w:w="15" w:type="dxa"/>
              <w:bottom w:w="15" w:type="dxa"/>
              <w:right w:w="15" w:type="dxa"/>
            </w:tcMar>
            <w:vAlign w:val="center"/>
          </w:tcPr>
          <w:p w14:paraId="40E5EA99">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0.004L</w:t>
            </w:r>
          </w:p>
        </w:tc>
        <w:tc>
          <w:tcPr>
            <w:tcW w:w="567" w:type="dxa"/>
            <w:noWrap w:val="0"/>
            <w:tcMar>
              <w:top w:w="15" w:type="dxa"/>
              <w:left w:w="15" w:type="dxa"/>
              <w:bottom w:w="15" w:type="dxa"/>
              <w:right w:w="15" w:type="dxa"/>
            </w:tcMar>
            <w:vAlign w:val="center"/>
          </w:tcPr>
          <w:p w14:paraId="73808677">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0.121</w:t>
            </w:r>
          </w:p>
        </w:tc>
        <w:tc>
          <w:tcPr>
            <w:tcW w:w="567" w:type="dxa"/>
            <w:noWrap w:val="0"/>
            <w:tcMar>
              <w:top w:w="15" w:type="dxa"/>
              <w:left w:w="15" w:type="dxa"/>
              <w:bottom w:w="15" w:type="dxa"/>
              <w:right w:w="15" w:type="dxa"/>
            </w:tcMar>
            <w:vAlign w:val="center"/>
          </w:tcPr>
          <w:p w14:paraId="65BDFD8B">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0.00041L</w:t>
            </w:r>
          </w:p>
        </w:tc>
        <w:tc>
          <w:tcPr>
            <w:tcW w:w="567" w:type="dxa"/>
            <w:noWrap w:val="0"/>
            <w:tcMar>
              <w:top w:w="15" w:type="dxa"/>
              <w:left w:w="15" w:type="dxa"/>
              <w:bottom w:w="15" w:type="dxa"/>
              <w:right w:w="15" w:type="dxa"/>
            </w:tcMar>
            <w:vAlign w:val="center"/>
          </w:tcPr>
          <w:p w14:paraId="21A002F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0.0003L</w:t>
            </w:r>
          </w:p>
        </w:tc>
        <w:tc>
          <w:tcPr>
            <w:tcW w:w="567" w:type="dxa"/>
            <w:noWrap w:val="0"/>
            <w:tcMar>
              <w:top w:w="15" w:type="dxa"/>
              <w:left w:w="15" w:type="dxa"/>
              <w:bottom w:w="15" w:type="dxa"/>
              <w:right w:w="15" w:type="dxa"/>
            </w:tcMar>
            <w:vAlign w:val="center"/>
          </w:tcPr>
          <w:p w14:paraId="6F695B4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0.00004L</w:t>
            </w:r>
          </w:p>
        </w:tc>
        <w:tc>
          <w:tcPr>
            <w:tcW w:w="567" w:type="dxa"/>
            <w:noWrap w:val="0"/>
            <w:tcMar>
              <w:top w:w="15" w:type="dxa"/>
              <w:left w:w="15" w:type="dxa"/>
              <w:bottom w:w="15" w:type="dxa"/>
              <w:right w:w="15" w:type="dxa"/>
            </w:tcMar>
            <w:vAlign w:val="center"/>
          </w:tcPr>
          <w:p w14:paraId="21FB80B3">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0.00005L</w:t>
            </w:r>
          </w:p>
        </w:tc>
        <w:tc>
          <w:tcPr>
            <w:tcW w:w="567" w:type="dxa"/>
            <w:noWrap w:val="0"/>
            <w:tcMar>
              <w:top w:w="15" w:type="dxa"/>
              <w:left w:w="15" w:type="dxa"/>
              <w:bottom w:w="15" w:type="dxa"/>
              <w:right w:w="15" w:type="dxa"/>
            </w:tcMar>
            <w:vAlign w:val="center"/>
          </w:tcPr>
          <w:p w14:paraId="56330D89">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0.004L</w:t>
            </w:r>
          </w:p>
        </w:tc>
        <w:tc>
          <w:tcPr>
            <w:tcW w:w="567" w:type="dxa"/>
            <w:noWrap w:val="0"/>
            <w:tcMar>
              <w:top w:w="15" w:type="dxa"/>
              <w:left w:w="15" w:type="dxa"/>
              <w:bottom w:w="15" w:type="dxa"/>
              <w:right w:w="15" w:type="dxa"/>
            </w:tcMar>
            <w:vAlign w:val="center"/>
          </w:tcPr>
          <w:p w14:paraId="22D3936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0.00009L</w:t>
            </w:r>
          </w:p>
        </w:tc>
        <w:tc>
          <w:tcPr>
            <w:tcW w:w="567" w:type="dxa"/>
            <w:noWrap w:val="0"/>
            <w:tcMar>
              <w:top w:w="15" w:type="dxa"/>
              <w:left w:w="15" w:type="dxa"/>
              <w:bottom w:w="15" w:type="dxa"/>
              <w:right w:w="15" w:type="dxa"/>
            </w:tcMar>
            <w:vAlign w:val="center"/>
          </w:tcPr>
          <w:p w14:paraId="25504A97">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0.001L</w:t>
            </w:r>
          </w:p>
        </w:tc>
        <w:tc>
          <w:tcPr>
            <w:tcW w:w="567" w:type="dxa"/>
            <w:noWrap w:val="0"/>
            <w:tcMar>
              <w:top w:w="15" w:type="dxa"/>
              <w:left w:w="15" w:type="dxa"/>
              <w:bottom w:w="15" w:type="dxa"/>
              <w:right w:w="15" w:type="dxa"/>
            </w:tcMar>
            <w:vAlign w:val="center"/>
          </w:tcPr>
          <w:p w14:paraId="0E7B043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0.0003L</w:t>
            </w:r>
          </w:p>
        </w:tc>
        <w:tc>
          <w:tcPr>
            <w:tcW w:w="567" w:type="dxa"/>
            <w:noWrap w:val="0"/>
            <w:tcMar>
              <w:top w:w="15" w:type="dxa"/>
              <w:left w:w="15" w:type="dxa"/>
              <w:bottom w:w="15" w:type="dxa"/>
              <w:right w:w="15" w:type="dxa"/>
            </w:tcMar>
            <w:vAlign w:val="center"/>
          </w:tcPr>
          <w:p w14:paraId="13087902">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567" w:type="dxa"/>
            <w:noWrap w:val="0"/>
            <w:tcMar>
              <w:top w:w="15" w:type="dxa"/>
              <w:left w:w="15" w:type="dxa"/>
              <w:bottom w:w="15" w:type="dxa"/>
              <w:right w:w="15" w:type="dxa"/>
            </w:tcMar>
            <w:vAlign w:val="center"/>
          </w:tcPr>
          <w:p w14:paraId="52CB9A7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0.05L</w:t>
            </w:r>
          </w:p>
        </w:tc>
        <w:tc>
          <w:tcPr>
            <w:tcW w:w="567" w:type="dxa"/>
            <w:noWrap w:val="0"/>
            <w:tcMar>
              <w:top w:w="15" w:type="dxa"/>
              <w:left w:w="15" w:type="dxa"/>
              <w:bottom w:w="15" w:type="dxa"/>
              <w:right w:w="15" w:type="dxa"/>
            </w:tcMar>
            <w:vAlign w:val="center"/>
          </w:tcPr>
          <w:p w14:paraId="4D425138">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491" w:type="dxa"/>
            <w:noWrap w:val="0"/>
            <w:vAlign w:val="center"/>
          </w:tcPr>
          <w:p w14:paraId="65C67835">
            <w:pPr>
              <w:widowControl w:val="0"/>
              <w:snapToGrid w:val="0"/>
              <w:spacing w:line="240" w:lineRule="auto"/>
              <w:ind w:firstLine="0" w:firstLineChars="0"/>
              <w:jc w:val="center"/>
              <w:rPr>
                <w:rFonts w:hint="eastAsia"/>
                <w:color w:val="000000"/>
                <w:kern w:val="0"/>
                <w:sz w:val="13"/>
                <w:szCs w:val="13"/>
                <w:u w:val="none"/>
                <w:lang w:bidi="ar"/>
              </w:rPr>
            </w:pPr>
            <w:r>
              <w:rPr>
                <w:rFonts w:hint="eastAsia"/>
                <w:color w:val="000000"/>
                <w:kern w:val="0"/>
                <w:sz w:val="13"/>
                <w:szCs w:val="13"/>
                <w:u w:val="none"/>
                <w:lang w:val="en-US" w:eastAsia="zh-CN" w:bidi="ar"/>
              </w:rPr>
              <w:t>Ⅱ类</w:t>
            </w:r>
          </w:p>
        </w:tc>
        <w:tc>
          <w:tcPr>
            <w:tcW w:w="1145" w:type="dxa"/>
            <w:noWrap w:val="0"/>
            <w:vAlign w:val="center"/>
          </w:tcPr>
          <w:p w14:paraId="209FC7E0">
            <w:pPr>
              <w:widowControl w:val="0"/>
              <w:snapToGrid w:val="0"/>
              <w:spacing w:line="240" w:lineRule="auto"/>
              <w:ind w:firstLine="0" w:firstLineChars="0"/>
              <w:jc w:val="center"/>
              <w:rPr>
                <w:rFonts w:hint="eastAsia"/>
                <w:color w:val="000000"/>
                <w:kern w:val="0"/>
                <w:sz w:val="13"/>
                <w:szCs w:val="13"/>
                <w:u w:val="none"/>
                <w:lang w:bidi="ar"/>
              </w:rPr>
            </w:pPr>
          </w:p>
        </w:tc>
      </w:tr>
      <w:tr w14:paraId="44F7FF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7" w:hRule="atLeast"/>
        </w:trPr>
        <w:tc>
          <w:tcPr>
            <w:tcW w:w="978" w:type="dxa"/>
            <w:tcBorders>
              <w:left w:val="single" w:color="auto" w:sz="4" w:space="0"/>
            </w:tcBorders>
            <w:noWrap w:val="0"/>
            <w:vAlign w:val="center"/>
          </w:tcPr>
          <w:p w14:paraId="505F15EB">
            <w:pPr>
              <w:widowControl w:val="0"/>
              <w:snapToGrid w:val="0"/>
              <w:spacing w:line="240" w:lineRule="auto"/>
              <w:ind w:firstLine="0" w:firstLineChars="0"/>
              <w:jc w:val="center"/>
              <w:textAlignment w:val="center"/>
              <w:rPr>
                <w:color w:val="000000"/>
                <w:kern w:val="0"/>
                <w:sz w:val="13"/>
                <w:szCs w:val="13"/>
                <w:u w:val="none"/>
                <w:lang w:bidi="ar"/>
              </w:rPr>
            </w:pPr>
            <w:r>
              <w:rPr>
                <w:color w:val="000000"/>
                <w:kern w:val="0"/>
                <w:sz w:val="13"/>
                <w:szCs w:val="13"/>
                <w:u w:val="none"/>
                <w:lang w:bidi="ar"/>
              </w:rPr>
              <w:t>202</w:t>
            </w:r>
            <w:r>
              <w:rPr>
                <w:rFonts w:hint="eastAsia"/>
                <w:color w:val="000000"/>
                <w:kern w:val="0"/>
                <w:sz w:val="13"/>
                <w:szCs w:val="13"/>
                <w:u w:val="none"/>
                <w:lang w:val="en-US" w:eastAsia="zh-CN" w:bidi="ar"/>
              </w:rPr>
              <w:t>4</w:t>
            </w:r>
            <w:r>
              <w:rPr>
                <w:rFonts w:hint="eastAsia"/>
                <w:color w:val="000000"/>
                <w:kern w:val="0"/>
                <w:sz w:val="13"/>
                <w:szCs w:val="13"/>
                <w:u w:val="none"/>
                <w:lang w:bidi="ar"/>
              </w:rPr>
              <w:t>年1月</w:t>
            </w:r>
          </w:p>
        </w:tc>
        <w:tc>
          <w:tcPr>
            <w:tcW w:w="567" w:type="dxa"/>
            <w:noWrap w:val="0"/>
            <w:tcMar>
              <w:top w:w="15" w:type="dxa"/>
              <w:left w:w="15" w:type="dxa"/>
              <w:bottom w:w="15" w:type="dxa"/>
              <w:right w:w="15" w:type="dxa"/>
            </w:tcMar>
            <w:vAlign w:val="center"/>
          </w:tcPr>
          <w:p w14:paraId="316814AF">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w:t>
            </w:r>
          </w:p>
        </w:tc>
        <w:tc>
          <w:tcPr>
            <w:tcW w:w="567" w:type="dxa"/>
            <w:noWrap w:val="0"/>
            <w:tcMar>
              <w:top w:w="15" w:type="dxa"/>
              <w:left w:w="15" w:type="dxa"/>
              <w:bottom w:w="15" w:type="dxa"/>
              <w:right w:w="15" w:type="dxa"/>
            </w:tcMar>
            <w:vAlign w:val="center"/>
          </w:tcPr>
          <w:p w14:paraId="1613C54A">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5.6</w:t>
            </w:r>
          </w:p>
        </w:tc>
        <w:tc>
          <w:tcPr>
            <w:tcW w:w="567" w:type="dxa"/>
            <w:noWrap w:val="0"/>
            <w:tcMar>
              <w:top w:w="15" w:type="dxa"/>
              <w:left w:w="15" w:type="dxa"/>
              <w:bottom w:w="15" w:type="dxa"/>
              <w:right w:w="15" w:type="dxa"/>
            </w:tcMar>
            <w:vAlign w:val="center"/>
          </w:tcPr>
          <w:p w14:paraId="049BB6E2">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3.3</w:t>
            </w:r>
          </w:p>
        </w:tc>
        <w:tc>
          <w:tcPr>
            <w:tcW w:w="567" w:type="dxa"/>
            <w:noWrap w:val="0"/>
            <w:tcMar>
              <w:top w:w="15" w:type="dxa"/>
              <w:left w:w="15" w:type="dxa"/>
              <w:bottom w:w="15" w:type="dxa"/>
              <w:right w:w="15" w:type="dxa"/>
            </w:tcMar>
            <w:vAlign w:val="center"/>
          </w:tcPr>
          <w:p w14:paraId="78745CDB">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17</w:t>
            </w:r>
          </w:p>
        </w:tc>
        <w:tc>
          <w:tcPr>
            <w:tcW w:w="567" w:type="dxa"/>
            <w:noWrap w:val="0"/>
            <w:tcMar>
              <w:top w:w="15" w:type="dxa"/>
              <w:left w:w="15" w:type="dxa"/>
              <w:bottom w:w="15" w:type="dxa"/>
              <w:right w:w="15" w:type="dxa"/>
            </w:tcMar>
            <w:vAlign w:val="center"/>
          </w:tcPr>
          <w:p w14:paraId="37558F82">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3.5</w:t>
            </w:r>
          </w:p>
        </w:tc>
        <w:tc>
          <w:tcPr>
            <w:tcW w:w="567" w:type="dxa"/>
            <w:noWrap w:val="0"/>
            <w:tcMar>
              <w:top w:w="15" w:type="dxa"/>
              <w:left w:w="15" w:type="dxa"/>
              <w:bottom w:w="15" w:type="dxa"/>
              <w:right w:w="15" w:type="dxa"/>
            </w:tcMar>
            <w:vAlign w:val="center"/>
          </w:tcPr>
          <w:p w14:paraId="4985B308">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2.02</w:t>
            </w:r>
          </w:p>
        </w:tc>
        <w:tc>
          <w:tcPr>
            <w:tcW w:w="567" w:type="dxa"/>
            <w:noWrap w:val="0"/>
            <w:tcMar>
              <w:top w:w="15" w:type="dxa"/>
              <w:left w:w="15" w:type="dxa"/>
              <w:bottom w:w="15" w:type="dxa"/>
              <w:right w:w="15" w:type="dxa"/>
            </w:tcMar>
            <w:vAlign w:val="center"/>
          </w:tcPr>
          <w:p w14:paraId="0246EA31">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0.22</w:t>
            </w:r>
          </w:p>
        </w:tc>
        <w:tc>
          <w:tcPr>
            <w:tcW w:w="567" w:type="dxa"/>
            <w:noWrap w:val="0"/>
            <w:tcMar>
              <w:top w:w="15" w:type="dxa"/>
              <w:left w:w="15" w:type="dxa"/>
              <w:bottom w:w="15" w:type="dxa"/>
              <w:right w:w="15" w:type="dxa"/>
            </w:tcMar>
            <w:vAlign w:val="center"/>
          </w:tcPr>
          <w:p w14:paraId="0512DFD8">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w:t>
            </w:r>
          </w:p>
        </w:tc>
        <w:tc>
          <w:tcPr>
            <w:tcW w:w="567" w:type="dxa"/>
            <w:noWrap w:val="0"/>
            <w:tcMar>
              <w:top w:w="15" w:type="dxa"/>
              <w:left w:w="15" w:type="dxa"/>
              <w:bottom w:w="15" w:type="dxa"/>
              <w:right w:w="15" w:type="dxa"/>
            </w:tcMar>
            <w:vAlign w:val="center"/>
          </w:tcPr>
          <w:p w14:paraId="1CD94222">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0.002</w:t>
            </w:r>
          </w:p>
        </w:tc>
        <w:tc>
          <w:tcPr>
            <w:tcW w:w="567" w:type="dxa"/>
            <w:noWrap w:val="0"/>
            <w:tcMar>
              <w:top w:w="15" w:type="dxa"/>
              <w:left w:w="15" w:type="dxa"/>
              <w:bottom w:w="15" w:type="dxa"/>
              <w:right w:w="15" w:type="dxa"/>
            </w:tcMar>
            <w:vAlign w:val="center"/>
          </w:tcPr>
          <w:p w14:paraId="3AEECC5B">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0.116</w:t>
            </w:r>
          </w:p>
        </w:tc>
        <w:tc>
          <w:tcPr>
            <w:tcW w:w="567" w:type="dxa"/>
            <w:noWrap w:val="0"/>
            <w:tcMar>
              <w:top w:w="15" w:type="dxa"/>
              <w:left w:w="15" w:type="dxa"/>
              <w:bottom w:w="15" w:type="dxa"/>
              <w:right w:w="15" w:type="dxa"/>
            </w:tcMar>
            <w:vAlign w:val="center"/>
          </w:tcPr>
          <w:p w14:paraId="5452EAF0">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0.0004L</w:t>
            </w:r>
          </w:p>
        </w:tc>
        <w:tc>
          <w:tcPr>
            <w:tcW w:w="567" w:type="dxa"/>
            <w:noWrap w:val="0"/>
            <w:tcMar>
              <w:top w:w="15" w:type="dxa"/>
              <w:left w:w="15" w:type="dxa"/>
              <w:bottom w:w="15" w:type="dxa"/>
              <w:right w:w="15" w:type="dxa"/>
            </w:tcMar>
            <w:vAlign w:val="center"/>
          </w:tcPr>
          <w:p w14:paraId="48F1B603">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0.0004</w:t>
            </w:r>
          </w:p>
        </w:tc>
        <w:tc>
          <w:tcPr>
            <w:tcW w:w="567" w:type="dxa"/>
            <w:noWrap w:val="0"/>
            <w:tcMar>
              <w:top w:w="15" w:type="dxa"/>
              <w:left w:w="15" w:type="dxa"/>
              <w:bottom w:w="15" w:type="dxa"/>
              <w:right w:w="15" w:type="dxa"/>
            </w:tcMar>
            <w:vAlign w:val="center"/>
          </w:tcPr>
          <w:p w14:paraId="1911EA47">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0.00004L</w:t>
            </w:r>
          </w:p>
        </w:tc>
        <w:tc>
          <w:tcPr>
            <w:tcW w:w="567" w:type="dxa"/>
            <w:noWrap w:val="0"/>
            <w:tcMar>
              <w:top w:w="15" w:type="dxa"/>
              <w:left w:w="15" w:type="dxa"/>
              <w:bottom w:w="15" w:type="dxa"/>
              <w:right w:w="15" w:type="dxa"/>
            </w:tcMar>
            <w:vAlign w:val="center"/>
          </w:tcPr>
          <w:p w14:paraId="5F573028">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0.00005L</w:t>
            </w:r>
          </w:p>
        </w:tc>
        <w:tc>
          <w:tcPr>
            <w:tcW w:w="567" w:type="dxa"/>
            <w:noWrap w:val="0"/>
            <w:tcMar>
              <w:top w:w="15" w:type="dxa"/>
              <w:left w:w="15" w:type="dxa"/>
              <w:bottom w:w="15" w:type="dxa"/>
              <w:right w:w="15" w:type="dxa"/>
            </w:tcMar>
            <w:vAlign w:val="center"/>
          </w:tcPr>
          <w:p w14:paraId="3E5C51CE">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0.004L</w:t>
            </w:r>
          </w:p>
        </w:tc>
        <w:tc>
          <w:tcPr>
            <w:tcW w:w="567" w:type="dxa"/>
            <w:noWrap w:val="0"/>
            <w:tcMar>
              <w:top w:w="15" w:type="dxa"/>
              <w:left w:w="15" w:type="dxa"/>
              <w:bottom w:w="15" w:type="dxa"/>
              <w:right w:w="15" w:type="dxa"/>
            </w:tcMar>
            <w:vAlign w:val="center"/>
          </w:tcPr>
          <w:p w14:paraId="13FA00A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0.00009L</w:t>
            </w:r>
          </w:p>
        </w:tc>
        <w:tc>
          <w:tcPr>
            <w:tcW w:w="567" w:type="dxa"/>
            <w:noWrap w:val="0"/>
            <w:tcMar>
              <w:top w:w="15" w:type="dxa"/>
              <w:left w:w="15" w:type="dxa"/>
              <w:bottom w:w="15" w:type="dxa"/>
              <w:right w:w="15" w:type="dxa"/>
            </w:tcMar>
            <w:vAlign w:val="center"/>
          </w:tcPr>
          <w:p w14:paraId="0DE075F0">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0.001L</w:t>
            </w:r>
          </w:p>
        </w:tc>
        <w:tc>
          <w:tcPr>
            <w:tcW w:w="567" w:type="dxa"/>
            <w:noWrap w:val="0"/>
            <w:tcMar>
              <w:top w:w="15" w:type="dxa"/>
              <w:left w:w="15" w:type="dxa"/>
              <w:bottom w:w="15" w:type="dxa"/>
              <w:right w:w="15" w:type="dxa"/>
            </w:tcMar>
            <w:vAlign w:val="center"/>
          </w:tcPr>
          <w:p w14:paraId="3E842C3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0.0003L</w:t>
            </w:r>
          </w:p>
        </w:tc>
        <w:tc>
          <w:tcPr>
            <w:tcW w:w="567" w:type="dxa"/>
            <w:noWrap w:val="0"/>
            <w:tcMar>
              <w:top w:w="15" w:type="dxa"/>
              <w:left w:w="15" w:type="dxa"/>
              <w:bottom w:w="15" w:type="dxa"/>
              <w:right w:w="15" w:type="dxa"/>
            </w:tcMar>
            <w:vAlign w:val="center"/>
          </w:tcPr>
          <w:p w14:paraId="3F2AEE6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567" w:type="dxa"/>
            <w:noWrap w:val="0"/>
            <w:tcMar>
              <w:top w:w="15" w:type="dxa"/>
              <w:left w:w="15" w:type="dxa"/>
              <w:bottom w:w="15" w:type="dxa"/>
              <w:right w:w="15" w:type="dxa"/>
            </w:tcMar>
            <w:vAlign w:val="center"/>
          </w:tcPr>
          <w:p w14:paraId="0FC0DAF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0.17</w:t>
            </w:r>
          </w:p>
        </w:tc>
        <w:tc>
          <w:tcPr>
            <w:tcW w:w="567" w:type="dxa"/>
            <w:noWrap w:val="0"/>
            <w:tcMar>
              <w:top w:w="15" w:type="dxa"/>
              <w:left w:w="15" w:type="dxa"/>
              <w:bottom w:w="15" w:type="dxa"/>
              <w:right w:w="15" w:type="dxa"/>
            </w:tcMar>
            <w:vAlign w:val="center"/>
          </w:tcPr>
          <w:p w14:paraId="07AA7A1E">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491" w:type="dxa"/>
            <w:noWrap w:val="0"/>
            <w:vAlign w:val="center"/>
          </w:tcPr>
          <w:p w14:paraId="69DDD1FE">
            <w:pPr>
              <w:widowControl w:val="0"/>
              <w:snapToGrid w:val="0"/>
              <w:spacing w:line="240" w:lineRule="auto"/>
              <w:ind w:firstLine="0" w:firstLineChars="0"/>
              <w:jc w:val="center"/>
              <w:rPr>
                <w:rFonts w:hint="eastAsia"/>
                <w:color w:val="000000"/>
                <w:kern w:val="0"/>
                <w:sz w:val="13"/>
                <w:szCs w:val="13"/>
                <w:u w:val="none"/>
                <w:lang w:bidi="ar"/>
              </w:rPr>
            </w:pPr>
            <w:r>
              <w:rPr>
                <w:rFonts w:hint="eastAsia"/>
                <w:color w:val="000000"/>
                <w:kern w:val="0"/>
                <w:sz w:val="13"/>
                <w:szCs w:val="13"/>
                <w:u w:val="none"/>
                <w:lang w:val="en-US" w:eastAsia="zh-CN" w:bidi="ar"/>
              </w:rPr>
              <w:t>劣Ⅴ类</w:t>
            </w:r>
          </w:p>
        </w:tc>
        <w:tc>
          <w:tcPr>
            <w:tcW w:w="1145" w:type="dxa"/>
            <w:noWrap w:val="0"/>
            <w:vAlign w:val="center"/>
          </w:tcPr>
          <w:p w14:paraId="6CD1F93F">
            <w:pPr>
              <w:widowControl w:val="0"/>
              <w:snapToGrid w:val="0"/>
              <w:spacing w:line="240" w:lineRule="auto"/>
              <w:ind w:firstLine="0" w:firstLineChars="0"/>
              <w:jc w:val="center"/>
              <w:rPr>
                <w:rFonts w:hint="eastAsia"/>
                <w:color w:val="000000"/>
                <w:kern w:val="0"/>
                <w:sz w:val="13"/>
                <w:szCs w:val="13"/>
                <w:u w:val="none"/>
                <w:lang w:bidi="ar"/>
              </w:rPr>
            </w:pPr>
            <w:r>
              <w:rPr>
                <w:rFonts w:hint="eastAsia"/>
                <w:color w:val="000000"/>
                <w:kern w:val="0"/>
                <w:sz w:val="13"/>
                <w:szCs w:val="13"/>
                <w:u w:val="none"/>
                <w:lang w:val="en-US" w:eastAsia="zh-CN" w:bidi="ar"/>
              </w:rPr>
              <w:t>氨氮(劣Ⅴ类)1.0,总磷(Ⅳ类)0.1</w:t>
            </w:r>
          </w:p>
        </w:tc>
      </w:tr>
      <w:tr w14:paraId="797498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978" w:type="dxa"/>
            <w:tcBorders>
              <w:left w:val="single" w:color="auto" w:sz="4" w:space="0"/>
            </w:tcBorders>
            <w:noWrap w:val="0"/>
            <w:vAlign w:val="center"/>
          </w:tcPr>
          <w:p w14:paraId="4AAAB706">
            <w:pPr>
              <w:widowControl w:val="0"/>
              <w:snapToGrid w:val="0"/>
              <w:spacing w:line="240" w:lineRule="auto"/>
              <w:ind w:firstLine="0" w:firstLineChars="0"/>
              <w:jc w:val="center"/>
              <w:textAlignment w:val="center"/>
              <w:rPr>
                <w:color w:val="000000"/>
                <w:kern w:val="0"/>
                <w:sz w:val="13"/>
                <w:szCs w:val="13"/>
                <w:u w:val="none"/>
                <w:lang w:bidi="ar"/>
              </w:rPr>
            </w:pPr>
            <w:r>
              <w:rPr>
                <w:color w:val="000000"/>
                <w:kern w:val="0"/>
                <w:sz w:val="13"/>
                <w:szCs w:val="13"/>
                <w:u w:val="none"/>
                <w:lang w:bidi="ar"/>
              </w:rPr>
              <w:t>202</w:t>
            </w:r>
            <w:r>
              <w:rPr>
                <w:rFonts w:hint="eastAsia"/>
                <w:color w:val="000000"/>
                <w:kern w:val="0"/>
                <w:sz w:val="13"/>
                <w:szCs w:val="13"/>
                <w:u w:val="none"/>
                <w:lang w:val="en-US" w:eastAsia="zh-CN" w:bidi="ar"/>
              </w:rPr>
              <w:t>4</w:t>
            </w:r>
            <w:r>
              <w:rPr>
                <w:rFonts w:hint="eastAsia"/>
                <w:color w:val="000000"/>
                <w:kern w:val="0"/>
                <w:sz w:val="13"/>
                <w:szCs w:val="13"/>
                <w:u w:val="none"/>
                <w:lang w:bidi="ar"/>
              </w:rPr>
              <w:t>年</w:t>
            </w:r>
            <w:r>
              <w:rPr>
                <w:color w:val="000000"/>
                <w:kern w:val="0"/>
                <w:sz w:val="13"/>
                <w:szCs w:val="13"/>
                <w:u w:val="none"/>
                <w:lang w:bidi="ar"/>
              </w:rPr>
              <w:t>2</w:t>
            </w:r>
            <w:r>
              <w:rPr>
                <w:rFonts w:hint="eastAsia"/>
                <w:color w:val="000000"/>
                <w:kern w:val="0"/>
                <w:sz w:val="13"/>
                <w:szCs w:val="13"/>
                <w:u w:val="none"/>
                <w:lang w:bidi="ar"/>
              </w:rPr>
              <w:t>月</w:t>
            </w:r>
          </w:p>
        </w:tc>
        <w:tc>
          <w:tcPr>
            <w:tcW w:w="567" w:type="dxa"/>
            <w:noWrap w:val="0"/>
            <w:tcMar>
              <w:top w:w="15" w:type="dxa"/>
              <w:left w:w="15" w:type="dxa"/>
              <w:bottom w:w="15" w:type="dxa"/>
              <w:right w:w="15" w:type="dxa"/>
            </w:tcMar>
            <w:vAlign w:val="center"/>
          </w:tcPr>
          <w:p w14:paraId="7DD41A09">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9</w:t>
            </w:r>
          </w:p>
        </w:tc>
        <w:tc>
          <w:tcPr>
            <w:tcW w:w="567" w:type="dxa"/>
            <w:noWrap w:val="0"/>
            <w:tcMar>
              <w:top w:w="15" w:type="dxa"/>
              <w:left w:w="15" w:type="dxa"/>
              <w:bottom w:w="15" w:type="dxa"/>
              <w:right w:w="15" w:type="dxa"/>
            </w:tcMar>
            <w:vAlign w:val="center"/>
          </w:tcPr>
          <w:p w14:paraId="04509DF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8.9</w:t>
            </w:r>
          </w:p>
        </w:tc>
        <w:tc>
          <w:tcPr>
            <w:tcW w:w="567" w:type="dxa"/>
            <w:noWrap w:val="0"/>
            <w:tcMar>
              <w:top w:w="15" w:type="dxa"/>
              <w:left w:w="15" w:type="dxa"/>
              <w:bottom w:w="15" w:type="dxa"/>
              <w:right w:w="15" w:type="dxa"/>
            </w:tcMar>
            <w:vAlign w:val="center"/>
          </w:tcPr>
          <w:p w14:paraId="138A12A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1.8</w:t>
            </w:r>
          </w:p>
        </w:tc>
        <w:tc>
          <w:tcPr>
            <w:tcW w:w="567" w:type="dxa"/>
            <w:noWrap w:val="0"/>
            <w:tcMar>
              <w:top w:w="15" w:type="dxa"/>
              <w:left w:w="15" w:type="dxa"/>
              <w:bottom w:w="15" w:type="dxa"/>
              <w:right w:w="15" w:type="dxa"/>
            </w:tcMar>
            <w:vAlign w:val="center"/>
          </w:tcPr>
          <w:p w14:paraId="3D42AB65">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7</w:t>
            </w:r>
          </w:p>
        </w:tc>
        <w:tc>
          <w:tcPr>
            <w:tcW w:w="567" w:type="dxa"/>
            <w:noWrap w:val="0"/>
            <w:tcMar>
              <w:top w:w="15" w:type="dxa"/>
              <w:left w:w="15" w:type="dxa"/>
              <w:bottom w:w="15" w:type="dxa"/>
              <w:right w:w="15" w:type="dxa"/>
            </w:tcMar>
            <w:vAlign w:val="center"/>
          </w:tcPr>
          <w:p w14:paraId="1F077DA3">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3.8</w:t>
            </w:r>
          </w:p>
        </w:tc>
        <w:tc>
          <w:tcPr>
            <w:tcW w:w="567" w:type="dxa"/>
            <w:noWrap w:val="0"/>
            <w:tcMar>
              <w:top w:w="15" w:type="dxa"/>
              <w:left w:w="15" w:type="dxa"/>
              <w:bottom w:w="15" w:type="dxa"/>
              <w:right w:w="15" w:type="dxa"/>
            </w:tcMar>
            <w:vAlign w:val="center"/>
          </w:tcPr>
          <w:p w14:paraId="7968F4BF">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1.13</w:t>
            </w:r>
          </w:p>
        </w:tc>
        <w:tc>
          <w:tcPr>
            <w:tcW w:w="567" w:type="dxa"/>
            <w:noWrap w:val="0"/>
            <w:tcMar>
              <w:top w:w="15" w:type="dxa"/>
              <w:left w:w="15" w:type="dxa"/>
              <w:bottom w:w="15" w:type="dxa"/>
              <w:right w:w="15" w:type="dxa"/>
            </w:tcMar>
            <w:vAlign w:val="center"/>
          </w:tcPr>
          <w:p w14:paraId="757290B5">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0.11</w:t>
            </w:r>
          </w:p>
        </w:tc>
        <w:tc>
          <w:tcPr>
            <w:tcW w:w="567" w:type="dxa"/>
            <w:noWrap w:val="0"/>
            <w:tcMar>
              <w:top w:w="15" w:type="dxa"/>
              <w:left w:w="15" w:type="dxa"/>
              <w:bottom w:w="15" w:type="dxa"/>
              <w:right w:w="15" w:type="dxa"/>
            </w:tcMar>
            <w:vAlign w:val="center"/>
          </w:tcPr>
          <w:p w14:paraId="54E4E427">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0.001L</w:t>
            </w:r>
          </w:p>
        </w:tc>
        <w:tc>
          <w:tcPr>
            <w:tcW w:w="567" w:type="dxa"/>
            <w:noWrap w:val="0"/>
            <w:tcMar>
              <w:top w:w="15" w:type="dxa"/>
              <w:left w:w="15" w:type="dxa"/>
              <w:bottom w:w="15" w:type="dxa"/>
              <w:right w:w="15" w:type="dxa"/>
            </w:tcMar>
            <w:vAlign w:val="center"/>
          </w:tcPr>
          <w:p w14:paraId="65AE58B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0.05L</w:t>
            </w:r>
          </w:p>
        </w:tc>
        <w:tc>
          <w:tcPr>
            <w:tcW w:w="567" w:type="dxa"/>
            <w:noWrap w:val="0"/>
            <w:tcMar>
              <w:top w:w="15" w:type="dxa"/>
              <w:left w:w="15" w:type="dxa"/>
              <w:bottom w:w="15" w:type="dxa"/>
              <w:right w:w="15" w:type="dxa"/>
            </w:tcMar>
            <w:vAlign w:val="center"/>
          </w:tcPr>
          <w:p w14:paraId="014D9A67">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0.101</w:t>
            </w:r>
          </w:p>
        </w:tc>
        <w:tc>
          <w:tcPr>
            <w:tcW w:w="567" w:type="dxa"/>
            <w:noWrap w:val="0"/>
            <w:tcMar>
              <w:top w:w="15" w:type="dxa"/>
              <w:left w:w="15" w:type="dxa"/>
              <w:bottom w:w="15" w:type="dxa"/>
              <w:right w:w="15" w:type="dxa"/>
            </w:tcMar>
            <w:vAlign w:val="center"/>
          </w:tcPr>
          <w:p w14:paraId="29D40B0B">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0.0004L</w:t>
            </w:r>
          </w:p>
        </w:tc>
        <w:tc>
          <w:tcPr>
            <w:tcW w:w="567" w:type="dxa"/>
            <w:noWrap w:val="0"/>
            <w:tcMar>
              <w:top w:w="15" w:type="dxa"/>
              <w:left w:w="15" w:type="dxa"/>
              <w:bottom w:w="15" w:type="dxa"/>
              <w:right w:w="15" w:type="dxa"/>
            </w:tcMar>
            <w:vAlign w:val="center"/>
          </w:tcPr>
          <w:p w14:paraId="5DA4F6A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w:t>
            </w:r>
          </w:p>
        </w:tc>
        <w:tc>
          <w:tcPr>
            <w:tcW w:w="567" w:type="dxa"/>
            <w:noWrap w:val="0"/>
            <w:tcMar>
              <w:top w:w="15" w:type="dxa"/>
              <w:left w:w="15" w:type="dxa"/>
              <w:bottom w:w="15" w:type="dxa"/>
              <w:right w:w="15" w:type="dxa"/>
            </w:tcMar>
            <w:vAlign w:val="center"/>
          </w:tcPr>
          <w:p w14:paraId="5320B32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0.00004L</w:t>
            </w:r>
          </w:p>
        </w:tc>
        <w:tc>
          <w:tcPr>
            <w:tcW w:w="567" w:type="dxa"/>
            <w:noWrap w:val="0"/>
            <w:tcMar>
              <w:top w:w="15" w:type="dxa"/>
              <w:left w:w="15" w:type="dxa"/>
              <w:bottom w:w="15" w:type="dxa"/>
              <w:right w:w="15" w:type="dxa"/>
            </w:tcMar>
            <w:vAlign w:val="center"/>
          </w:tcPr>
          <w:p w14:paraId="7EDBBB60">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0.0001L</w:t>
            </w:r>
          </w:p>
        </w:tc>
        <w:tc>
          <w:tcPr>
            <w:tcW w:w="567" w:type="dxa"/>
            <w:noWrap w:val="0"/>
            <w:tcMar>
              <w:top w:w="15" w:type="dxa"/>
              <w:left w:w="15" w:type="dxa"/>
              <w:bottom w:w="15" w:type="dxa"/>
              <w:right w:w="15" w:type="dxa"/>
            </w:tcMar>
            <w:vAlign w:val="center"/>
          </w:tcPr>
          <w:p w14:paraId="0DDE2967">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0.004L</w:t>
            </w:r>
          </w:p>
        </w:tc>
        <w:tc>
          <w:tcPr>
            <w:tcW w:w="567" w:type="dxa"/>
            <w:noWrap w:val="0"/>
            <w:tcMar>
              <w:top w:w="15" w:type="dxa"/>
              <w:left w:w="15" w:type="dxa"/>
              <w:bottom w:w="15" w:type="dxa"/>
              <w:right w:w="15" w:type="dxa"/>
            </w:tcMar>
            <w:vAlign w:val="center"/>
          </w:tcPr>
          <w:p w14:paraId="7688F350">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0.002L</w:t>
            </w:r>
          </w:p>
        </w:tc>
        <w:tc>
          <w:tcPr>
            <w:tcW w:w="567" w:type="dxa"/>
            <w:noWrap w:val="0"/>
            <w:tcMar>
              <w:top w:w="15" w:type="dxa"/>
              <w:left w:w="15" w:type="dxa"/>
              <w:bottom w:w="15" w:type="dxa"/>
              <w:right w:w="15" w:type="dxa"/>
            </w:tcMar>
            <w:vAlign w:val="center"/>
          </w:tcPr>
          <w:p w14:paraId="3E5A8A3A">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0.001L</w:t>
            </w:r>
          </w:p>
        </w:tc>
        <w:tc>
          <w:tcPr>
            <w:tcW w:w="567" w:type="dxa"/>
            <w:noWrap w:val="0"/>
            <w:tcMar>
              <w:top w:w="15" w:type="dxa"/>
              <w:left w:w="15" w:type="dxa"/>
              <w:bottom w:w="15" w:type="dxa"/>
              <w:right w:w="15" w:type="dxa"/>
            </w:tcMar>
            <w:vAlign w:val="center"/>
          </w:tcPr>
          <w:p w14:paraId="363432D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0.0003L</w:t>
            </w:r>
          </w:p>
        </w:tc>
        <w:tc>
          <w:tcPr>
            <w:tcW w:w="567" w:type="dxa"/>
            <w:noWrap w:val="0"/>
            <w:tcMar>
              <w:top w:w="15" w:type="dxa"/>
              <w:left w:w="15" w:type="dxa"/>
              <w:bottom w:w="15" w:type="dxa"/>
              <w:right w:w="15" w:type="dxa"/>
            </w:tcMar>
            <w:vAlign w:val="center"/>
          </w:tcPr>
          <w:p w14:paraId="6E41321F">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567" w:type="dxa"/>
            <w:noWrap w:val="0"/>
            <w:tcMar>
              <w:top w:w="15" w:type="dxa"/>
              <w:left w:w="15" w:type="dxa"/>
              <w:bottom w:w="15" w:type="dxa"/>
              <w:right w:w="15" w:type="dxa"/>
            </w:tcMar>
            <w:vAlign w:val="center"/>
          </w:tcPr>
          <w:p w14:paraId="46489576">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0.11</w:t>
            </w:r>
          </w:p>
        </w:tc>
        <w:tc>
          <w:tcPr>
            <w:tcW w:w="567" w:type="dxa"/>
            <w:noWrap w:val="0"/>
            <w:tcMar>
              <w:top w:w="15" w:type="dxa"/>
              <w:left w:w="15" w:type="dxa"/>
              <w:bottom w:w="15" w:type="dxa"/>
              <w:right w:w="15" w:type="dxa"/>
            </w:tcMar>
            <w:vAlign w:val="center"/>
          </w:tcPr>
          <w:p w14:paraId="013DC5C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491" w:type="dxa"/>
            <w:noWrap w:val="0"/>
            <w:vAlign w:val="center"/>
          </w:tcPr>
          <w:p w14:paraId="5C5EAB8B">
            <w:pPr>
              <w:widowControl w:val="0"/>
              <w:snapToGrid w:val="0"/>
              <w:spacing w:line="240" w:lineRule="auto"/>
              <w:ind w:firstLine="0" w:firstLineChars="0"/>
              <w:jc w:val="center"/>
              <w:rPr>
                <w:rFonts w:hint="eastAsia"/>
                <w:color w:val="000000"/>
                <w:kern w:val="0"/>
                <w:sz w:val="13"/>
                <w:szCs w:val="13"/>
                <w:u w:val="none"/>
                <w:lang w:bidi="ar"/>
              </w:rPr>
            </w:pPr>
            <w:r>
              <w:rPr>
                <w:rFonts w:hint="eastAsia"/>
                <w:color w:val="000000"/>
                <w:kern w:val="0"/>
                <w:sz w:val="13"/>
                <w:szCs w:val="13"/>
                <w:u w:val="none"/>
                <w:lang w:val="en-US" w:eastAsia="zh-CN" w:bidi="ar"/>
              </w:rPr>
              <w:t>Ⅳ类</w:t>
            </w:r>
          </w:p>
        </w:tc>
        <w:tc>
          <w:tcPr>
            <w:tcW w:w="1145" w:type="dxa"/>
            <w:noWrap w:val="0"/>
            <w:vAlign w:val="center"/>
          </w:tcPr>
          <w:p w14:paraId="19EF9D81">
            <w:pPr>
              <w:widowControl w:val="0"/>
              <w:snapToGrid w:val="0"/>
              <w:spacing w:line="240" w:lineRule="auto"/>
              <w:ind w:firstLine="0" w:firstLineChars="0"/>
              <w:jc w:val="center"/>
              <w:rPr>
                <w:rFonts w:hint="eastAsia"/>
                <w:color w:val="000000"/>
                <w:kern w:val="0"/>
                <w:sz w:val="13"/>
                <w:szCs w:val="13"/>
                <w:u w:val="none"/>
                <w:lang w:bidi="ar"/>
              </w:rPr>
            </w:pPr>
            <w:r>
              <w:rPr>
                <w:rFonts w:hint="eastAsia"/>
                <w:color w:val="000000"/>
                <w:kern w:val="0"/>
                <w:sz w:val="13"/>
                <w:szCs w:val="13"/>
                <w:u w:val="none"/>
                <w:lang w:val="en-US" w:eastAsia="zh-CN" w:bidi="ar"/>
              </w:rPr>
              <w:t>氨氮(Ⅳ类)0.1</w:t>
            </w:r>
          </w:p>
        </w:tc>
      </w:tr>
      <w:tr w14:paraId="3402108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8" w:hRule="atLeast"/>
        </w:trPr>
        <w:tc>
          <w:tcPr>
            <w:tcW w:w="978" w:type="dxa"/>
            <w:tcBorders>
              <w:left w:val="single" w:color="auto" w:sz="4" w:space="0"/>
            </w:tcBorders>
            <w:noWrap w:val="0"/>
            <w:vAlign w:val="center"/>
          </w:tcPr>
          <w:p w14:paraId="63BFEB24">
            <w:pPr>
              <w:widowControl w:val="0"/>
              <w:snapToGrid w:val="0"/>
              <w:spacing w:line="240" w:lineRule="auto"/>
              <w:ind w:firstLine="0" w:firstLineChars="0"/>
              <w:jc w:val="center"/>
              <w:textAlignment w:val="center"/>
              <w:rPr>
                <w:color w:val="000000"/>
                <w:kern w:val="0"/>
                <w:sz w:val="13"/>
                <w:szCs w:val="13"/>
                <w:u w:val="none"/>
                <w:lang w:bidi="ar"/>
              </w:rPr>
            </w:pPr>
            <w:r>
              <w:rPr>
                <w:color w:val="000000"/>
                <w:kern w:val="0"/>
                <w:sz w:val="13"/>
                <w:szCs w:val="13"/>
                <w:u w:val="none"/>
                <w:lang w:bidi="ar"/>
              </w:rPr>
              <w:t>202</w:t>
            </w:r>
            <w:r>
              <w:rPr>
                <w:rFonts w:hint="eastAsia"/>
                <w:color w:val="000000"/>
                <w:kern w:val="0"/>
                <w:sz w:val="13"/>
                <w:szCs w:val="13"/>
                <w:u w:val="none"/>
                <w:lang w:val="en-US" w:eastAsia="zh-CN" w:bidi="ar"/>
              </w:rPr>
              <w:t>4</w:t>
            </w:r>
            <w:r>
              <w:rPr>
                <w:rFonts w:hint="eastAsia"/>
                <w:color w:val="000000"/>
                <w:kern w:val="0"/>
                <w:sz w:val="13"/>
                <w:szCs w:val="13"/>
                <w:u w:val="none"/>
                <w:lang w:bidi="ar"/>
              </w:rPr>
              <w:t>年</w:t>
            </w:r>
            <w:r>
              <w:rPr>
                <w:color w:val="000000"/>
                <w:kern w:val="0"/>
                <w:sz w:val="13"/>
                <w:szCs w:val="13"/>
                <w:u w:val="none"/>
                <w:lang w:bidi="ar"/>
              </w:rPr>
              <w:t>3</w:t>
            </w:r>
            <w:r>
              <w:rPr>
                <w:rFonts w:hint="eastAsia"/>
                <w:color w:val="000000"/>
                <w:kern w:val="0"/>
                <w:sz w:val="13"/>
                <w:szCs w:val="13"/>
                <w:u w:val="none"/>
                <w:lang w:bidi="ar"/>
              </w:rPr>
              <w:t>月</w:t>
            </w:r>
          </w:p>
        </w:tc>
        <w:tc>
          <w:tcPr>
            <w:tcW w:w="567" w:type="dxa"/>
            <w:noWrap w:val="0"/>
            <w:tcMar>
              <w:top w:w="15" w:type="dxa"/>
              <w:left w:w="15" w:type="dxa"/>
              <w:bottom w:w="15" w:type="dxa"/>
              <w:right w:w="15" w:type="dxa"/>
            </w:tcMar>
            <w:vAlign w:val="center"/>
          </w:tcPr>
          <w:p w14:paraId="4EC2829A">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8</w:t>
            </w:r>
          </w:p>
        </w:tc>
        <w:tc>
          <w:tcPr>
            <w:tcW w:w="567" w:type="dxa"/>
            <w:noWrap w:val="0"/>
            <w:tcMar>
              <w:top w:w="15" w:type="dxa"/>
              <w:left w:w="15" w:type="dxa"/>
              <w:bottom w:w="15" w:type="dxa"/>
              <w:right w:w="15" w:type="dxa"/>
            </w:tcMar>
            <w:vAlign w:val="center"/>
          </w:tcPr>
          <w:p w14:paraId="7C48F291">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9.5</w:t>
            </w:r>
          </w:p>
        </w:tc>
        <w:tc>
          <w:tcPr>
            <w:tcW w:w="567" w:type="dxa"/>
            <w:noWrap w:val="0"/>
            <w:tcMar>
              <w:top w:w="15" w:type="dxa"/>
              <w:left w:w="15" w:type="dxa"/>
              <w:bottom w:w="15" w:type="dxa"/>
              <w:right w:w="15" w:type="dxa"/>
            </w:tcMar>
            <w:vAlign w:val="center"/>
          </w:tcPr>
          <w:p w14:paraId="3BE7B22B">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1.7</w:t>
            </w:r>
          </w:p>
        </w:tc>
        <w:tc>
          <w:tcPr>
            <w:tcW w:w="567" w:type="dxa"/>
            <w:noWrap w:val="0"/>
            <w:tcMar>
              <w:top w:w="15" w:type="dxa"/>
              <w:left w:w="15" w:type="dxa"/>
              <w:bottom w:w="15" w:type="dxa"/>
              <w:right w:w="15" w:type="dxa"/>
            </w:tcMar>
            <w:vAlign w:val="center"/>
          </w:tcPr>
          <w:p w14:paraId="2145AFC6">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15</w:t>
            </w:r>
          </w:p>
        </w:tc>
        <w:tc>
          <w:tcPr>
            <w:tcW w:w="567" w:type="dxa"/>
            <w:noWrap w:val="0"/>
            <w:tcMar>
              <w:top w:w="15" w:type="dxa"/>
              <w:left w:w="15" w:type="dxa"/>
              <w:bottom w:w="15" w:type="dxa"/>
              <w:right w:w="15" w:type="dxa"/>
            </w:tcMar>
            <w:vAlign w:val="center"/>
          </w:tcPr>
          <w:p w14:paraId="012E0656">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3.1</w:t>
            </w:r>
          </w:p>
        </w:tc>
        <w:tc>
          <w:tcPr>
            <w:tcW w:w="567" w:type="dxa"/>
            <w:noWrap w:val="0"/>
            <w:tcMar>
              <w:top w:w="15" w:type="dxa"/>
              <w:left w:w="15" w:type="dxa"/>
              <w:bottom w:w="15" w:type="dxa"/>
              <w:right w:w="15" w:type="dxa"/>
            </w:tcMar>
            <w:vAlign w:val="center"/>
          </w:tcPr>
          <w:p w14:paraId="6F774BF7">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0.91</w:t>
            </w:r>
          </w:p>
        </w:tc>
        <w:tc>
          <w:tcPr>
            <w:tcW w:w="567" w:type="dxa"/>
            <w:noWrap w:val="0"/>
            <w:tcMar>
              <w:top w:w="15" w:type="dxa"/>
              <w:left w:w="15" w:type="dxa"/>
              <w:bottom w:w="15" w:type="dxa"/>
              <w:right w:w="15" w:type="dxa"/>
            </w:tcMar>
            <w:vAlign w:val="center"/>
          </w:tcPr>
          <w:p w14:paraId="4FCAB645">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0.07</w:t>
            </w:r>
          </w:p>
        </w:tc>
        <w:tc>
          <w:tcPr>
            <w:tcW w:w="567" w:type="dxa"/>
            <w:noWrap w:val="0"/>
            <w:tcMar>
              <w:top w:w="15" w:type="dxa"/>
              <w:left w:w="15" w:type="dxa"/>
              <w:bottom w:w="15" w:type="dxa"/>
              <w:right w:w="15" w:type="dxa"/>
            </w:tcMar>
            <w:vAlign w:val="center"/>
          </w:tcPr>
          <w:p w14:paraId="4442CCE2">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0.00008L</w:t>
            </w:r>
          </w:p>
        </w:tc>
        <w:tc>
          <w:tcPr>
            <w:tcW w:w="567" w:type="dxa"/>
            <w:noWrap w:val="0"/>
            <w:tcMar>
              <w:top w:w="15" w:type="dxa"/>
              <w:left w:w="15" w:type="dxa"/>
              <w:bottom w:w="15" w:type="dxa"/>
              <w:right w:w="15" w:type="dxa"/>
            </w:tcMar>
            <w:vAlign w:val="center"/>
          </w:tcPr>
          <w:p w14:paraId="2492BE96">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0.001</w:t>
            </w:r>
          </w:p>
        </w:tc>
        <w:tc>
          <w:tcPr>
            <w:tcW w:w="567" w:type="dxa"/>
            <w:noWrap w:val="0"/>
            <w:tcMar>
              <w:top w:w="15" w:type="dxa"/>
              <w:left w:w="15" w:type="dxa"/>
              <w:bottom w:w="15" w:type="dxa"/>
              <w:right w:w="15" w:type="dxa"/>
            </w:tcMar>
            <w:vAlign w:val="center"/>
          </w:tcPr>
          <w:p w14:paraId="0ED8DFC0">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0.097</w:t>
            </w:r>
          </w:p>
        </w:tc>
        <w:tc>
          <w:tcPr>
            <w:tcW w:w="567" w:type="dxa"/>
            <w:noWrap w:val="0"/>
            <w:tcMar>
              <w:top w:w="15" w:type="dxa"/>
              <w:left w:w="15" w:type="dxa"/>
              <w:bottom w:w="15" w:type="dxa"/>
              <w:right w:w="15" w:type="dxa"/>
            </w:tcMar>
            <w:vAlign w:val="center"/>
          </w:tcPr>
          <w:p w14:paraId="011F92C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0.0004L</w:t>
            </w:r>
          </w:p>
        </w:tc>
        <w:tc>
          <w:tcPr>
            <w:tcW w:w="567" w:type="dxa"/>
            <w:noWrap w:val="0"/>
            <w:tcMar>
              <w:top w:w="15" w:type="dxa"/>
              <w:left w:w="15" w:type="dxa"/>
              <w:bottom w:w="15" w:type="dxa"/>
              <w:right w:w="15" w:type="dxa"/>
            </w:tcMar>
            <w:vAlign w:val="center"/>
          </w:tcPr>
          <w:p w14:paraId="49896187">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0.0003L</w:t>
            </w:r>
          </w:p>
        </w:tc>
        <w:tc>
          <w:tcPr>
            <w:tcW w:w="567" w:type="dxa"/>
            <w:noWrap w:val="0"/>
            <w:tcMar>
              <w:top w:w="15" w:type="dxa"/>
              <w:left w:w="15" w:type="dxa"/>
              <w:bottom w:w="15" w:type="dxa"/>
              <w:right w:w="15" w:type="dxa"/>
            </w:tcMar>
            <w:vAlign w:val="center"/>
          </w:tcPr>
          <w:p w14:paraId="04B877F4">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0.00004L</w:t>
            </w:r>
          </w:p>
        </w:tc>
        <w:tc>
          <w:tcPr>
            <w:tcW w:w="567" w:type="dxa"/>
            <w:noWrap w:val="0"/>
            <w:tcMar>
              <w:top w:w="15" w:type="dxa"/>
              <w:left w:w="15" w:type="dxa"/>
              <w:bottom w:w="15" w:type="dxa"/>
              <w:right w:w="15" w:type="dxa"/>
            </w:tcMar>
            <w:vAlign w:val="center"/>
          </w:tcPr>
          <w:p w14:paraId="6B2B6EDF">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0.00005L</w:t>
            </w:r>
          </w:p>
        </w:tc>
        <w:tc>
          <w:tcPr>
            <w:tcW w:w="567" w:type="dxa"/>
            <w:noWrap w:val="0"/>
            <w:tcMar>
              <w:top w:w="15" w:type="dxa"/>
              <w:left w:w="15" w:type="dxa"/>
              <w:bottom w:w="15" w:type="dxa"/>
              <w:right w:w="15" w:type="dxa"/>
            </w:tcMar>
            <w:vAlign w:val="center"/>
          </w:tcPr>
          <w:p w14:paraId="3D47DE5E">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0.004L</w:t>
            </w:r>
          </w:p>
        </w:tc>
        <w:tc>
          <w:tcPr>
            <w:tcW w:w="567" w:type="dxa"/>
            <w:noWrap w:val="0"/>
            <w:tcMar>
              <w:top w:w="15" w:type="dxa"/>
              <w:left w:w="15" w:type="dxa"/>
              <w:bottom w:w="15" w:type="dxa"/>
              <w:right w:w="15" w:type="dxa"/>
            </w:tcMar>
            <w:vAlign w:val="center"/>
          </w:tcPr>
          <w:p w14:paraId="1F7A8FEF">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0.00009L</w:t>
            </w:r>
          </w:p>
        </w:tc>
        <w:tc>
          <w:tcPr>
            <w:tcW w:w="567" w:type="dxa"/>
            <w:noWrap w:val="0"/>
            <w:tcMar>
              <w:top w:w="15" w:type="dxa"/>
              <w:left w:w="15" w:type="dxa"/>
              <w:bottom w:w="15" w:type="dxa"/>
              <w:right w:w="15" w:type="dxa"/>
            </w:tcMar>
            <w:vAlign w:val="center"/>
          </w:tcPr>
          <w:p w14:paraId="0D867D25">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0.001L</w:t>
            </w:r>
          </w:p>
        </w:tc>
        <w:tc>
          <w:tcPr>
            <w:tcW w:w="567" w:type="dxa"/>
            <w:noWrap w:val="0"/>
            <w:tcMar>
              <w:top w:w="15" w:type="dxa"/>
              <w:left w:w="15" w:type="dxa"/>
              <w:bottom w:w="15" w:type="dxa"/>
              <w:right w:w="15" w:type="dxa"/>
            </w:tcMar>
            <w:vAlign w:val="center"/>
          </w:tcPr>
          <w:p w14:paraId="2FCECEAB">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0.0003L</w:t>
            </w:r>
          </w:p>
        </w:tc>
        <w:tc>
          <w:tcPr>
            <w:tcW w:w="567" w:type="dxa"/>
            <w:noWrap w:val="0"/>
            <w:tcMar>
              <w:top w:w="15" w:type="dxa"/>
              <w:left w:w="15" w:type="dxa"/>
              <w:bottom w:w="15" w:type="dxa"/>
              <w:right w:w="15" w:type="dxa"/>
            </w:tcMar>
            <w:vAlign w:val="center"/>
          </w:tcPr>
          <w:p w14:paraId="5023D68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567" w:type="dxa"/>
            <w:noWrap w:val="0"/>
            <w:tcMar>
              <w:top w:w="15" w:type="dxa"/>
              <w:left w:w="15" w:type="dxa"/>
              <w:bottom w:w="15" w:type="dxa"/>
              <w:right w:w="15" w:type="dxa"/>
            </w:tcMar>
            <w:vAlign w:val="center"/>
          </w:tcPr>
          <w:p w14:paraId="01E3FD4C">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0.1</w:t>
            </w:r>
          </w:p>
        </w:tc>
        <w:tc>
          <w:tcPr>
            <w:tcW w:w="567" w:type="dxa"/>
            <w:noWrap w:val="0"/>
            <w:tcMar>
              <w:top w:w="15" w:type="dxa"/>
              <w:left w:w="15" w:type="dxa"/>
              <w:bottom w:w="15" w:type="dxa"/>
              <w:right w:w="15" w:type="dxa"/>
            </w:tcMar>
            <w:vAlign w:val="center"/>
          </w:tcPr>
          <w:p w14:paraId="78FC905D">
            <w:pPr>
              <w:widowControl w:val="0"/>
              <w:snapToGrid w:val="0"/>
              <w:spacing w:line="240" w:lineRule="auto"/>
              <w:ind w:firstLine="0" w:firstLineChars="0"/>
              <w:jc w:val="center"/>
              <w:rPr>
                <w:rFonts w:hint="eastAsia"/>
                <w:color w:val="000000"/>
                <w:kern w:val="0"/>
                <w:sz w:val="13"/>
                <w:szCs w:val="13"/>
                <w:u w:val="none"/>
                <w:lang w:val="en-US" w:eastAsia="zh-CN" w:bidi="ar"/>
              </w:rPr>
            </w:pPr>
            <w:r>
              <w:rPr>
                <w:rFonts w:hint="eastAsia"/>
                <w:color w:val="000000"/>
                <w:kern w:val="0"/>
                <w:sz w:val="13"/>
                <w:szCs w:val="13"/>
                <w:u w:val="none"/>
                <w:lang w:val="en-US" w:eastAsia="zh-CN" w:bidi="ar"/>
              </w:rPr>
              <w:t>0.01L</w:t>
            </w:r>
          </w:p>
        </w:tc>
        <w:tc>
          <w:tcPr>
            <w:tcW w:w="491" w:type="dxa"/>
            <w:noWrap w:val="0"/>
            <w:vAlign w:val="center"/>
          </w:tcPr>
          <w:p w14:paraId="22385299">
            <w:pPr>
              <w:widowControl w:val="0"/>
              <w:snapToGrid w:val="0"/>
              <w:spacing w:line="240" w:lineRule="auto"/>
              <w:ind w:firstLine="0" w:firstLineChars="0"/>
              <w:jc w:val="center"/>
              <w:rPr>
                <w:rFonts w:hint="eastAsia"/>
                <w:color w:val="000000"/>
                <w:kern w:val="0"/>
                <w:sz w:val="13"/>
                <w:szCs w:val="13"/>
                <w:u w:val="none"/>
                <w:lang w:bidi="ar"/>
              </w:rPr>
            </w:pPr>
            <w:r>
              <w:rPr>
                <w:rFonts w:hint="eastAsia"/>
                <w:color w:val="000000"/>
                <w:kern w:val="0"/>
                <w:sz w:val="13"/>
                <w:szCs w:val="13"/>
                <w:u w:val="none"/>
                <w:lang w:val="en-US" w:eastAsia="zh-CN" w:bidi="ar"/>
              </w:rPr>
              <w:t>Ⅲ类</w:t>
            </w:r>
          </w:p>
        </w:tc>
        <w:tc>
          <w:tcPr>
            <w:tcW w:w="1145" w:type="dxa"/>
            <w:noWrap w:val="0"/>
            <w:vAlign w:val="center"/>
          </w:tcPr>
          <w:p w14:paraId="0C48BC99">
            <w:pPr>
              <w:widowControl w:val="0"/>
              <w:snapToGrid w:val="0"/>
              <w:spacing w:line="240" w:lineRule="auto"/>
              <w:ind w:firstLine="0" w:firstLineChars="0"/>
              <w:jc w:val="center"/>
              <w:rPr>
                <w:rFonts w:hint="eastAsia"/>
                <w:color w:val="000000"/>
                <w:kern w:val="0"/>
                <w:sz w:val="13"/>
                <w:szCs w:val="13"/>
                <w:u w:val="none"/>
                <w:lang w:bidi="ar"/>
              </w:rPr>
            </w:pPr>
          </w:p>
        </w:tc>
      </w:tr>
    </w:tbl>
    <w:p w14:paraId="4A545550">
      <w:pPr>
        <w:autoSpaceDE w:val="0"/>
        <w:autoSpaceDN w:val="0"/>
        <w:adjustRightInd w:val="0"/>
        <w:spacing w:line="360" w:lineRule="auto"/>
        <w:ind w:firstLine="480" w:firstLineChars="200"/>
        <w:rPr>
          <w:rFonts w:hint="eastAsia"/>
          <w:strike w:val="0"/>
          <w:dstrike w:val="0"/>
          <w:color w:val="auto"/>
          <w:kern w:val="0"/>
          <w:sz w:val="24"/>
        </w:rPr>
      </w:pPr>
      <w:r>
        <w:rPr>
          <w:rFonts w:hint="eastAsia"/>
          <w:strike w:val="0"/>
          <w:dstrike w:val="0"/>
          <w:color w:val="auto"/>
          <w:kern w:val="0"/>
          <w:sz w:val="24"/>
        </w:rPr>
        <w:t>由上表可知，跳鱼洞电站断面2023年2月和2024年1月氨氮、总磷超标，2023年4月总磷超标，2024年2月氨氮超标，其他因子均满足《地表水环境质量标准》GB3838-2002的III类标准要求。</w:t>
      </w:r>
    </w:p>
    <w:p w14:paraId="76996943">
      <w:pPr>
        <w:autoSpaceDE w:val="0"/>
        <w:autoSpaceDN w:val="0"/>
        <w:adjustRightInd w:val="0"/>
        <w:spacing w:line="360" w:lineRule="auto"/>
        <w:ind w:firstLine="480" w:firstLineChars="200"/>
        <w:rPr>
          <w:rFonts w:hint="eastAsia"/>
          <w:strike w:val="0"/>
          <w:dstrike w:val="0"/>
          <w:color w:val="auto"/>
          <w:kern w:val="0"/>
          <w:sz w:val="24"/>
        </w:rPr>
      </w:pPr>
      <w:r>
        <w:rPr>
          <w:rFonts w:hint="eastAsia"/>
          <w:strike w:val="0"/>
          <w:dstrike w:val="0"/>
          <w:color w:val="auto"/>
          <w:kern w:val="0"/>
          <w:sz w:val="24"/>
        </w:rPr>
        <w:t>超标原因：现状龙山县城区污水基本上无合理的系统分区， 根据《龙山县城区及里耶镇排水管道普查报告》（2020年7 月），龙山县城区（西至湘鄂路，东至太平山路，北至龙山大道，南至老城路），已建成排水管线约 90km（含沿河截污主管），但基本上为雨污合流管渠。据初步统计，目前龙山县城区的生活污水经 3 条合流管渠汇至果利河沿岸截污主管。部分龙山县老城区生活污水直排入果利河。</w:t>
      </w:r>
    </w:p>
    <w:p w14:paraId="4AFD853D">
      <w:pPr>
        <w:autoSpaceDE w:val="0"/>
        <w:autoSpaceDN w:val="0"/>
        <w:adjustRightInd w:val="0"/>
        <w:spacing w:line="360" w:lineRule="auto"/>
        <w:ind w:firstLine="480" w:firstLineChars="200"/>
        <w:rPr>
          <w:rFonts w:hint="eastAsia"/>
          <w:strike w:val="0"/>
          <w:dstrike w:val="0"/>
          <w:color w:val="auto"/>
          <w:kern w:val="0"/>
          <w:sz w:val="24"/>
        </w:rPr>
      </w:pPr>
      <w:r>
        <w:rPr>
          <w:rFonts w:hint="eastAsia"/>
          <w:strike w:val="0"/>
          <w:dstrike w:val="0"/>
          <w:color w:val="auto"/>
          <w:kern w:val="0"/>
          <w:sz w:val="24"/>
        </w:rPr>
        <w:t>解决办法：目前龙山县住房和城乡建设局已编制《龙山县城区污水处理设施提质增效工程可行性研究报告》，具体建设工程为：分三期实施：一期工程，主要实施龙山县老城区排水管网工程（大成酒店至老人民医院段）；二期工程，主要实施龙山县市民之家至螺蛳滩污水处理厂污水主干管工程，龙山县老城区排水管网工程（汤家沟水库至龙山县第一芙蓉学校段），民安污水处理厂改扩建工程；三期工程，主要实施高铁新城片区污水管网建设及污水处理厂建设工程。待龙山县城区污水处理设施提质增效工程第一期、第二期的管网工程实施，彻底解决龙山县城区雨污合流、污水收集不到位的问题；待第二期民安污水处理厂改扩建工程的实施，将会收集龙山县老城区生活污水，将龙山县老城区区域所有生活污水纳入污水</w:t>
      </w:r>
      <w:r>
        <w:rPr>
          <w:rFonts w:hint="eastAsia"/>
          <w:strike w:val="0"/>
          <w:dstrike w:val="0"/>
          <w:color w:val="auto"/>
          <w:kern w:val="0"/>
          <w:sz w:val="24"/>
          <w:lang w:eastAsia="zh-CN"/>
        </w:rPr>
        <w:t>集中</w:t>
      </w:r>
      <w:r>
        <w:rPr>
          <w:rFonts w:hint="eastAsia"/>
          <w:strike w:val="0"/>
          <w:dstrike w:val="0"/>
          <w:color w:val="auto"/>
          <w:kern w:val="0"/>
          <w:sz w:val="24"/>
        </w:rPr>
        <w:t>处理，避免污水未经处理直接排入果利河，减少污染物向果利河排放，有利于果利河和酉水水质的改善。</w:t>
      </w:r>
    </w:p>
    <w:p w14:paraId="51B86CBF">
      <w:pPr>
        <w:autoSpaceDE w:val="0"/>
        <w:autoSpaceDN w:val="0"/>
        <w:adjustRightInd w:val="0"/>
        <w:spacing w:line="360" w:lineRule="auto"/>
        <w:ind w:firstLine="480" w:firstLineChars="200"/>
        <w:rPr>
          <w:rFonts w:hint="eastAsia" w:ascii="Times New Roman" w:hAnsi="Times New Roman" w:cs="Times New Roman"/>
          <w:b w:val="0"/>
          <w:bCs w:val="0"/>
          <w:strike w:val="0"/>
          <w:dstrike w:val="0"/>
          <w:color w:val="auto"/>
          <w:kern w:val="0"/>
          <w:sz w:val="24"/>
          <w:szCs w:val="24"/>
          <w:lang w:val="en-US" w:eastAsia="zh-CN"/>
        </w:rPr>
      </w:pPr>
      <w:r>
        <w:rPr>
          <w:rFonts w:hint="eastAsia"/>
          <w:strike w:val="0"/>
          <w:dstrike w:val="0"/>
          <w:color w:val="auto"/>
          <w:kern w:val="0"/>
          <w:sz w:val="24"/>
        </w:rPr>
        <w:t>龙山县城区污水处理设施提质增效工程正在进行实施，待实施完成，果利河和酉水区域水质将会变好，可长期稳定满足《地表水环境质量标准》GB3838-2002的III类标准要求</w:t>
      </w:r>
      <w:r>
        <w:rPr>
          <w:rFonts w:hint="eastAsia" w:ascii="Times New Roman" w:hAnsi="Times New Roman" w:cs="Times New Roman"/>
          <w:b w:val="0"/>
          <w:bCs w:val="0"/>
          <w:strike w:val="0"/>
          <w:dstrike w:val="0"/>
          <w:color w:val="auto"/>
          <w:kern w:val="0"/>
          <w:sz w:val="24"/>
          <w:szCs w:val="24"/>
          <w:lang w:val="en-US" w:eastAsia="zh-CN"/>
        </w:rPr>
        <w:t>。</w:t>
      </w:r>
    </w:p>
    <w:p w14:paraId="0ECE9B75">
      <w:pPr>
        <w:spacing w:line="360" w:lineRule="auto"/>
        <w:outlineLvl w:val="0"/>
        <w:rPr>
          <w:rFonts w:ascii="Times New Roman" w:hAnsi="Times New Roman" w:eastAsia="宋体" w:cs="Times New Roman"/>
          <w:b/>
          <w:bCs/>
          <w:color w:val="auto"/>
          <w:sz w:val="32"/>
          <w:szCs w:val="32"/>
        </w:rPr>
        <w:sectPr>
          <w:pgSz w:w="16838" w:h="11906" w:orient="landscape"/>
          <w:pgMar w:top="1417" w:right="1440" w:bottom="1417" w:left="1440" w:header="851" w:footer="850" w:gutter="0"/>
          <w:pgBorders>
            <w:top w:val="none" w:sz="0" w:space="0"/>
            <w:left w:val="none" w:sz="0" w:space="0"/>
            <w:bottom w:val="none" w:sz="0" w:space="0"/>
            <w:right w:val="none" w:sz="0" w:space="0"/>
          </w:pgBorders>
          <w:pgNumType w:fmt="decimal"/>
          <w:cols w:space="0" w:num="1"/>
          <w:rtlGutter w:val="0"/>
          <w:docGrid w:type="lines" w:linePitch="312" w:charSpace="0"/>
        </w:sectPr>
      </w:pPr>
      <w:bookmarkStart w:id="59" w:name="_Toc19891"/>
    </w:p>
    <w:p w14:paraId="50614D53">
      <w:pPr>
        <w:spacing w:line="360" w:lineRule="auto"/>
        <w:outlineLvl w:val="1"/>
        <w:rPr>
          <w:rFonts w:hint="eastAsia" w:ascii="Times New Roman" w:hAnsi="Times New Roman" w:eastAsia="宋体" w:cs="Times New Roman"/>
          <w:b/>
          <w:bCs/>
          <w:strike w:val="0"/>
          <w:dstrike w:val="0"/>
          <w:color w:val="auto"/>
          <w:sz w:val="30"/>
          <w:szCs w:val="30"/>
        </w:rPr>
      </w:pPr>
      <w:bookmarkStart w:id="60" w:name="_Toc19354"/>
      <w:bookmarkStart w:id="61" w:name="_Toc29991"/>
      <w:r>
        <w:rPr>
          <w:rFonts w:hint="eastAsia" w:ascii="Times New Roman" w:hAnsi="Times New Roman" w:eastAsia="宋体" w:cs="Times New Roman"/>
          <w:b/>
          <w:bCs/>
          <w:strike w:val="0"/>
          <w:dstrike w:val="0"/>
          <w:color w:val="auto"/>
          <w:sz w:val="30"/>
          <w:szCs w:val="30"/>
          <w:lang w:val="en-US" w:eastAsia="zh-CN"/>
        </w:rPr>
        <w:t>2.3</w:t>
      </w:r>
      <w:r>
        <w:rPr>
          <w:rFonts w:hint="eastAsia" w:ascii="Times New Roman" w:hAnsi="Times New Roman" w:eastAsia="宋体" w:cs="Times New Roman"/>
          <w:b/>
          <w:bCs/>
          <w:strike w:val="0"/>
          <w:dstrike w:val="0"/>
          <w:color w:val="auto"/>
          <w:sz w:val="30"/>
          <w:szCs w:val="30"/>
        </w:rPr>
        <w:t>地表水环境质量现状</w:t>
      </w:r>
      <w:bookmarkEnd w:id="60"/>
      <w:bookmarkEnd w:id="61"/>
    </w:p>
    <w:p w14:paraId="6A453841">
      <w:pPr>
        <w:autoSpaceDE w:val="0"/>
        <w:autoSpaceDN w:val="0"/>
        <w:adjustRightInd w:val="0"/>
        <w:spacing w:line="360" w:lineRule="auto"/>
        <w:ind w:firstLine="480" w:firstLineChars="200"/>
        <w:rPr>
          <w:rFonts w:hint="eastAsia"/>
          <w:color w:val="auto"/>
          <w:kern w:val="0"/>
          <w:sz w:val="24"/>
          <w:highlight w:val="none"/>
          <w:u w:val="single"/>
          <w:lang w:val="en-US" w:eastAsia="zh-CN"/>
        </w:rPr>
      </w:pPr>
      <w:r>
        <w:rPr>
          <w:rFonts w:hint="eastAsia"/>
          <w:color w:val="auto"/>
          <w:kern w:val="0"/>
          <w:sz w:val="24"/>
          <w:highlight w:val="none"/>
          <w:u w:val="single"/>
          <w:lang w:val="en-US" w:eastAsia="zh-CN"/>
        </w:rPr>
        <w:t>通过现场踏勘及查询相关资料，项目排污口上游污染源主要是农村散户的生活污水，距离本项目最近的集中排放口为下游9千米的湘西州龙山县南门二桥下游200米规模以下水产养殖排污口、下游11千米的民安污水处理厂排污口。根据调查项目纳污水体下游5千米范围内无饮用水取水口。为了解项目建设区域地表水质量现状，本次环评对</w:t>
      </w:r>
      <w:r>
        <w:rPr>
          <w:rFonts w:hint="eastAsia" w:hAnsi="Times New Roman" w:cs="Times New Roman"/>
          <w:bCs/>
          <w:color w:val="auto"/>
          <w:sz w:val="24"/>
          <w:highlight w:val="none"/>
          <w:u w:val="single"/>
          <w:lang w:val="en-US" w:eastAsia="zh-CN"/>
        </w:rPr>
        <w:t>果利河</w:t>
      </w:r>
      <w:r>
        <w:rPr>
          <w:rFonts w:hint="eastAsia"/>
          <w:color w:val="auto"/>
          <w:kern w:val="0"/>
          <w:sz w:val="24"/>
          <w:highlight w:val="none"/>
          <w:u w:val="single"/>
          <w:lang w:val="en-US" w:eastAsia="zh-CN"/>
        </w:rPr>
        <w:t>进行了现状监测。</w:t>
      </w:r>
    </w:p>
    <w:p w14:paraId="58A39D79">
      <w:pPr>
        <w:autoSpaceDE w:val="0"/>
        <w:autoSpaceDN w:val="0"/>
        <w:adjustRightInd w:val="0"/>
        <w:spacing w:line="360" w:lineRule="auto"/>
        <w:ind w:firstLine="480" w:firstLineChars="200"/>
        <w:rPr>
          <w:rFonts w:hint="eastAsia"/>
          <w:color w:val="auto"/>
          <w:kern w:val="0"/>
          <w:sz w:val="24"/>
          <w:lang w:val="en-US" w:eastAsia="zh-CN"/>
        </w:rPr>
      </w:pPr>
      <w:r>
        <w:rPr>
          <w:rFonts w:hint="eastAsia"/>
          <w:color w:val="auto"/>
          <w:kern w:val="0"/>
          <w:sz w:val="24"/>
          <w:lang w:val="en-US" w:eastAsia="zh-CN"/>
        </w:rPr>
        <w:t>（1）监测断面</w:t>
      </w:r>
    </w:p>
    <w:p w14:paraId="79B52AEA">
      <w:pPr>
        <w:keepNext w:val="0"/>
        <w:keepLines w:val="0"/>
        <w:pageBreakBefore w:val="0"/>
        <w:widowControl w:val="0"/>
        <w:kinsoku/>
        <w:wordWrap/>
        <w:overflowPunct/>
        <w:topLinePunct w:val="0"/>
        <w:autoSpaceDE w:val="0"/>
        <w:autoSpaceDN w:val="0"/>
        <w:bidi w:val="0"/>
        <w:adjustRightInd w:val="0"/>
        <w:snapToGrid/>
        <w:spacing w:before="48" w:beforeLines="15" w:after="48" w:afterLines="15" w:line="240" w:lineRule="auto"/>
        <w:jc w:val="center"/>
        <w:textAlignment w:val="auto"/>
        <w:rPr>
          <w:b/>
          <w:bCs/>
          <w:color w:val="auto"/>
          <w:sz w:val="21"/>
          <w:szCs w:val="21"/>
        </w:rPr>
      </w:pPr>
      <w:r>
        <w:rPr>
          <w:b/>
          <w:bCs/>
          <w:color w:val="auto"/>
          <w:sz w:val="21"/>
          <w:szCs w:val="21"/>
        </w:rPr>
        <w:t>表</w:t>
      </w:r>
      <w:r>
        <w:rPr>
          <w:rFonts w:hint="eastAsia"/>
          <w:b/>
          <w:bCs/>
          <w:color w:val="auto"/>
          <w:sz w:val="21"/>
          <w:szCs w:val="21"/>
          <w:lang w:val="en-US" w:eastAsia="zh-CN"/>
        </w:rPr>
        <w:t>2.3-1</w:t>
      </w:r>
      <w:r>
        <w:rPr>
          <w:b/>
          <w:bCs/>
          <w:color w:val="auto"/>
          <w:sz w:val="21"/>
          <w:szCs w:val="21"/>
        </w:rPr>
        <w:t xml:space="preserve">  地表水监测断面</w:t>
      </w:r>
    </w:p>
    <w:tbl>
      <w:tblPr>
        <w:tblStyle w:val="32"/>
        <w:tblW w:w="907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12"/>
        <w:gridCol w:w="7459"/>
      </w:tblGrid>
      <w:tr w14:paraId="0C0190D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2" w:type="dxa"/>
            <w:tcBorders>
              <w:tl2br w:val="nil"/>
              <w:tr2bl w:val="nil"/>
            </w:tcBorders>
            <w:vAlign w:val="center"/>
          </w:tcPr>
          <w:p w14:paraId="19792395">
            <w:pPr>
              <w:jc w:val="center"/>
              <w:rPr>
                <w:rFonts w:hint="eastAsia" w:eastAsia="宋体"/>
                <w:b/>
                <w:color w:val="auto"/>
                <w:lang w:eastAsia="zh-CN"/>
              </w:rPr>
            </w:pPr>
            <w:r>
              <w:rPr>
                <w:rFonts w:hint="eastAsia"/>
                <w:b/>
                <w:color w:val="auto"/>
                <w:lang w:eastAsia="zh-CN"/>
              </w:rPr>
              <w:t>纳污水体</w:t>
            </w:r>
          </w:p>
        </w:tc>
        <w:tc>
          <w:tcPr>
            <w:tcW w:w="7459" w:type="dxa"/>
            <w:tcBorders>
              <w:tl2br w:val="nil"/>
              <w:tr2bl w:val="nil"/>
            </w:tcBorders>
            <w:vAlign w:val="center"/>
          </w:tcPr>
          <w:p w14:paraId="52436F8A">
            <w:pPr>
              <w:jc w:val="center"/>
              <w:rPr>
                <w:b/>
                <w:color w:val="auto"/>
                <w:highlight w:val="none"/>
              </w:rPr>
            </w:pPr>
            <w:r>
              <w:rPr>
                <w:b/>
                <w:color w:val="auto"/>
                <w:highlight w:val="none"/>
              </w:rPr>
              <w:t>监测断面</w:t>
            </w:r>
          </w:p>
        </w:tc>
      </w:tr>
      <w:tr w14:paraId="2BFE1B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2" w:type="dxa"/>
            <w:vMerge w:val="restart"/>
            <w:tcBorders>
              <w:tl2br w:val="nil"/>
              <w:tr2bl w:val="nil"/>
            </w:tcBorders>
            <w:vAlign w:val="center"/>
          </w:tcPr>
          <w:p w14:paraId="2E6DA092">
            <w:pPr>
              <w:jc w:val="center"/>
              <w:rPr>
                <w:rFonts w:hint="eastAsia" w:eastAsia="宋体"/>
                <w:color w:val="auto"/>
                <w:lang w:eastAsia="zh-CN"/>
              </w:rPr>
            </w:pPr>
            <w:r>
              <w:rPr>
                <w:rFonts w:hint="eastAsia" w:hAnsi="Times New Roman" w:cs="Times New Roman"/>
                <w:bCs/>
                <w:color w:val="auto"/>
                <w:sz w:val="24"/>
                <w:u w:val="none"/>
                <w:lang w:val="en-US" w:eastAsia="zh-CN"/>
              </w:rPr>
              <w:t>果利河</w:t>
            </w:r>
          </w:p>
        </w:tc>
        <w:tc>
          <w:tcPr>
            <w:tcW w:w="7459" w:type="dxa"/>
            <w:tcBorders>
              <w:tl2br w:val="nil"/>
              <w:tr2bl w:val="nil"/>
            </w:tcBorders>
            <w:vAlign w:val="center"/>
          </w:tcPr>
          <w:p w14:paraId="2A924712">
            <w:pPr>
              <w:adjustRightInd w:val="0"/>
              <w:snapToGrid w:val="0"/>
              <w:jc w:val="center"/>
              <w:rPr>
                <w:color w:val="auto"/>
                <w:szCs w:val="21"/>
                <w:highlight w:val="none"/>
              </w:rPr>
            </w:pPr>
            <w:r>
              <w:rPr>
                <w:rFonts w:hint="eastAsia"/>
                <w:color w:val="auto"/>
                <w:szCs w:val="21"/>
                <w:highlight w:val="none"/>
              </w:rPr>
              <w:t>项目排污口上游500m处</w:t>
            </w:r>
          </w:p>
        </w:tc>
      </w:tr>
      <w:tr w14:paraId="5BC180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2" w:type="dxa"/>
            <w:vMerge w:val="continue"/>
            <w:tcBorders>
              <w:tl2br w:val="nil"/>
              <w:tr2bl w:val="nil"/>
            </w:tcBorders>
            <w:vAlign w:val="center"/>
          </w:tcPr>
          <w:p w14:paraId="0E804CBD">
            <w:pPr>
              <w:jc w:val="center"/>
              <w:rPr>
                <w:color w:val="auto"/>
              </w:rPr>
            </w:pPr>
          </w:p>
        </w:tc>
        <w:tc>
          <w:tcPr>
            <w:tcW w:w="7459" w:type="dxa"/>
            <w:tcBorders>
              <w:tl2br w:val="nil"/>
              <w:tr2bl w:val="nil"/>
            </w:tcBorders>
            <w:vAlign w:val="center"/>
          </w:tcPr>
          <w:p w14:paraId="5209C473">
            <w:pPr>
              <w:adjustRightInd w:val="0"/>
              <w:snapToGrid w:val="0"/>
              <w:jc w:val="center"/>
              <w:rPr>
                <w:color w:val="auto"/>
                <w:szCs w:val="21"/>
                <w:highlight w:val="none"/>
              </w:rPr>
            </w:pPr>
            <w:r>
              <w:rPr>
                <w:rFonts w:hint="eastAsia"/>
                <w:color w:val="auto"/>
                <w:szCs w:val="21"/>
                <w:highlight w:val="none"/>
              </w:rPr>
              <w:t>项目排污口下游</w:t>
            </w:r>
            <w:r>
              <w:rPr>
                <w:rFonts w:hint="eastAsia"/>
                <w:color w:val="auto"/>
                <w:szCs w:val="21"/>
                <w:highlight w:val="none"/>
                <w:lang w:val="en-US" w:eastAsia="zh-CN"/>
              </w:rPr>
              <w:t>10</w:t>
            </w:r>
            <w:r>
              <w:rPr>
                <w:color w:val="auto"/>
                <w:szCs w:val="21"/>
                <w:highlight w:val="none"/>
              </w:rPr>
              <w:t>00</w:t>
            </w:r>
            <w:r>
              <w:rPr>
                <w:rFonts w:hint="eastAsia"/>
                <w:color w:val="auto"/>
                <w:szCs w:val="21"/>
                <w:highlight w:val="none"/>
              </w:rPr>
              <w:t>m处</w:t>
            </w:r>
          </w:p>
        </w:tc>
      </w:tr>
      <w:tr w14:paraId="7B4A5B3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12" w:type="dxa"/>
            <w:vMerge w:val="continue"/>
            <w:tcBorders>
              <w:tl2br w:val="nil"/>
              <w:tr2bl w:val="nil"/>
            </w:tcBorders>
            <w:vAlign w:val="center"/>
          </w:tcPr>
          <w:p w14:paraId="2FF0E98D">
            <w:pPr>
              <w:jc w:val="center"/>
              <w:rPr>
                <w:color w:val="auto"/>
              </w:rPr>
            </w:pPr>
          </w:p>
        </w:tc>
        <w:tc>
          <w:tcPr>
            <w:tcW w:w="7459" w:type="dxa"/>
            <w:tcBorders>
              <w:tl2br w:val="nil"/>
              <w:tr2bl w:val="nil"/>
            </w:tcBorders>
            <w:vAlign w:val="center"/>
          </w:tcPr>
          <w:p w14:paraId="73020D31">
            <w:pPr>
              <w:adjustRightInd w:val="0"/>
              <w:snapToGrid w:val="0"/>
              <w:jc w:val="center"/>
              <w:rPr>
                <w:color w:val="auto"/>
                <w:szCs w:val="21"/>
                <w:highlight w:val="none"/>
              </w:rPr>
            </w:pPr>
            <w:r>
              <w:rPr>
                <w:rFonts w:hint="eastAsia"/>
                <w:color w:val="auto"/>
                <w:szCs w:val="21"/>
                <w:highlight w:val="none"/>
              </w:rPr>
              <w:t>项目排污口下游</w:t>
            </w:r>
            <w:r>
              <w:rPr>
                <w:rFonts w:hint="eastAsia"/>
                <w:color w:val="auto"/>
                <w:szCs w:val="21"/>
                <w:highlight w:val="none"/>
                <w:lang w:val="en-US" w:eastAsia="zh-CN"/>
              </w:rPr>
              <w:t>25</w:t>
            </w:r>
            <w:r>
              <w:rPr>
                <w:rFonts w:hint="eastAsia"/>
                <w:color w:val="auto"/>
                <w:szCs w:val="21"/>
                <w:highlight w:val="none"/>
              </w:rPr>
              <w:t>00m处</w:t>
            </w:r>
          </w:p>
        </w:tc>
      </w:tr>
    </w:tbl>
    <w:p w14:paraId="685C3CFD">
      <w:pPr>
        <w:autoSpaceDE w:val="0"/>
        <w:autoSpaceDN w:val="0"/>
        <w:adjustRightInd w:val="0"/>
        <w:spacing w:line="360" w:lineRule="auto"/>
        <w:ind w:firstLine="480" w:firstLineChars="200"/>
        <w:rPr>
          <w:rFonts w:hint="eastAsia"/>
          <w:color w:val="auto"/>
          <w:kern w:val="0"/>
          <w:sz w:val="24"/>
          <w:lang w:val="en-US" w:eastAsia="zh-CN"/>
        </w:rPr>
      </w:pPr>
      <w:r>
        <w:rPr>
          <w:rFonts w:hint="eastAsia"/>
          <w:color w:val="auto"/>
          <w:kern w:val="0"/>
          <w:sz w:val="24"/>
          <w:lang w:val="en-US" w:eastAsia="zh-CN"/>
        </w:rPr>
        <w:t>（2）监测项目</w:t>
      </w:r>
    </w:p>
    <w:p w14:paraId="7869FF17">
      <w:pPr>
        <w:pStyle w:val="87"/>
        <w:spacing w:line="360" w:lineRule="auto"/>
        <w:jc w:val="left"/>
        <w:rPr>
          <w:rFonts w:hint="default" w:hAnsi="Times New Roman" w:cs="Times New Roman"/>
          <w:bCs/>
          <w:color w:val="auto"/>
          <w:sz w:val="24"/>
          <w:lang w:val="en-US" w:eastAsia="zh-CN"/>
        </w:rPr>
      </w:pPr>
      <w:r>
        <w:rPr>
          <w:rFonts w:hint="eastAsia" w:hAnsi="Times New Roman" w:cs="Times New Roman"/>
          <w:bCs/>
          <w:color w:val="auto"/>
          <w:sz w:val="24"/>
          <w:lang w:val="en-US" w:eastAsia="zh-CN"/>
        </w:rPr>
        <w:t>水质监测项目为：水温、pH值、溶解氧、高锰酸盐指数、化学需氧量、五日生化需氧量、氨氮、总氮、总磷、石油类、阴离子表面活性剂、粪大肠菌群、硫化物、氯化物、氟化物、硫酸盐。</w:t>
      </w:r>
    </w:p>
    <w:p w14:paraId="0CD875C9">
      <w:pPr>
        <w:pStyle w:val="87"/>
        <w:spacing w:line="360" w:lineRule="auto"/>
        <w:jc w:val="left"/>
        <w:rPr>
          <w:rFonts w:hint="eastAsia" w:hAnsi="Times New Roman" w:cs="Times New Roman"/>
          <w:bCs/>
          <w:color w:val="auto"/>
          <w:sz w:val="24"/>
          <w:lang w:val="en-US" w:eastAsia="zh-CN"/>
        </w:rPr>
      </w:pPr>
      <w:r>
        <w:rPr>
          <w:rFonts w:hint="eastAsia" w:hAnsi="Times New Roman" w:cs="Times New Roman"/>
          <w:bCs/>
          <w:color w:val="auto"/>
          <w:sz w:val="24"/>
          <w:lang w:val="en-US" w:eastAsia="zh-CN"/>
        </w:rPr>
        <w:t>（3）评价标准</w:t>
      </w:r>
    </w:p>
    <w:p w14:paraId="1769D1DA">
      <w:pPr>
        <w:pStyle w:val="87"/>
        <w:spacing w:line="360" w:lineRule="auto"/>
        <w:jc w:val="left"/>
        <w:rPr>
          <w:rFonts w:hint="eastAsia" w:hAnsi="Times New Roman" w:cs="Times New Roman"/>
          <w:bCs/>
          <w:color w:val="auto"/>
          <w:sz w:val="24"/>
          <w:lang w:val="en-US" w:eastAsia="zh-CN"/>
        </w:rPr>
      </w:pPr>
      <w:r>
        <w:rPr>
          <w:rFonts w:hint="eastAsia" w:hAnsi="Times New Roman" w:cs="Times New Roman"/>
          <w:bCs/>
          <w:color w:val="auto"/>
          <w:sz w:val="24"/>
          <w:lang w:val="en-US" w:eastAsia="zh-CN"/>
        </w:rPr>
        <w:t>所有评价因子均执行《地表水环境质量标准》（GB3838-2002）中</w:t>
      </w:r>
      <w:r>
        <w:rPr>
          <w:rFonts w:hint="eastAsia" w:hAnsi="Times New Roman" w:cs="Times New Roman"/>
          <w:bCs/>
          <w:color w:val="auto"/>
          <w:sz w:val="24"/>
          <w:lang w:val="en-US" w:eastAsia="zh-CN"/>
        </w:rPr>
        <w:fldChar w:fldCharType="begin"/>
      </w:r>
      <w:r>
        <w:rPr>
          <w:rFonts w:hint="eastAsia" w:hAnsi="Times New Roman" w:cs="Times New Roman"/>
          <w:bCs/>
          <w:color w:val="auto"/>
          <w:sz w:val="24"/>
          <w:lang w:val="en-US" w:eastAsia="zh-CN"/>
        </w:rPr>
        <w:instrText xml:space="preserve"> = 3 \* ROMAN </w:instrText>
      </w:r>
      <w:r>
        <w:rPr>
          <w:rFonts w:hint="eastAsia" w:hAnsi="Times New Roman" w:cs="Times New Roman"/>
          <w:bCs/>
          <w:color w:val="auto"/>
          <w:sz w:val="24"/>
          <w:lang w:val="en-US" w:eastAsia="zh-CN"/>
        </w:rPr>
        <w:fldChar w:fldCharType="separate"/>
      </w:r>
      <w:r>
        <w:rPr>
          <w:rFonts w:hint="eastAsia" w:hAnsi="Times New Roman" w:cs="Times New Roman"/>
          <w:bCs/>
          <w:color w:val="auto"/>
          <w:sz w:val="24"/>
          <w:lang w:val="en-US" w:eastAsia="zh-CN"/>
        </w:rPr>
        <w:t>III</w:t>
      </w:r>
      <w:r>
        <w:rPr>
          <w:rFonts w:hint="eastAsia" w:hAnsi="Times New Roman" w:cs="Times New Roman"/>
          <w:bCs/>
          <w:color w:val="auto"/>
          <w:sz w:val="24"/>
          <w:lang w:val="en-US" w:eastAsia="zh-CN"/>
        </w:rPr>
        <w:fldChar w:fldCharType="end"/>
      </w:r>
      <w:r>
        <w:rPr>
          <w:rFonts w:hint="eastAsia" w:hAnsi="Times New Roman" w:cs="Times New Roman"/>
          <w:bCs/>
          <w:color w:val="auto"/>
          <w:sz w:val="24"/>
          <w:lang w:val="en-US" w:eastAsia="zh-CN"/>
        </w:rPr>
        <w:t>类水域标准限值。</w:t>
      </w:r>
    </w:p>
    <w:p w14:paraId="2BD37395">
      <w:pPr>
        <w:pStyle w:val="87"/>
        <w:spacing w:line="360" w:lineRule="auto"/>
        <w:jc w:val="left"/>
        <w:rPr>
          <w:rFonts w:hint="eastAsia" w:hAnsi="Times New Roman" w:cs="Times New Roman"/>
          <w:bCs/>
          <w:color w:val="auto"/>
          <w:sz w:val="24"/>
          <w:lang w:val="en-US" w:eastAsia="zh-CN"/>
        </w:rPr>
      </w:pPr>
      <w:r>
        <w:rPr>
          <w:rFonts w:hint="eastAsia" w:hAnsi="Times New Roman" w:cs="Times New Roman"/>
          <w:bCs/>
          <w:color w:val="auto"/>
          <w:sz w:val="24"/>
          <w:lang w:val="en-US" w:eastAsia="zh-CN"/>
        </w:rPr>
        <w:t>（4）评价方法</w:t>
      </w:r>
    </w:p>
    <w:p w14:paraId="215ED63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auto"/>
          <w:sz w:val="24"/>
          <w:lang w:val="en-US" w:eastAsia="zh-CN"/>
        </w:rPr>
      </w:pPr>
      <w:r>
        <w:rPr>
          <w:rFonts w:hint="eastAsia" w:hAnsi="Times New Roman" w:cs="Times New Roman"/>
          <w:bCs/>
          <w:color w:val="auto"/>
          <w:sz w:val="24"/>
          <w:lang w:val="en-US" w:eastAsia="zh-CN"/>
        </w:rPr>
        <w:t>采用单项水质指数评价法，按照规定模式进行单因子指数计算，根据污染物单因子指数计算结果，分析地表水环境质量现状，论证其是否满足功能规划的要求，为工程实施后对水环境的影响预测提供依据。</w:t>
      </w:r>
    </w:p>
    <w:p w14:paraId="05E39DEC">
      <w:pPr>
        <w:pStyle w:val="87"/>
        <w:spacing w:line="360" w:lineRule="auto"/>
        <w:jc w:val="left"/>
        <w:rPr>
          <w:rFonts w:hint="eastAsia" w:hAnsi="Times New Roman" w:cs="Times New Roman"/>
          <w:bCs/>
          <w:color w:val="auto"/>
          <w:sz w:val="24"/>
          <w:lang w:val="en-US" w:eastAsia="zh-CN"/>
        </w:rPr>
      </w:pPr>
      <w:r>
        <w:rPr>
          <w:rFonts w:hint="eastAsia" w:hAnsi="Times New Roman" w:cs="Times New Roman"/>
          <w:bCs/>
          <w:color w:val="auto"/>
          <w:sz w:val="24"/>
          <w:lang w:val="en-US" w:eastAsia="zh-CN"/>
        </w:rPr>
        <w:t>（6）监测及评价结果</w:t>
      </w:r>
    </w:p>
    <w:p w14:paraId="2AC7851C">
      <w:pPr>
        <w:autoSpaceDE w:val="0"/>
        <w:autoSpaceDN w:val="0"/>
        <w:adjustRightInd w:val="0"/>
        <w:spacing w:line="360" w:lineRule="auto"/>
        <w:ind w:firstLine="480" w:firstLineChars="200"/>
        <w:rPr>
          <w:rFonts w:hint="eastAsia" w:eastAsia="宋体"/>
          <w:color w:val="auto"/>
          <w:sz w:val="24"/>
          <w:lang w:eastAsia="zh-CN"/>
        </w:rPr>
        <w:sectPr>
          <w:pgSz w:w="11906" w:h="16838"/>
          <w:pgMar w:top="1440" w:right="1417" w:bottom="1440" w:left="1417" w:header="851" w:footer="850"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color w:val="auto"/>
          <w:sz w:val="24"/>
          <w:lang w:eastAsia="zh-CN"/>
        </w:rPr>
        <w:t>由第三章的</w:t>
      </w:r>
      <w:r>
        <w:rPr>
          <w:color w:val="auto"/>
          <w:sz w:val="24"/>
        </w:rPr>
        <w:t>监测结果可以看出，项目地表水质量现状满足《地表水环境质量标准》（GB3838-2002）中</w:t>
      </w:r>
      <w:r>
        <w:rPr>
          <w:bCs/>
          <w:color w:val="auto"/>
          <w:sz w:val="24"/>
        </w:rPr>
        <w:fldChar w:fldCharType="begin"/>
      </w:r>
      <w:r>
        <w:rPr>
          <w:bCs/>
          <w:color w:val="auto"/>
          <w:sz w:val="24"/>
        </w:rPr>
        <w:instrText xml:space="preserve"> = 3 \* ROMAN </w:instrText>
      </w:r>
      <w:r>
        <w:rPr>
          <w:bCs/>
          <w:color w:val="auto"/>
          <w:sz w:val="24"/>
        </w:rPr>
        <w:fldChar w:fldCharType="separate"/>
      </w:r>
      <w:r>
        <w:rPr>
          <w:bCs/>
          <w:color w:val="auto"/>
          <w:sz w:val="24"/>
        </w:rPr>
        <w:t>III</w:t>
      </w:r>
      <w:r>
        <w:rPr>
          <w:bCs/>
          <w:color w:val="auto"/>
          <w:sz w:val="24"/>
        </w:rPr>
        <w:fldChar w:fldCharType="end"/>
      </w:r>
      <w:r>
        <w:rPr>
          <w:color w:val="auto"/>
          <w:sz w:val="24"/>
        </w:rPr>
        <w:t>类水域标准限值的要求</w:t>
      </w:r>
      <w:r>
        <w:rPr>
          <w:rFonts w:hint="eastAsia"/>
          <w:color w:val="auto"/>
          <w:sz w:val="24"/>
          <w:lang w:eastAsia="zh-CN"/>
        </w:rPr>
        <w:t>。</w:t>
      </w:r>
    </w:p>
    <w:bookmarkEnd w:id="59"/>
    <w:p w14:paraId="2B65996C">
      <w:pPr>
        <w:spacing w:line="360" w:lineRule="auto"/>
        <w:outlineLvl w:val="0"/>
        <w:rPr>
          <w:rFonts w:ascii="Times New Roman" w:hAnsi="Times New Roman" w:eastAsia="宋体" w:cs="Times New Roman"/>
          <w:b/>
          <w:bCs/>
          <w:color w:val="auto"/>
          <w:sz w:val="32"/>
          <w:szCs w:val="32"/>
        </w:rPr>
      </w:pPr>
      <w:bookmarkStart w:id="62" w:name="_Toc15803"/>
      <w:bookmarkStart w:id="63" w:name="_Toc6734"/>
      <w:bookmarkStart w:id="64" w:name="_Toc32561"/>
      <w:r>
        <w:rPr>
          <w:rFonts w:hint="eastAsia" w:cs="Times New Roman"/>
          <w:b/>
          <w:bCs/>
          <w:color w:val="auto"/>
          <w:sz w:val="32"/>
          <w:szCs w:val="32"/>
          <w:lang w:val="en-US" w:eastAsia="zh-CN"/>
        </w:rPr>
        <w:t>3</w:t>
      </w:r>
      <w:r>
        <w:rPr>
          <w:rFonts w:ascii="Times New Roman" w:hAnsi="Times New Roman" w:eastAsia="宋体" w:cs="Times New Roman"/>
          <w:b/>
          <w:bCs/>
          <w:color w:val="auto"/>
          <w:sz w:val="32"/>
          <w:szCs w:val="32"/>
        </w:rPr>
        <w:t>地表水影响</w:t>
      </w:r>
      <w:bookmarkEnd w:id="62"/>
      <w:r>
        <w:rPr>
          <w:rFonts w:hint="eastAsia" w:ascii="Times New Roman" w:hAnsi="Times New Roman" w:eastAsia="宋体" w:cs="Times New Roman"/>
          <w:b/>
          <w:bCs/>
          <w:color w:val="auto"/>
          <w:sz w:val="32"/>
          <w:szCs w:val="32"/>
        </w:rPr>
        <w:t>预测</w:t>
      </w:r>
      <w:r>
        <w:rPr>
          <w:rFonts w:ascii="Times New Roman" w:hAnsi="Times New Roman" w:eastAsia="宋体" w:cs="Times New Roman"/>
          <w:b/>
          <w:bCs/>
          <w:color w:val="auto"/>
          <w:sz w:val="32"/>
          <w:szCs w:val="32"/>
        </w:rPr>
        <w:t>及评价</w:t>
      </w:r>
      <w:bookmarkEnd w:id="63"/>
      <w:bookmarkEnd w:id="64"/>
    </w:p>
    <w:p w14:paraId="3B275CE9">
      <w:pPr>
        <w:spacing w:line="360" w:lineRule="auto"/>
        <w:outlineLvl w:val="1"/>
        <w:rPr>
          <w:rFonts w:hint="eastAsia" w:ascii="Times New Roman" w:hAnsi="Times New Roman" w:eastAsia="宋体" w:cs="Times New Roman"/>
          <w:b/>
          <w:bCs/>
          <w:color w:val="auto"/>
          <w:sz w:val="30"/>
          <w:szCs w:val="30"/>
          <w:lang w:eastAsia="zh-CN"/>
        </w:rPr>
      </w:pPr>
      <w:bookmarkStart w:id="65" w:name="_Toc17865"/>
      <w:bookmarkStart w:id="66" w:name="_Toc30881"/>
      <w:r>
        <w:rPr>
          <w:rFonts w:hint="eastAsia" w:cs="Times New Roman"/>
          <w:b/>
          <w:bCs/>
          <w:color w:val="auto"/>
          <w:sz w:val="30"/>
          <w:szCs w:val="30"/>
          <w:lang w:val="en-US" w:eastAsia="zh-CN"/>
        </w:rPr>
        <w:t>3</w:t>
      </w:r>
      <w:r>
        <w:rPr>
          <w:rFonts w:ascii="Times New Roman" w:hAnsi="Times New Roman" w:eastAsia="宋体" w:cs="Times New Roman"/>
          <w:b/>
          <w:bCs/>
          <w:color w:val="auto"/>
          <w:sz w:val="30"/>
          <w:szCs w:val="30"/>
        </w:rPr>
        <w:t>.1</w:t>
      </w:r>
      <w:r>
        <w:rPr>
          <w:rFonts w:hint="eastAsia" w:cs="Times New Roman"/>
          <w:b/>
          <w:bCs/>
          <w:color w:val="auto"/>
          <w:sz w:val="30"/>
          <w:szCs w:val="30"/>
          <w:lang w:eastAsia="zh-CN"/>
        </w:rPr>
        <w:t>地表水环境保护目标</w:t>
      </w:r>
      <w:bookmarkEnd w:id="65"/>
      <w:bookmarkEnd w:id="66"/>
    </w:p>
    <w:p w14:paraId="3D8F89A3">
      <w:pPr>
        <w:pStyle w:val="87"/>
        <w:spacing w:line="360" w:lineRule="auto"/>
        <w:jc w:val="left"/>
        <w:rPr>
          <w:rFonts w:hAnsi="Times New Roman" w:cs="Times New Roman"/>
          <w:bCs/>
          <w:color w:val="auto"/>
          <w:sz w:val="24"/>
          <w:u w:val="single"/>
        </w:rPr>
      </w:pPr>
      <w:r>
        <w:rPr>
          <w:rFonts w:hAnsi="Times New Roman" w:cs="Times New Roman"/>
          <w:bCs/>
          <w:color w:val="auto"/>
          <w:sz w:val="24"/>
          <w:u w:val="single"/>
        </w:rPr>
        <w:t>本项目</w:t>
      </w:r>
      <w:r>
        <w:rPr>
          <w:rFonts w:hint="eastAsia" w:hAnsi="Times New Roman" w:cs="Times New Roman"/>
          <w:bCs/>
          <w:color w:val="auto"/>
          <w:sz w:val="24"/>
          <w:u w:val="single"/>
          <w:lang w:eastAsia="zh-CN"/>
        </w:rPr>
        <w:t>的尾水通过排污管网（</w:t>
      </w:r>
      <w:r>
        <w:rPr>
          <w:rFonts w:hint="eastAsia" w:hAnsi="Times New Roman" w:cs="Times New Roman"/>
          <w:bCs/>
          <w:color w:val="auto"/>
          <w:sz w:val="24"/>
          <w:u w:val="single"/>
          <w:lang w:val="en-US" w:eastAsia="zh-CN"/>
        </w:rPr>
        <w:t>2.14km</w:t>
      </w:r>
      <w:r>
        <w:rPr>
          <w:rFonts w:hint="eastAsia" w:hAnsi="Times New Roman" w:cs="Times New Roman"/>
          <w:bCs/>
          <w:color w:val="auto"/>
          <w:sz w:val="24"/>
          <w:u w:val="single"/>
          <w:lang w:eastAsia="zh-CN"/>
        </w:rPr>
        <w:t>）进入</w:t>
      </w:r>
      <w:r>
        <w:rPr>
          <w:rFonts w:hint="eastAsia" w:hAnsi="Times New Roman" w:cs="Times New Roman"/>
          <w:bCs/>
          <w:color w:val="auto"/>
          <w:sz w:val="24"/>
          <w:u w:val="single"/>
          <w:lang w:val="en-US" w:eastAsia="zh-CN"/>
        </w:rPr>
        <w:t>果利河，</w:t>
      </w:r>
      <w:r>
        <w:rPr>
          <w:rFonts w:hint="eastAsia" w:hAnsi="Times New Roman" w:cs="Times New Roman"/>
          <w:bCs/>
          <w:color w:val="auto"/>
          <w:sz w:val="24"/>
          <w:u w:val="single"/>
          <w:lang w:eastAsia="zh-CN"/>
        </w:rPr>
        <w:t>本项目的排污口下游</w:t>
      </w:r>
      <w:r>
        <w:rPr>
          <w:rFonts w:hint="eastAsia" w:hAnsi="Times New Roman" w:cs="Times New Roman"/>
          <w:bCs/>
          <w:color w:val="auto"/>
          <w:sz w:val="24"/>
          <w:u w:val="single"/>
          <w:lang w:val="en-US" w:eastAsia="zh-CN"/>
        </w:rPr>
        <w:t>10km范围内未涉及饮用水源保护区、取水口以及鱼类的“三通一道”，根据现场调查，本项目排污口下游7.3千米有支流东门河汇入，下游12千米有跳鱼洞省控断面，下游14千米汇入酉水河，酉水河汇入口下游800米为三塘湾村国控断面（相对位置见附图）。故本项目排污口在下游10km范围内未设置省控、国控断面。本项目的</w:t>
      </w:r>
      <w:r>
        <w:rPr>
          <w:rFonts w:hint="eastAsia" w:hAnsi="Times New Roman" w:cs="Times New Roman"/>
          <w:bCs/>
          <w:color w:val="auto"/>
          <w:sz w:val="24"/>
          <w:u w:val="single"/>
          <w:lang w:eastAsia="zh-CN"/>
        </w:rPr>
        <w:t>地表水环境保护目标</w:t>
      </w:r>
      <w:r>
        <w:rPr>
          <w:rFonts w:hAnsi="Times New Roman" w:cs="Times New Roman"/>
          <w:bCs/>
          <w:color w:val="auto"/>
          <w:sz w:val="24"/>
          <w:u w:val="single"/>
        </w:rPr>
        <w:t>，具体见下表：</w:t>
      </w:r>
    </w:p>
    <w:p w14:paraId="6146209A">
      <w:pPr>
        <w:keepNext w:val="0"/>
        <w:keepLines w:val="0"/>
        <w:pageBreakBefore w:val="0"/>
        <w:widowControl w:val="0"/>
        <w:kinsoku/>
        <w:wordWrap/>
        <w:overflowPunct/>
        <w:topLinePunct w:val="0"/>
        <w:autoSpaceDE/>
        <w:autoSpaceDN/>
        <w:bidi w:val="0"/>
        <w:adjustRightInd/>
        <w:snapToGrid w:val="0"/>
        <w:jc w:val="center"/>
        <w:textAlignment w:val="auto"/>
        <w:rPr>
          <w:b/>
          <w:color w:val="auto"/>
          <w:szCs w:val="21"/>
          <w:u w:val="none"/>
        </w:rPr>
      </w:pPr>
      <w:r>
        <w:rPr>
          <w:b/>
          <w:color w:val="auto"/>
          <w:szCs w:val="21"/>
          <w:u w:val="none"/>
        </w:rPr>
        <w:t>表</w:t>
      </w:r>
      <w:r>
        <w:rPr>
          <w:rFonts w:hint="eastAsia"/>
          <w:b/>
          <w:color w:val="auto"/>
          <w:szCs w:val="21"/>
          <w:u w:val="none"/>
          <w:lang w:val="en-US" w:eastAsia="zh-CN"/>
        </w:rPr>
        <w:t>3.1</w:t>
      </w:r>
      <w:r>
        <w:rPr>
          <w:b/>
          <w:color w:val="auto"/>
          <w:szCs w:val="21"/>
          <w:u w:val="none"/>
        </w:rPr>
        <w:t>-</w:t>
      </w:r>
      <w:r>
        <w:rPr>
          <w:rFonts w:hint="eastAsia"/>
          <w:b/>
          <w:color w:val="auto"/>
          <w:szCs w:val="21"/>
          <w:u w:val="none"/>
          <w:lang w:val="en-US" w:eastAsia="zh-CN"/>
        </w:rPr>
        <w:t xml:space="preserve">1 </w:t>
      </w:r>
      <w:r>
        <w:rPr>
          <w:b/>
          <w:color w:val="auto"/>
          <w:szCs w:val="21"/>
          <w:u w:val="none"/>
        </w:rPr>
        <w:t xml:space="preserve"> 地表水环境保护目标一览表</w:t>
      </w:r>
    </w:p>
    <w:tbl>
      <w:tblPr>
        <w:tblStyle w:val="32"/>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56"/>
        <w:gridCol w:w="1866"/>
        <w:gridCol w:w="1718"/>
        <w:gridCol w:w="4344"/>
      </w:tblGrid>
      <w:tr w14:paraId="47D9AD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2" w:hRule="atLeast"/>
          <w:jc w:val="center"/>
        </w:trPr>
        <w:tc>
          <w:tcPr>
            <w:tcW w:w="730" w:type="pct"/>
            <w:vAlign w:val="center"/>
          </w:tcPr>
          <w:p w14:paraId="1C1A7E5E">
            <w:pPr>
              <w:pStyle w:val="6"/>
              <w:ind w:firstLine="0" w:firstLineChars="0"/>
              <w:jc w:val="center"/>
              <w:rPr>
                <w:color w:val="auto"/>
                <w:sz w:val="21"/>
                <w:szCs w:val="21"/>
                <w:u w:val="none"/>
              </w:rPr>
            </w:pPr>
            <w:r>
              <w:rPr>
                <w:color w:val="auto"/>
                <w:sz w:val="21"/>
                <w:szCs w:val="21"/>
                <w:u w:val="none"/>
              </w:rPr>
              <w:t>名称</w:t>
            </w:r>
          </w:p>
        </w:tc>
        <w:tc>
          <w:tcPr>
            <w:tcW w:w="1005" w:type="pct"/>
            <w:vAlign w:val="center"/>
          </w:tcPr>
          <w:p w14:paraId="12974541">
            <w:pPr>
              <w:pStyle w:val="6"/>
              <w:ind w:firstLine="0" w:firstLineChars="0"/>
              <w:jc w:val="center"/>
              <w:rPr>
                <w:color w:val="auto"/>
                <w:sz w:val="21"/>
                <w:szCs w:val="21"/>
                <w:u w:val="none"/>
              </w:rPr>
            </w:pPr>
            <w:r>
              <w:rPr>
                <w:color w:val="auto"/>
                <w:sz w:val="21"/>
                <w:szCs w:val="21"/>
                <w:u w:val="none"/>
              </w:rPr>
              <w:t>保护对象</w:t>
            </w:r>
          </w:p>
        </w:tc>
        <w:tc>
          <w:tcPr>
            <w:tcW w:w="925" w:type="pct"/>
            <w:vAlign w:val="center"/>
          </w:tcPr>
          <w:p w14:paraId="622B0C56">
            <w:pPr>
              <w:pStyle w:val="6"/>
              <w:ind w:firstLine="0" w:firstLineChars="0"/>
              <w:jc w:val="center"/>
              <w:rPr>
                <w:color w:val="auto"/>
                <w:sz w:val="21"/>
                <w:szCs w:val="21"/>
                <w:u w:val="none"/>
              </w:rPr>
            </w:pPr>
            <w:r>
              <w:rPr>
                <w:color w:val="auto"/>
                <w:sz w:val="21"/>
                <w:szCs w:val="21"/>
                <w:u w:val="none"/>
              </w:rPr>
              <w:t>与项目位置关系</w:t>
            </w:r>
          </w:p>
        </w:tc>
        <w:tc>
          <w:tcPr>
            <w:tcW w:w="2339" w:type="pct"/>
            <w:vAlign w:val="center"/>
          </w:tcPr>
          <w:p w14:paraId="6284BF81">
            <w:pPr>
              <w:pStyle w:val="6"/>
              <w:ind w:firstLine="0" w:firstLineChars="0"/>
              <w:jc w:val="center"/>
              <w:rPr>
                <w:color w:val="auto"/>
                <w:sz w:val="21"/>
                <w:szCs w:val="21"/>
                <w:u w:val="none"/>
              </w:rPr>
            </w:pPr>
            <w:r>
              <w:rPr>
                <w:color w:val="auto"/>
                <w:sz w:val="21"/>
                <w:szCs w:val="21"/>
                <w:u w:val="none"/>
              </w:rPr>
              <w:t>保护要求</w:t>
            </w:r>
          </w:p>
        </w:tc>
      </w:tr>
      <w:tr w14:paraId="449735C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0" w:hRule="atLeast"/>
          <w:jc w:val="center"/>
        </w:trPr>
        <w:tc>
          <w:tcPr>
            <w:tcW w:w="730" w:type="pct"/>
            <w:vAlign w:val="center"/>
          </w:tcPr>
          <w:p w14:paraId="4A0B6F8E">
            <w:pPr>
              <w:pStyle w:val="6"/>
              <w:ind w:firstLine="0" w:firstLineChars="0"/>
              <w:jc w:val="center"/>
              <w:rPr>
                <w:rFonts w:hint="default" w:eastAsia="宋体"/>
                <w:color w:val="auto"/>
                <w:sz w:val="21"/>
                <w:szCs w:val="21"/>
                <w:u w:val="none"/>
                <w:lang w:val="en-US" w:eastAsia="zh-CN"/>
              </w:rPr>
            </w:pPr>
            <w:r>
              <w:rPr>
                <w:rFonts w:hint="eastAsia" w:hAnsi="Times New Roman" w:cs="Times New Roman"/>
                <w:bCs/>
                <w:color w:val="auto"/>
                <w:sz w:val="24"/>
                <w:u w:val="none"/>
                <w:lang w:val="en-US" w:eastAsia="zh-CN"/>
              </w:rPr>
              <w:t>果利河</w:t>
            </w:r>
          </w:p>
        </w:tc>
        <w:tc>
          <w:tcPr>
            <w:tcW w:w="1005" w:type="pct"/>
            <w:vAlign w:val="center"/>
          </w:tcPr>
          <w:p w14:paraId="1AAEA4ED">
            <w:pPr>
              <w:pStyle w:val="6"/>
              <w:ind w:firstLine="0" w:firstLineChars="0"/>
              <w:jc w:val="center"/>
              <w:rPr>
                <w:color w:val="auto"/>
                <w:sz w:val="21"/>
                <w:szCs w:val="21"/>
                <w:u w:val="none"/>
              </w:rPr>
            </w:pPr>
            <w:r>
              <w:rPr>
                <w:rFonts w:hint="eastAsia"/>
                <w:color w:val="auto"/>
                <w:sz w:val="21"/>
                <w:szCs w:val="21"/>
                <w:u w:val="none"/>
                <w:lang w:val="en-US" w:eastAsia="zh-CN"/>
              </w:rPr>
              <w:t>工用水区，小</w:t>
            </w:r>
            <w:r>
              <w:rPr>
                <w:color w:val="auto"/>
                <w:sz w:val="21"/>
                <w:szCs w:val="21"/>
                <w:u w:val="none"/>
              </w:rPr>
              <w:t>河</w:t>
            </w:r>
          </w:p>
        </w:tc>
        <w:tc>
          <w:tcPr>
            <w:tcW w:w="925" w:type="pct"/>
            <w:vAlign w:val="center"/>
          </w:tcPr>
          <w:p w14:paraId="5E303A0F">
            <w:pPr>
              <w:pStyle w:val="6"/>
              <w:ind w:firstLine="0" w:firstLineChars="0"/>
              <w:jc w:val="center"/>
              <w:rPr>
                <w:color w:val="auto"/>
                <w:sz w:val="21"/>
                <w:szCs w:val="21"/>
                <w:u w:val="none"/>
              </w:rPr>
            </w:pPr>
            <w:r>
              <w:rPr>
                <w:rFonts w:hint="eastAsia"/>
                <w:color w:val="auto"/>
                <w:sz w:val="21"/>
                <w:szCs w:val="21"/>
                <w:u w:val="none"/>
                <w:lang w:eastAsia="zh-CN"/>
              </w:rPr>
              <w:t>南</w:t>
            </w:r>
            <w:r>
              <w:rPr>
                <w:color w:val="auto"/>
                <w:sz w:val="21"/>
                <w:szCs w:val="21"/>
                <w:u w:val="none"/>
              </w:rPr>
              <w:t>侧</w:t>
            </w:r>
            <w:r>
              <w:rPr>
                <w:rFonts w:hint="eastAsia"/>
                <w:color w:val="auto"/>
                <w:sz w:val="21"/>
                <w:szCs w:val="21"/>
                <w:u w:val="none"/>
                <w:lang w:val="en-US" w:eastAsia="zh-CN"/>
              </w:rPr>
              <w:t>2km</w:t>
            </w:r>
            <w:r>
              <w:rPr>
                <w:color w:val="auto"/>
                <w:sz w:val="21"/>
                <w:szCs w:val="21"/>
                <w:u w:val="none"/>
              </w:rPr>
              <w:t>处</w:t>
            </w:r>
          </w:p>
        </w:tc>
        <w:tc>
          <w:tcPr>
            <w:tcW w:w="2339" w:type="pct"/>
            <w:vAlign w:val="center"/>
          </w:tcPr>
          <w:p w14:paraId="07B31E56">
            <w:pPr>
              <w:pStyle w:val="6"/>
              <w:ind w:firstLine="0" w:firstLineChars="0"/>
              <w:jc w:val="center"/>
              <w:rPr>
                <w:color w:val="auto"/>
                <w:sz w:val="21"/>
                <w:szCs w:val="21"/>
                <w:u w:val="none"/>
              </w:rPr>
            </w:pPr>
            <w:r>
              <w:rPr>
                <w:rFonts w:hint="eastAsia"/>
                <w:color w:val="auto"/>
                <w:sz w:val="21"/>
                <w:szCs w:val="21"/>
                <w:u w:val="none"/>
              </w:rPr>
              <w:t>《地表水环境质量标准》</w:t>
            </w:r>
            <w:r>
              <w:rPr>
                <w:color w:val="auto"/>
                <w:sz w:val="21"/>
                <w:szCs w:val="21"/>
                <w:u w:val="none"/>
              </w:rPr>
              <w:t>（GB3838-2002）</w:t>
            </w:r>
            <w:r>
              <w:rPr>
                <w:rFonts w:hint="eastAsia" w:ascii="宋体" w:hAnsi="宋体"/>
                <w:color w:val="auto"/>
                <w:sz w:val="21"/>
                <w:szCs w:val="21"/>
                <w:u w:val="none"/>
              </w:rPr>
              <w:t>Ⅲ</w:t>
            </w:r>
            <w:r>
              <w:rPr>
                <w:color w:val="auto"/>
                <w:sz w:val="21"/>
                <w:szCs w:val="21"/>
                <w:u w:val="none"/>
              </w:rPr>
              <w:t>类</w:t>
            </w:r>
          </w:p>
        </w:tc>
      </w:tr>
    </w:tbl>
    <w:p w14:paraId="79E08867">
      <w:pPr>
        <w:spacing w:line="360" w:lineRule="auto"/>
        <w:outlineLvl w:val="1"/>
        <w:rPr>
          <w:rFonts w:ascii="Times New Roman" w:hAnsi="Times New Roman" w:eastAsia="宋体" w:cs="Times New Roman"/>
          <w:b/>
          <w:bCs/>
          <w:color w:val="auto"/>
          <w:sz w:val="30"/>
          <w:szCs w:val="30"/>
        </w:rPr>
      </w:pPr>
      <w:bookmarkStart w:id="67" w:name="_Toc12995"/>
      <w:bookmarkStart w:id="68" w:name="_Toc25438"/>
      <w:r>
        <w:rPr>
          <w:rFonts w:hint="eastAsia" w:cs="Times New Roman"/>
          <w:b/>
          <w:bCs/>
          <w:color w:val="auto"/>
          <w:sz w:val="30"/>
          <w:szCs w:val="30"/>
          <w:lang w:val="en-US" w:eastAsia="zh-CN"/>
        </w:rPr>
        <w:t>3.2</w:t>
      </w:r>
      <w:r>
        <w:rPr>
          <w:rFonts w:ascii="Times New Roman" w:hAnsi="Times New Roman" w:eastAsia="宋体" w:cs="Times New Roman"/>
          <w:b/>
          <w:bCs/>
          <w:color w:val="auto"/>
          <w:sz w:val="30"/>
          <w:szCs w:val="30"/>
        </w:rPr>
        <w:t>本项目建设对地表水水质改善的正效益</w:t>
      </w:r>
      <w:bookmarkEnd w:id="67"/>
      <w:bookmarkEnd w:id="68"/>
    </w:p>
    <w:p w14:paraId="7CF01686">
      <w:pPr>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本项目为污水处理设施</w:t>
      </w:r>
      <w:r>
        <w:rPr>
          <w:rFonts w:hint="eastAsia" w:ascii="Times New Roman" w:hAnsi="Times New Roman" w:eastAsia="宋体" w:cs="Times New Roman"/>
          <w:color w:val="auto"/>
          <w:sz w:val="24"/>
        </w:rPr>
        <w:t>项目</w:t>
      </w:r>
      <w:r>
        <w:rPr>
          <w:rFonts w:ascii="Times New Roman" w:hAnsi="Times New Roman" w:eastAsia="宋体" w:cs="Times New Roman"/>
          <w:color w:val="auto"/>
          <w:sz w:val="24"/>
        </w:rPr>
        <w:t>，解决了分散的污染源排放问题</w:t>
      </w:r>
      <w:r>
        <w:rPr>
          <w:rFonts w:hint="eastAsia" w:ascii="Times New Roman" w:hAnsi="Times New Roman" w:eastAsia="宋体" w:cs="Times New Roman"/>
          <w:color w:val="auto"/>
          <w:sz w:val="24"/>
        </w:rPr>
        <w:t>，</w:t>
      </w:r>
      <w:r>
        <w:rPr>
          <w:rFonts w:ascii="Times New Roman" w:hAnsi="Times New Roman" w:eastAsia="宋体" w:cs="Times New Roman"/>
          <w:color w:val="auto"/>
          <w:sz w:val="24"/>
        </w:rPr>
        <w:t>可有效减少排入</w:t>
      </w:r>
      <w:r>
        <w:rPr>
          <w:rFonts w:hint="eastAsia" w:ascii="Times New Roman" w:hAnsi="Times New Roman" w:eastAsia="宋体" w:cs="Times New Roman"/>
          <w:color w:val="auto"/>
          <w:sz w:val="24"/>
        </w:rPr>
        <w:t>污染物</w:t>
      </w:r>
      <w:r>
        <w:rPr>
          <w:rFonts w:ascii="Times New Roman" w:hAnsi="Times New Roman" w:eastAsia="宋体" w:cs="Times New Roman"/>
          <w:color w:val="auto"/>
          <w:sz w:val="24"/>
        </w:rPr>
        <w:t>进入周边地表水体的污染物量，极大改善现状水体环境，对保障服务区域内的城镇发展具有积极的作用，同时不会改变地表水水域功能，本项目具有明显的环境正效应。</w:t>
      </w:r>
    </w:p>
    <w:p w14:paraId="0A0A7B80">
      <w:pPr>
        <w:pStyle w:val="6"/>
        <w:spacing w:line="360" w:lineRule="auto"/>
        <w:ind w:firstLine="480"/>
        <w:rPr>
          <w:rStyle w:val="138"/>
          <w:rFonts w:hint="eastAsia" w:eastAsia="宋体"/>
          <w:bCs w:val="0"/>
          <w:color w:val="auto"/>
          <w:highlight w:val="none"/>
          <w:u w:val="single"/>
          <w:lang w:eastAsia="zh-CN"/>
        </w:rPr>
      </w:pPr>
      <w:r>
        <w:rPr>
          <w:rStyle w:val="138"/>
          <w:rFonts w:hint="eastAsia"/>
          <w:bCs w:val="0"/>
          <w:color w:val="auto"/>
          <w:highlight w:val="none"/>
          <w:u w:val="none"/>
        </w:rPr>
        <w:t>本项目的建设有效改善了废水未经处理直接</w:t>
      </w:r>
      <w:r>
        <w:rPr>
          <w:rStyle w:val="138"/>
          <w:rFonts w:hint="eastAsia"/>
          <w:bCs w:val="0"/>
          <w:color w:val="auto"/>
          <w:highlight w:val="none"/>
          <w:u w:val="none"/>
          <w:lang w:eastAsia="zh-CN"/>
        </w:rPr>
        <w:t>外排</w:t>
      </w:r>
      <w:r>
        <w:rPr>
          <w:rStyle w:val="138"/>
          <w:rFonts w:hint="eastAsia"/>
          <w:bCs w:val="0"/>
          <w:color w:val="auto"/>
          <w:highlight w:val="none"/>
          <w:u w:val="none"/>
        </w:rPr>
        <w:t>的现状，可有效改善</w:t>
      </w:r>
      <w:r>
        <w:rPr>
          <w:rFonts w:hint="eastAsia" w:cs="Times New Roman"/>
          <w:bCs/>
          <w:color w:val="auto"/>
          <w:sz w:val="24"/>
          <w:u w:val="none"/>
          <w:lang w:val="en-US" w:eastAsia="zh-CN"/>
        </w:rPr>
        <w:t>高铁新区周边地表水</w:t>
      </w:r>
      <w:r>
        <w:rPr>
          <w:rStyle w:val="138"/>
          <w:rFonts w:hint="eastAsia"/>
          <w:bCs w:val="0"/>
          <w:color w:val="auto"/>
          <w:highlight w:val="none"/>
          <w:u w:val="none"/>
        </w:rPr>
        <w:t>的水质环境。</w:t>
      </w:r>
      <w:r>
        <w:rPr>
          <w:rStyle w:val="138"/>
          <w:rFonts w:hint="eastAsia"/>
          <w:bCs w:val="0"/>
          <w:color w:val="auto"/>
          <w:highlight w:val="none"/>
          <w:u w:val="single"/>
        </w:rPr>
        <w:t>本项目投入运行后</w:t>
      </w:r>
      <w:r>
        <w:rPr>
          <w:rStyle w:val="138"/>
          <w:rFonts w:hint="eastAsia"/>
          <w:bCs w:val="0"/>
          <w:color w:val="auto"/>
          <w:highlight w:val="none"/>
          <w:u w:val="single"/>
          <w:lang w:eastAsia="zh-CN"/>
        </w:rPr>
        <w:t>采取雨污分流的排水制度，本项目污水进水浓度可类别民安污水处理厂的进水浓度，根据调查可民安污水处理厂收集的也是生活废水，且与项目同属龙山县，也采用雨污分流制，类比龙山县民安污水处理厂的进水浓度可知，民安污水处理厂实际进水浓度最高浓度</w:t>
      </w:r>
      <w:r>
        <w:rPr>
          <w:rStyle w:val="138"/>
          <w:rFonts w:hint="eastAsia"/>
          <w:b w:val="0"/>
          <w:bCs w:val="0"/>
          <w:color w:val="auto"/>
          <w:highlight w:val="none"/>
          <w:u w:val="single"/>
          <w:lang w:eastAsia="zh-CN"/>
        </w:rPr>
        <w:t>核</w:t>
      </w:r>
      <w:r>
        <w:rPr>
          <w:rStyle w:val="138"/>
          <w:rFonts w:hint="eastAsia"/>
          <w:b w:val="0"/>
          <w:bCs w:val="0"/>
          <w:color w:val="auto"/>
          <w:sz w:val="24"/>
          <w:szCs w:val="24"/>
          <w:highlight w:val="none"/>
          <w:u w:val="single"/>
          <w:lang w:eastAsia="zh-CN"/>
        </w:rPr>
        <w:t>实</w:t>
      </w:r>
      <w:r>
        <w:rPr>
          <w:rStyle w:val="138"/>
          <w:rFonts w:hint="eastAsia"/>
          <w:b w:val="0"/>
          <w:bCs w:val="0"/>
          <w:color w:val="auto"/>
          <w:sz w:val="24"/>
          <w:szCs w:val="24"/>
          <w:highlight w:val="none"/>
          <w:u w:val="single"/>
          <w:lang w:val="en-US" w:eastAsia="zh-CN"/>
        </w:rPr>
        <w:t>COD为150</w:t>
      </w:r>
      <w:r>
        <w:rPr>
          <w:rStyle w:val="138"/>
          <w:rFonts w:hint="default" w:ascii="Times New Roman" w:hAnsi="Times New Roman" w:cs="Times New Roman"/>
          <w:b w:val="0"/>
          <w:bCs w:val="0"/>
          <w:color w:val="auto"/>
          <w:sz w:val="24"/>
          <w:szCs w:val="24"/>
          <w:highlight w:val="none"/>
          <w:u w:val="single"/>
          <w:lang w:val="en-US" w:eastAsia="zh-CN"/>
        </w:rPr>
        <w:t>~</w:t>
      </w:r>
      <w:r>
        <w:rPr>
          <w:rStyle w:val="138"/>
          <w:rFonts w:hint="eastAsia" w:ascii="Times New Roman" w:hAnsi="Times New Roman" w:cs="Times New Roman"/>
          <w:b w:val="0"/>
          <w:bCs w:val="0"/>
          <w:color w:val="auto"/>
          <w:sz w:val="24"/>
          <w:szCs w:val="24"/>
          <w:highlight w:val="none"/>
          <w:u w:val="single"/>
          <w:lang w:val="en-US" w:eastAsia="zh-CN"/>
        </w:rPr>
        <w:t>165</w:t>
      </w:r>
      <w:r>
        <w:rPr>
          <w:rFonts w:hint="eastAsia"/>
          <w:b w:val="0"/>
          <w:bCs w:val="0"/>
          <w:color w:val="auto"/>
          <w:kern w:val="0"/>
          <w:sz w:val="24"/>
          <w:szCs w:val="24"/>
          <w:highlight w:val="none"/>
          <w:u w:val="single"/>
          <w:lang w:val="en-US" w:eastAsia="zh-CN"/>
        </w:rPr>
        <w:t>mg/L、</w:t>
      </w:r>
      <w:r>
        <w:rPr>
          <w:rFonts w:hint="eastAsia"/>
          <w:b w:val="0"/>
          <w:bCs w:val="0"/>
          <w:color w:val="auto"/>
          <w:kern w:val="0"/>
          <w:sz w:val="24"/>
          <w:szCs w:val="24"/>
          <w:highlight w:val="none"/>
          <w:u w:val="single"/>
        </w:rPr>
        <w:t>BOD</w:t>
      </w:r>
      <w:r>
        <w:rPr>
          <w:rFonts w:hint="eastAsia"/>
          <w:b w:val="0"/>
          <w:bCs w:val="0"/>
          <w:color w:val="auto"/>
          <w:kern w:val="0"/>
          <w:sz w:val="24"/>
          <w:szCs w:val="24"/>
          <w:highlight w:val="none"/>
          <w:u w:val="single"/>
          <w:vertAlign w:val="subscript"/>
        </w:rPr>
        <w:t>5</w:t>
      </w:r>
      <w:r>
        <w:rPr>
          <w:rStyle w:val="138"/>
          <w:rFonts w:hint="eastAsia"/>
          <w:b w:val="0"/>
          <w:bCs w:val="0"/>
          <w:color w:val="auto"/>
          <w:sz w:val="24"/>
          <w:szCs w:val="24"/>
          <w:highlight w:val="none"/>
          <w:u w:val="single"/>
          <w:lang w:val="en-US" w:eastAsia="zh-CN"/>
        </w:rPr>
        <w:t>为50</w:t>
      </w:r>
      <w:r>
        <w:rPr>
          <w:rStyle w:val="138"/>
          <w:rFonts w:hint="default" w:ascii="Times New Roman" w:hAnsi="Times New Roman" w:cs="Times New Roman"/>
          <w:b w:val="0"/>
          <w:bCs w:val="0"/>
          <w:color w:val="auto"/>
          <w:sz w:val="24"/>
          <w:szCs w:val="24"/>
          <w:highlight w:val="none"/>
          <w:u w:val="single"/>
          <w:lang w:val="en-US" w:eastAsia="zh-CN"/>
        </w:rPr>
        <w:t>~</w:t>
      </w:r>
      <w:r>
        <w:rPr>
          <w:rStyle w:val="138"/>
          <w:rFonts w:hint="eastAsia" w:ascii="Times New Roman" w:hAnsi="Times New Roman" w:cs="Times New Roman"/>
          <w:b w:val="0"/>
          <w:bCs w:val="0"/>
          <w:color w:val="auto"/>
          <w:sz w:val="24"/>
          <w:szCs w:val="24"/>
          <w:highlight w:val="none"/>
          <w:u w:val="single"/>
          <w:lang w:val="en-US" w:eastAsia="zh-CN"/>
        </w:rPr>
        <w:t>6</w:t>
      </w:r>
      <w:r>
        <w:rPr>
          <w:rStyle w:val="138"/>
          <w:rFonts w:hint="eastAsia" w:cs="Times New Roman"/>
          <w:b w:val="0"/>
          <w:bCs w:val="0"/>
          <w:color w:val="auto"/>
          <w:sz w:val="24"/>
          <w:szCs w:val="24"/>
          <w:highlight w:val="none"/>
          <w:u w:val="single"/>
          <w:lang w:val="en-US" w:eastAsia="zh-CN"/>
        </w:rPr>
        <w:t>0</w:t>
      </w:r>
      <w:r>
        <w:rPr>
          <w:rFonts w:hint="eastAsia"/>
          <w:b w:val="0"/>
          <w:bCs w:val="0"/>
          <w:color w:val="auto"/>
          <w:kern w:val="0"/>
          <w:sz w:val="24"/>
          <w:szCs w:val="24"/>
          <w:highlight w:val="none"/>
          <w:lang w:val="en-US" w:eastAsia="zh-CN"/>
        </w:rPr>
        <w:t>mg/L、</w:t>
      </w:r>
      <w:r>
        <w:rPr>
          <w:rFonts w:hint="eastAsia"/>
          <w:b w:val="0"/>
          <w:bCs w:val="0"/>
          <w:color w:val="auto"/>
          <w:kern w:val="0"/>
          <w:sz w:val="24"/>
          <w:szCs w:val="24"/>
          <w:highlight w:val="none"/>
        </w:rPr>
        <w:t>SS</w:t>
      </w:r>
      <w:r>
        <w:rPr>
          <w:rStyle w:val="138"/>
          <w:rFonts w:hint="eastAsia"/>
          <w:b w:val="0"/>
          <w:bCs w:val="0"/>
          <w:color w:val="auto"/>
          <w:sz w:val="24"/>
          <w:szCs w:val="24"/>
          <w:highlight w:val="none"/>
          <w:u w:val="single"/>
          <w:lang w:val="en-US" w:eastAsia="zh-CN"/>
        </w:rPr>
        <w:t>为50</w:t>
      </w:r>
      <w:r>
        <w:rPr>
          <w:rStyle w:val="138"/>
          <w:rFonts w:hint="default" w:ascii="Times New Roman" w:hAnsi="Times New Roman" w:cs="Times New Roman"/>
          <w:b w:val="0"/>
          <w:bCs w:val="0"/>
          <w:color w:val="auto"/>
          <w:sz w:val="24"/>
          <w:szCs w:val="24"/>
          <w:highlight w:val="none"/>
          <w:u w:val="single"/>
          <w:lang w:val="en-US" w:eastAsia="zh-CN"/>
        </w:rPr>
        <w:t>~</w:t>
      </w:r>
      <w:r>
        <w:rPr>
          <w:rStyle w:val="138"/>
          <w:rFonts w:hint="eastAsia" w:ascii="Times New Roman" w:hAnsi="Times New Roman" w:cs="Times New Roman"/>
          <w:b w:val="0"/>
          <w:bCs w:val="0"/>
          <w:color w:val="auto"/>
          <w:sz w:val="24"/>
          <w:szCs w:val="24"/>
          <w:highlight w:val="none"/>
          <w:u w:val="single"/>
          <w:lang w:val="en-US" w:eastAsia="zh-CN"/>
        </w:rPr>
        <w:t>6</w:t>
      </w:r>
      <w:r>
        <w:rPr>
          <w:rStyle w:val="138"/>
          <w:rFonts w:hint="eastAsia" w:cs="Times New Roman"/>
          <w:b w:val="0"/>
          <w:bCs w:val="0"/>
          <w:color w:val="auto"/>
          <w:sz w:val="24"/>
          <w:szCs w:val="24"/>
          <w:highlight w:val="none"/>
          <w:u w:val="single"/>
          <w:lang w:val="en-US" w:eastAsia="zh-CN"/>
        </w:rPr>
        <w:t>0</w:t>
      </w:r>
      <w:r>
        <w:rPr>
          <w:rFonts w:hint="eastAsia"/>
          <w:b w:val="0"/>
          <w:bCs w:val="0"/>
          <w:color w:val="auto"/>
          <w:kern w:val="0"/>
          <w:sz w:val="24"/>
          <w:szCs w:val="24"/>
          <w:highlight w:val="none"/>
          <w:u w:val="single"/>
          <w:lang w:val="en-US" w:eastAsia="zh-CN"/>
        </w:rPr>
        <w:t>mg/L、NH</w:t>
      </w:r>
      <w:r>
        <w:rPr>
          <w:rFonts w:hint="eastAsia"/>
          <w:b w:val="0"/>
          <w:bCs w:val="0"/>
          <w:color w:val="auto"/>
          <w:kern w:val="0"/>
          <w:sz w:val="24"/>
          <w:szCs w:val="24"/>
          <w:highlight w:val="none"/>
          <w:u w:val="single"/>
          <w:vertAlign w:val="subscript"/>
          <w:lang w:val="en-US" w:eastAsia="zh-CN"/>
        </w:rPr>
        <w:t>3</w:t>
      </w:r>
      <w:r>
        <w:rPr>
          <w:rFonts w:hint="eastAsia"/>
          <w:b w:val="0"/>
          <w:bCs w:val="0"/>
          <w:color w:val="auto"/>
          <w:kern w:val="0"/>
          <w:sz w:val="24"/>
          <w:szCs w:val="24"/>
          <w:highlight w:val="none"/>
          <w:u w:val="single"/>
          <w:lang w:val="en-US" w:eastAsia="zh-CN"/>
        </w:rPr>
        <w:t>-N为20~23mg/L、TN为/31~34mg/L、TP为/1.4~1.5mg/L，</w:t>
      </w:r>
      <w:r>
        <w:rPr>
          <w:rStyle w:val="138"/>
          <w:rFonts w:hint="eastAsia"/>
          <w:b w:val="0"/>
          <w:bCs w:val="0"/>
          <w:color w:val="auto"/>
          <w:sz w:val="24"/>
          <w:szCs w:val="24"/>
          <w:highlight w:val="none"/>
          <w:u w:val="single"/>
          <w:lang w:eastAsia="zh-CN"/>
        </w:rPr>
        <w:t>本项</w:t>
      </w:r>
      <w:r>
        <w:rPr>
          <w:rStyle w:val="138"/>
          <w:rFonts w:hint="eastAsia"/>
          <w:b w:val="0"/>
          <w:bCs w:val="0"/>
          <w:color w:val="auto"/>
          <w:highlight w:val="none"/>
          <w:u w:val="single"/>
          <w:lang w:eastAsia="zh-CN"/>
        </w:rPr>
        <w:t>目</w:t>
      </w:r>
      <w:r>
        <w:rPr>
          <w:rStyle w:val="138"/>
          <w:rFonts w:hint="eastAsia"/>
          <w:b w:val="0"/>
          <w:bCs w:val="0"/>
          <w:color w:val="auto"/>
          <w:highlight w:val="none"/>
          <w:u w:val="single"/>
        </w:rPr>
        <w:t>对排入</w:t>
      </w:r>
      <w:r>
        <w:rPr>
          <w:rFonts w:hint="eastAsia" w:hAnsi="Times New Roman" w:cs="Times New Roman"/>
          <w:b w:val="0"/>
          <w:bCs w:val="0"/>
          <w:color w:val="auto"/>
          <w:sz w:val="24"/>
          <w:u w:val="single"/>
          <w:lang w:val="en-US" w:eastAsia="zh-CN"/>
        </w:rPr>
        <w:t>果利河</w:t>
      </w:r>
      <w:r>
        <w:rPr>
          <w:rStyle w:val="138"/>
          <w:rFonts w:hint="eastAsia"/>
          <w:b w:val="0"/>
          <w:bCs w:val="0"/>
          <w:color w:val="auto"/>
          <w:highlight w:val="none"/>
          <w:u w:val="single"/>
        </w:rPr>
        <w:t>的污水污染物的</w:t>
      </w:r>
      <w:r>
        <w:rPr>
          <w:rStyle w:val="138"/>
          <w:rFonts w:hint="eastAsia"/>
          <w:bCs w:val="0"/>
          <w:color w:val="auto"/>
          <w:highlight w:val="none"/>
          <w:u w:val="single"/>
        </w:rPr>
        <w:t>削减程度和排放总量的变化情况见下表</w:t>
      </w:r>
      <w:r>
        <w:rPr>
          <w:rStyle w:val="138"/>
          <w:rFonts w:hint="eastAsia"/>
          <w:bCs w:val="0"/>
          <w:color w:val="auto"/>
          <w:highlight w:val="none"/>
          <w:u w:val="single"/>
          <w:lang w:eastAsia="zh-CN"/>
        </w:rPr>
        <w:t>：</w:t>
      </w:r>
    </w:p>
    <w:p w14:paraId="08F1FA9F">
      <w:pPr>
        <w:pStyle w:val="16"/>
        <w:adjustRightInd w:val="0"/>
        <w:snapToGrid w:val="0"/>
        <w:spacing w:line="360" w:lineRule="auto"/>
        <w:jc w:val="center"/>
        <w:rPr>
          <w:rFonts w:ascii="Times New Roman" w:hAnsi="Times New Roman" w:eastAsia="宋"/>
          <w:b/>
          <w:color w:val="auto"/>
          <w:sz w:val="21"/>
          <w:szCs w:val="21"/>
          <w:highlight w:val="none"/>
          <w:u w:val="single"/>
        </w:rPr>
      </w:pPr>
      <w:r>
        <w:rPr>
          <w:rFonts w:ascii="Times New Roman" w:hAnsi="Times New Roman" w:eastAsia="宋"/>
          <w:b/>
          <w:color w:val="auto"/>
          <w:sz w:val="21"/>
          <w:szCs w:val="21"/>
          <w:highlight w:val="none"/>
          <w:u w:val="single"/>
        </w:rPr>
        <w:t>表</w:t>
      </w:r>
      <w:r>
        <w:rPr>
          <w:rFonts w:hint="eastAsia" w:ascii="Times New Roman" w:hAnsi="Times New Roman" w:eastAsia="宋"/>
          <w:b/>
          <w:color w:val="auto"/>
          <w:sz w:val="21"/>
          <w:szCs w:val="21"/>
          <w:highlight w:val="none"/>
          <w:u w:val="single"/>
          <w:lang w:val="en-US" w:eastAsia="zh-CN"/>
        </w:rPr>
        <w:t>3.2-1</w:t>
      </w:r>
      <w:r>
        <w:rPr>
          <w:rFonts w:hint="eastAsia" w:ascii="Times New Roman" w:hAnsi="Times New Roman" w:eastAsia="宋"/>
          <w:b/>
          <w:color w:val="auto"/>
          <w:sz w:val="21"/>
          <w:szCs w:val="21"/>
          <w:highlight w:val="none"/>
          <w:u w:val="single"/>
        </w:rPr>
        <w:t xml:space="preserve">  </w:t>
      </w:r>
      <w:r>
        <w:rPr>
          <w:rFonts w:ascii="Times New Roman" w:hAnsi="Times New Roman" w:eastAsia="宋"/>
          <w:b/>
          <w:color w:val="auto"/>
          <w:sz w:val="21"/>
          <w:szCs w:val="21"/>
          <w:highlight w:val="none"/>
          <w:u w:val="single"/>
        </w:rPr>
        <w:t>项目建设</w:t>
      </w:r>
      <w:r>
        <w:rPr>
          <w:rFonts w:hint="eastAsia" w:ascii="Times New Roman" w:hAnsi="Times New Roman" w:eastAsia="宋"/>
          <w:b/>
          <w:color w:val="auto"/>
          <w:sz w:val="21"/>
          <w:szCs w:val="21"/>
          <w:highlight w:val="none"/>
          <w:u w:val="single"/>
        </w:rPr>
        <w:t>后</w:t>
      </w:r>
      <w:r>
        <w:rPr>
          <w:rFonts w:ascii="Times New Roman" w:hAnsi="Times New Roman" w:eastAsia="宋"/>
          <w:b/>
          <w:color w:val="auto"/>
          <w:sz w:val="21"/>
          <w:szCs w:val="21"/>
          <w:highlight w:val="none"/>
          <w:u w:val="single"/>
        </w:rPr>
        <w:t>污染物削减情况</w:t>
      </w:r>
    </w:p>
    <w:tbl>
      <w:tblPr>
        <w:tblStyle w:val="32"/>
        <w:tblW w:w="907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0"/>
        <w:gridCol w:w="1385"/>
        <w:gridCol w:w="1155"/>
        <w:gridCol w:w="820"/>
        <w:gridCol w:w="959"/>
        <w:gridCol w:w="878"/>
        <w:gridCol w:w="1066"/>
        <w:gridCol w:w="986"/>
        <w:gridCol w:w="1122"/>
      </w:tblGrid>
      <w:tr w14:paraId="668B7E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85" w:type="dxa"/>
            <w:gridSpan w:val="2"/>
            <w:vMerge w:val="restart"/>
            <w:tcBorders>
              <w:tl2br w:val="nil"/>
              <w:tr2bl w:val="nil"/>
            </w:tcBorders>
            <w:vAlign w:val="center"/>
          </w:tcPr>
          <w:p w14:paraId="184D7409">
            <w:pPr>
              <w:adjustRightInd w:val="0"/>
              <w:snapToGrid w:val="0"/>
              <w:jc w:val="center"/>
              <w:rPr>
                <w:rFonts w:hint="eastAsia"/>
                <w:b/>
                <w:bCs/>
                <w:color w:val="auto"/>
                <w:kern w:val="0"/>
                <w:sz w:val="21"/>
                <w:szCs w:val="21"/>
                <w:highlight w:val="none"/>
                <w:u w:val="single"/>
              </w:rPr>
            </w:pPr>
            <w:r>
              <w:rPr>
                <w:rFonts w:hint="eastAsia"/>
                <w:b/>
                <w:bCs/>
                <w:color w:val="auto"/>
                <w:kern w:val="0"/>
                <w:sz w:val="21"/>
                <w:szCs w:val="21"/>
                <w:highlight w:val="none"/>
                <w:u w:val="single"/>
              </w:rPr>
              <w:t>项目</w:t>
            </w:r>
          </w:p>
        </w:tc>
        <w:tc>
          <w:tcPr>
            <w:tcW w:w="6986" w:type="dxa"/>
            <w:gridSpan w:val="7"/>
            <w:tcBorders>
              <w:tl2br w:val="nil"/>
              <w:tr2bl w:val="nil"/>
            </w:tcBorders>
            <w:vAlign w:val="center"/>
          </w:tcPr>
          <w:p w14:paraId="17DAF7EC">
            <w:pPr>
              <w:adjustRightInd w:val="0"/>
              <w:snapToGrid w:val="0"/>
              <w:jc w:val="center"/>
              <w:rPr>
                <w:rFonts w:hint="eastAsia"/>
                <w:b/>
                <w:bCs/>
                <w:color w:val="auto"/>
                <w:kern w:val="0"/>
                <w:sz w:val="21"/>
                <w:szCs w:val="21"/>
                <w:highlight w:val="none"/>
                <w:u w:val="single"/>
              </w:rPr>
            </w:pPr>
            <w:r>
              <w:rPr>
                <w:rFonts w:hint="eastAsia"/>
                <w:b/>
                <w:bCs/>
                <w:color w:val="auto"/>
                <w:kern w:val="0"/>
                <w:sz w:val="21"/>
                <w:szCs w:val="21"/>
                <w:highlight w:val="none"/>
                <w:u w:val="single"/>
              </w:rPr>
              <w:t>排入</w:t>
            </w:r>
            <w:r>
              <w:rPr>
                <w:rFonts w:hint="eastAsia" w:hAnsi="Times New Roman" w:cs="Times New Roman"/>
                <w:bCs/>
                <w:color w:val="auto"/>
                <w:sz w:val="24"/>
                <w:u w:val="single"/>
                <w:lang w:val="en-US" w:eastAsia="zh-CN"/>
              </w:rPr>
              <w:t>果利河</w:t>
            </w:r>
            <w:r>
              <w:rPr>
                <w:rFonts w:hint="eastAsia"/>
                <w:b/>
                <w:bCs/>
                <w:color w:val="auto"/>
                <w:kern w:val="0"/>
                <w:sz w:val="21"/>
                <w:szCs w:val="21"/>
                <w:highlight w:val="none"/>
                <w:u w:val="single"/>
              </w:rPr>
              <w:t>污染物</w:t>
            </w:r>
          </w:p>
        </w:tc>
      </w:tr>
      <w:tr w14:paraId="2329B3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85" w:type="dxa"/>
            <w:gridSpan w:val="2"/>
            <w:vMerge w:val="continue"/>
            <w:tcBorders>
              <w:tl2br w:val="nil"/>
              <w:tr2bl w:val="nil"/>
            </w:tcBorders>
            <w:vAlign w:val="center"/>
          </w:tcPr>
          <w:p w14:paraId="2C1EC284">
            <w:pPr>
              <w:adjustRightInd w:val="0"/>
              <w:snapToGrid w:val="0"/>
              <w:jc w:val="center"/>
              <w:rPr>
                <w:rFonts w:hint="eastAsia"/>
                <w:b/>
                <w:bCs/>
                <w:color w:val="auto"/>
                <w:kern w:val="0"/>
                <w:sz w:val="21"/>
                <w:szCs w:val="21"/>
                <w:highlight w:val="none"/>
                <w:u w:val="single"/>
              </w:rPr>
            </w:pPr>
          </w:p>
        </w:tc>
        <w:tc>
          <w:tcPr>
            <w:tcW w:w="1155" w:type="dxa"/>
            <w:tcBorders>
              <w:tl2br w:val="nil"/>
              <w:tr2bl w:val="nil"/>
            </w:tcBorders>
            <w:vAlign w:val="center"/>
          </w:tcPr>
          <w:p w14:paraId="499B8865">
            <w:pPr>
              <w:adjustRightInd w:val="0"/>
              <w:snapToGrid w:val="0"/>
              <w:jc w:val="center"/>
              <w:rPr>
                <w:rFonts w:hint="eastAsia"/>
                <w:b/>
                <w:bCs/>
                <w:color w:val="auto"/>
                <w:kern w:val="0"/>
                <w:sz w:val="21"/>
                <w:szCs w:val="21"/>
                <w:highlight w:val="none"/>
                <w:u w:val="single"/>
              </w:rPr>
            </w:pPr>
            <w:r>
              <w:rPr>
                <w:rFonts w:hint="eastAsia"/>
                <w:b/>
                <w:bCs/>
                <w:color w:val="auto"/>
                <w:kern w:val="0"/>
                <w:sz w:val="21"/>
                <w:szCs w:val="21"/>
                <w:highlight w:val="none"/>
                <w:u w:val="single"/>
              </w:rPr>
              <w:t>污水量</w:t>
            </w:r>
          </w:p>
        </w:tc>
        <w:tc>
          <w:tcPr>
            <w:tcW w:w="820" w:type="dxa"/>
            <w:tcBorders>
              <w:tl2br w:val="nil"/>
              <w:tr2bl w:val="nil"/>
            </w:tcBorders>
            <w:vAlign w:val="center"/>
          </w:tcPr>
          <w:p w14:paraId="7E190D46">
            <w:pPr>
              <w:adjustRightInd w:val="0"/>
              <w:snapToGrid w:val="0"/>
              <w:jc w:val="center"/>
              <w:rPr>
                <w:rFonts w:hint="eastAsia"/>
                <w:b/>
                <w:bCs/>
                <w:color w:val="auto"/>
                <w:kern w:val="0"/>
                <w:sz w:val="21"/>
                <w:szCs w:val="21"/>
                <w:highlight w:val="none"/>
                <w:u w:val="single"/>
              </w:rPr>
            </w:pPr>
            <w:r>
              <w:rPr>
                <w:rFonts w:hint="eastAsia"/>
                <w:b/>
                <w:bCs/>
                <w:color w:val="auto"/>
                <w:kern w:val="0"/>
                <w:sz w:val="21"/>
                <w:szCs w:val="21"/>
                <w:highlight w:val="none"/>
                <w:u w:val="single"/>
              </w:rPr>
              <w:t>COD</w:t>
            </w:r>
          </w:p>
        </w:tc>
        <w:tc>
          <w:tcPr>
            <w:tcW w:w="959" w:type="dxa"/>
            <w:tcBorders>
              <w:tl2br w:val="nil"/>
              <w:tr2bl w:val="nil"/>
            </w:tcBorders>
            <w:vAlign w:val="center"/>
          </w:tcPr>
          <w:p w14:paraId="10DA39AA">
            <w:pPr>
              <w:adjustRightInd w:val="0"/>
              <w:snapToGrid w:val="0"/>
              <w:jc w:val="center"/>
              <w:rPr>
                <w:rFonts w:hint="eastAsia"/>
                <w:b/>
                <w:bCs/>
                <w:color w:val="auto"/>
                <w:kern w:val="0"/>
                <w:sz w:val="21"/>
                <w:szCs w:val="21"/>
                <w:highlight w:val="none"/>
                <w:u w:val="single"/>
              </w:rPr>
            </w:pPr>
            <w:r>
              <w:rPr>
                <w:rFonts w:hint="eastAsia"/>
                <w:b/>
                <w:bCs/>
                <w:color w:val="auto"/>
                <w:kern w:val="0"/>
                <w:sz w:val="21"/>
                <w:szCs w:val="21"/>
                <w:highlight w:val="none"/>
                <w:u w:val="single"/>
              </w:rPr>
              <w:t>BOD</w:t>
            </w:r>
            <w:r>
              <w:rPr>
                <w:rFonts w:hint="eastAsia"/>
                <w:b/>
                <w:bCs/>
                <w:color w:val="auto"/>
                <w:kern w:val="0"/>
                <w:sz w:val="21"/>
                <w:szCs w:val="21"/>
                <w:highlight w:val="none"/>
                <w:u w:val="single"/>
                <w:vertAlign w:val="subscript"/>
              </w:rPr>
              <w:t>5</w:t>
            </w:r>
          </w:p>
        </w:tc>
        <w:tc>
          <w:tcPr>
            <w:tcW w:w="878" w:type="dxa"/>
            <w:tcBorders>
              <w:tl2br w:val="nil"/>
              <w:tr2bl w:val="nil"/>
            </w:tcBorders>
            <w:vAlign w:val="center"/>
          </w:tcPr>
          <w:p w14:paraId="2C5FA865">
            <w:pPr>
              <w:adjustRightInd w:val="0"/>
              <w:snapToGrid w:val="0"/>
              <w:jc w:val="center"/>
              <w:rPr>
                <w:rFonts w:hint="eastAsia"/>
                <w:b/>
                <w:bCs/>
                <w:color w:val="auto"/>
                <w:kern w:val="0"/>
                <w:sz w:val="21"/>
                <w:szCs w:val="21"/>
                <w:highlight w:val="none"/>
                <w:u w:val="single"/>
              </w:rPr>
            </w:pPr>
            <w:r>
              <w:rPr>
                <w:rFonts w:hint="eastAsia"/>
                <w:b/>
                <w:bCs/>
                <w:color w:val="auto"/>
                <w:kern w:val="0"/>
                <w:sz w:val="21"/>
                <w:szCs w:val="21"/>
                <w:highlight w:val="none"/>
                <w:u w:val="single"/>
              </w:rPr>
              <w:t>SS</w:t>
            </w:r>
          </w:p>
        </w:tc>
        <w:tc>
          <w:tcPr>
            <w:tcW w:w="1066" w:type="dxa"/>
            <w:tcBorders>
              <w:tl2br w:val="nil"/>
              <w:tr2bl w:val="nil"/>
            </w:tcBorders>
            <w:vAlign w:val="center"/>
          </w:tcPr>
          <w:p w14:paraId="5DFA6A56">
            <w:pPr>
              <w:adjustRightInd w:val="0"/>
              <w:snapToGrid w:val="0"/>
              <w:jc w:val="center"/>
              <w:rPr>
                <w:rFonts w:hint="eastAsia"/>
                <w:b/>
                <w:bCs/>
                <w:color w:val="auto"/>
                <w:kern w:val="0"/>
                <w:sz w:val="21"/>
                <w:szCs w:val="21"/>
                <w:highlight w:val="none"/>
                <w:u w:val="single"/>
              </w:rPr>
            </w:pPr>
            <w:r>
              <w:rPr>
                <w:rFonts w:hint="eastAsia"/>
                <w:b/>
                <w:bCs/>
                <w:color w:val="auto"/>
                <w:kern w:val="0"/>
                <w:sz w:val="21"/>
                <w:szCs w:val="21"/>
                <w:highlight w:val="none"/>
                <w:u w:val="single"/>
              </w:rPr>
              <w:t>NH</w:t>
            </w:r>
            <w:r>
              <w:rPr>
                <w:rFonts w:hint="eastAsia"/>
                <w:b/>
                <w:bCs/>
                <w:color w:val="auto"/>
                <w:kern w:val="0"/>
                <w:sz w:val="21"/>
                <w:szCs w:val="21"/>
                <w:highlight w:val="none"/>
                <w:u w:val="single"/>
                <w:vertAlign w:val="subscript"/>
              </w:rPr>
              <w:t>3</w:t>
            </w:r>
            <w:r>
              <w:rPr>
                <w:rFonts w:hint="eastAsia"/>
                <w:b/>
                <w:bCs/>
                <w:color w:val="auto"/>
                <w:kern w:val="0"/>
                <w:sz w:val="21"/>
                <w:szCs w:val="21"/>
                <w:highlight w:val="none"/>
                <w:u w:val="single"/>
              </w:rPr>
              <w:t>-N</w:t>
            </w:r>
          </w:p>
        </w:tc>
        <w:tc>
          <w:tcPr>
            <w:tcW w:w="986" w:type="dxa"/>
            <w:tcBorders>
              <w:tl2br w:val="nil"/>
              <w:tr2bl w:val="nil"/>
            </w:tcBorders>
            <w:vAlign w:val="center"/>
          </w:tcPr>
          <w:p w14:paraId="4CD2F827">
            <w:pPr>
              <w:adjustRightInd w:val="0"/>
              <w:snapToGrid w:val="0"/>
              <w:jc w:val="center"/>
              <w:rPr>
                <w:rFonts w:hint="eastAsia"/>
                <w:b/>
                <w:bCs/>
                <w:color w:val="auto"/>
                <w:kern w:val="0"/>
                <w:sz w:val="21"/>
                <w:szCs w:val="21"/>
                <w:highlight w:val="none"/>
                <w:u w:val="single"/>
              </w:rPr>
            </w:pPr>
            <w:r>
              <w:rPr>
                <w:rFonts w:hint="eastAsia"/>
                <w:b/>
                <w:bCs/>
                <w:color w:val="auto"/>
                <w:kern w:val="0"/>
                <w:sz w:val="21"/>
                <w:szCs w:val="21"/>
                <w:highlight w:val="none"/>
                <w:u w:val="single"/>
              </w:rPr>
              <w:t>TN</w:t>
            </w:r>
          </w:p>
        </w:tc>
        <w:tc>
          <w:tcPr>
            <w:tcW w:w="1122" w:type="dxa"/>
            <w:tcBorders>
              <w:tl2br w:val="nil"/>
              <w:tr2bl w:val="nil"/>
            </w:tcBorders>
            <w:vAlign w:val="center"/>
          </w:tcPr>
          <w:p w14:paraId="774E298D">
            <w:pPr>
              <w:adjustRightInd w:val="0"/>
              <w:snapToGrid w:val="0"/>
              <w:jc w:val="center"/>
              <w:rPr>
                <w:rFonts w:hint="eastAsia"/>
                <w:b/>
                <w:bCs/>
                <w:color w:val="auto"/>
                <w:kern w:val="0"/>
                <w:sz w:val="21"/>
                <w:szCs w:val="21"/>
                <w:highlight w:val="none"/>
                <w:u w:val="single"/>
              </w:rPr>
            </w:pPr>
            <w:r>
              <w:rPr>
                <w:rFonts w:hint="eastAsia"/>
                <w:b/>
                <w:bCs/>
                <w:color w:val="auto"/>
                <w:kern w:val="0"/>
                <w:sz w:val="21"/>
                <w:szCs w:val="21"/>
                <w:highlight w:val="none"/>
                <w:u w:val="single"/>
              </w:rPr>
              <w:t>TP</w:t>
            </w:r>
          </w:p>
        </w:tc>
      </w:tr>
      <w:tr w14:paraId="304D12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0" w:type="dxa"/>
            <w:vMerge w:val="restart"/>
            <w:tcBorders>
              <w:tl2br w:val="nil"/>
              <w:tr2bl w:val="nil"/>
            </w:tcBorders>
            <w:vAlign w:val="center"/>
          </w:tcPr>
          <w:p w14:paraId="3627159A">
            <w:pPr>
              <w:adjustRightInd w:val="0"/>
              <w:snapToGrid w:val="0"/>
              <w:jc w:val="center"/>
              <w:rPr>
                <w:rFonts w:hint="eastAsia"/>
                <w:color w:val="auto"/>
                <w:kern w:val="0"/>
                <w:sz w:val="21"/>
                <w:szCs w:val="21"/>
                <w:highlight w:val="none"/>
                <w:u w:val="single"/>
              </w:rPr>
            </w:pPr>
            <w:r>
              <w:rPr>
                <w:rFonts w:hint="eastAsia"/>
                <w:color w:val="auto"/>
                <w:kern w:val="0"/>
                <w:sz w:val="21"/>
                <w:szCs w:val="21"/>
                <w:highlight w:val="none"/>
                <w:u w:val="single"/>
              </w:rPr>
              <w:t>处理前</w:t>
            </w:r>
          </w:p>
        </w:tc>
        <w:tc>
          <w:tcPr>
            <w:tcW w:w="1385" w:type="dxa"/>
            <w:tcBorders>
              <w:tl2br w:val="nil"/>
              <w:tr2bl w:val="nil"/>
            </w:tcBorders>
            <w:vAlign w:val="center"/>
          </w:tcPr>
          <w:p w14:paraId="303AF092">
            <w:pPr>
              <w:adjustRightInd w:val="0"/>
              <w:snapToGrid w:val="0"/>
              <w:jc w:val="center"/>
              <w:rPr>
                <w:rFonts w:hint="eastAsia" w:eastAsia="宋体"/>
                <w:color w:val="auto"/>
                <w:kern w:val="0"/>
                <w:sz w:val="21"/>
                <w:szCs w:val="21"/>
                <w:highlight w:val="none"/>
                <w:u w:val="single"/>
                <w:lang w:eastAsia="zh-CN"/>
              </w:rPr>
            </w:pPr>
            <w:r>
              <w:rPr>
                <w:rFonts w:hint="eastAsia"/>
                <w:color w:val="auto"/>
                <w:kern w:val="0"/>
                <w:sz w:val="21"/>
                <w:szCs w:val="21"/>
                <w:highlight w:val="none"/>
                <w:u w:val="single"/>
              </w:rPr>
              <w:t>浓度</w:t>
            </w:r>
            <w:r>
              <w:rPr>
                <w:rFonts w:hint="eastAsia"/>
                <w:color w:val="auto"/>
                <w:kern w:val="0"/>
                <w:sz w:val="21"/>
                <w:szCs w:val="21"/>
                <w:highlight w:val="none"/>
                <w:u w:val="single"/>
                <w:lang w:eastAsia="zh-CN"/>
              </w:rPr>
              <w:t>（</w:t>
            </w:r>
            <w:r>
              <w:rPr>
                <w:rFonts w:hint="eastAsia"/>
                <w:color w:val="auto"/>
                <w:kern w:val="0"/>
                <w:sz w:val="21"/>
                <w:szCs w:val="21"/>
                <w:highlight w:val="none"/>
                <w:u w:val="single"/>
                <w:lang w:val="en-US" w:eastAsia="zh-CN"/>
              </w:rPr>
              <w:t>mg/L</w:t>
            </w:r>
            <w:r>
              <w:rPr>
                <w:rFonts w:hint="eastAsia"/>
                <w:color w:val="auto"/>
                <w:kern w:val="0"/>
                <w:sz w:val="21"/>
                <w:szCs w:val="21"/>
                <w:highlight w:val="none"/>
                <w:u w:val="single"/>
                <w:lang w:eastAsia="zh-CN"/>
              </w:rPr>
              <w:t>）</w:t>
            </w:r>
          </w:p>
        </w:tc>
        <w:tc>
          <w:tcPr>
            <w:tcW w:w="1155" w:type="dxa"/>
            <w:vMerge w:val="restart"/>
            <w:tcBorders>
              <w:tl2br w:val="nil"/>
              <w:tr2bl w:val="nil"/>
            </w:tcBorders>
            <w:vAlign w:val="center"/>
          </w:tcPr>
          <w:p w14:paraId="65BA9250">
            <w:pPr>
              <w:adjustRightInd w:val="0"/>
              <w:snapToGrid w:val="0"/>
              <w:jc w:val="center"/>
              <w:rPr>
                <w:rFonts w:hint="eastAsia"/>
                <w:color w:val="auto"/>
                <w:kern w:val="0"/>
                <w:sz w:val="21"/>
                <w:szCs w:val="21"/>
                <w:highlight w:val="none"/>
                <w:u w:val="single"/>
              </w:rPr>
            </w:pPr>
            <w:r>
              <w:rPr>
                <w:rFonts w:hint="eastAsia"/>
                <w:color w:val="auto"/>
                <w:kern w:val="0"/>
                <w:sz w:val="21"/>
                <w:szCs w:val="21"/>
                <w:highlight w:val="none"/>
                <w:u w:val="single"/>
                <w:lang w:val="en-US" w:eastAsia="zh-CN"/>
              </w:rPr>
              <w:t>15000</w:t>
            </w:r>
            <w:r>
              <w:rPr>
                <w:rFonts w:hint="eastAsia"/>
                <w:color w:val="auto"/>
                <w:kern w:val="0"/>
                <w:sz w:val="21"/>
                <w:szCs w:val="21"/>
                <w:highlight w:val="none"/>
                <w:u w:val="single"/>
                <w:lang w:eastAsia="zh-CN"/>
              </w:rPr>
              <w:t>（</w:t>
            </w:r>
            <w:r>
              <w:rPr>
                <w:rFonts w:hint="eastAsia"/>
                <w:color w:val="auto"/>
                <w:kern w:val="0"/>
                <w:sz w:val="21"/>
                <w:szCs w:val="21"/>
                <w:highlight w:val="none"/>
                <w:u w:val="single"/>
              </w:rPr>
              <w:t>m</w:t>
            </w:r>
            <w:r>
              <w:rPr>
                <w:rFonts w:hint="eastAsia"/>
                <w:color w:val="auto"/>
                <w:kern w:val="0"/>
                <w:sz w:val="21"/>
                <w:szCs w:val="21"/>
                <w:highlight w:val="none"/>
                <w:u w:val="single"/>
                <w:vertAlign w:val="superscript"/>
              </w:rPr>
              <w:t>3</w:t>
            </w:r>
            <w:r>
              <w:rPr>
                <w:rFonts w:hint="eastAsia"/>
                <w:color w:val="auto"/>
                <w:kern w:val="0"/>
                <w:sz w:val="21"/>
                <w:szCs w:val="21"/>
                <w:highlight w:val="none"/>
                <w:u w:val="single"/>
              </w:rPr>
              <w:t>/d</w:t>
            </w:r>
            <w:r>
              <w:rPr>
                <w:rFonts w:hint="eastAsia"/>
                <w:color w:val="auto"/>
                <w:kern w:val="0"/>
                <w:sz w:val="21"/>
                <w:szCs w:val="21"/>
                <w:highlight w:val="none"/>
                <w:u w:val="single"/>
                <w:lang w:eastAsia="zh-CN"/>
              </w:rPr>
              <w:t>）</w:t>
            </w:r>
          </w:p>
        </w:tc>
        <w:tc>
          <w:tcPr>
            <w:tcW w:w="820" w:type="dxa"/>
            <w:tcBorders>
              <w:tl2br w:val="nil"/>
              <w:tr2bl w:val="nil"/>
            </w:tcBorders>
            <w:vAlign w:val="center"/>
          </w:tcPr>
          <w:p w14:paraId="4008720A">
            <w:pPr>
              <w:keepNext w:val="0"/>
              <w:keepLines w:val="0"/>
              <w:widowControl/>
              <w:suppressLineNumbers w:val="0"/>
              <w:jc w:val="center"/>
              <w:textAlignment w:val="center"/>
              <w:rPr>
                <w:rFonts w:hint="default" w:eastAsia="宋体"/>
                <w:color w:val="auto"/>
                <w:kern w:val="0"/>
                <w:sz w:val="21"/>
                <w:szCs w:val="21"/>
                <w:highlight w:val="none"/>
                <w:u w:val="single"/>
                <w:lang w:val="en-US" w:eastAsia="zh-CN"/>
              </w:rPr>
            </w:pPr>
            <w:r>
              <w:rPr>
                <w:rFonts w:hint="eastAsia" w:cs="Times New Roman"/>
                <w:i w:val="0"/>
                <w:iCs w:val="0"/>
                <w:color w:val="auto"/>
                <w:kern w:val="0"/>
                <w:sz w:val="21"/>
                <w:szCs w:val="21"/>
                <w:u w:val="single"/>
                <w:lang w:val="en-US" w:eastAsia="zh-CN" w:bidi="ar"/>
              </w:rPr>
              <w:t>165</w:t>
            </w:r>
          </w:p>
        </w:tc>
        <w:tc>
          <w:tcPr>
            <w:tcW w:w="959" w:type="dxa"/>
            <w:tcBorders>
              <w:tl2br w:val="nil"/>
              <w:tr2bl w:val="nil"/>
            </w:tcBorders>
            <w:vAlign w:val="center"/>
          </w:tcPr>
          <w:p w14:paraId="6AC4F83E">
            <w:pPr>
              <w:keepNext w:val="0"/>
              <w:keepLines w:val="0"/>
              <w:widowControl/>
              <w:suppressLineNumbers w:val="0"/>
              <w:jc w:val="center"/>
              <w:textAlignment w:val="center"/>
              <w:rPr>
                <w:rFonts w:hint="default" w:eastAsia="宋体"/>
                <w:color w:val="auto"/>
                <w:kern w:val="0"/>
                <w:sz w:val="21"/>
                <w:szCs w:val="21"/>
                <w:highlight w:val="none"/>
                <w:u w:val="single"/>
                <w:lang w:val="en-US" w:eastAsia="zh-CN"/>
              </w:rPr>
            </w:pPr>
            <w:r>
              <w:rPr>
                <w:rFonts w:hint="eastAsia" w:cs="Times New Roman"/>
                <w:i w:val="0"/>
                <w:iCs w:val="0"/>
                <w:color w:val="auto"/>
                <w:kern w:val="0"/>
                <w:sz w:val="21"/>
                <w:szCs w:val="21"/>
                <w:u w:val="single"/>
                <w:lang w:val="en-US" w:eastAsia="zh-CN" w:bidi="ar"/>
              </w:rPr>
              <w:t>60</w:t>
            </w:r>
          </w:p>
        </w:tc>
        <w:tc>
          <w:tcPr>
            <w:tcW w:w="878" w:type="dxa"/>
            <w:tcBorders>
              <w:tl2br w:val="nil"/>
              <w:tr2bl w:val="nil"/>
            </w:tcBorders>
            <w:vAlign w:val="center"/>
          </w:tcPr>
          <w:p w14:paraId="496396D1">
            <w:pPr>
              <w:keepNext w:val="0"/>
              <w:keepLines w:val="0"/>
              <w:widowControl/>
              <w:suppressLineNumbers w:val="0"/>
              <w:jc w:val="center"/>
              <w:textAlignment w:val="center"/>
              <w:rPr>
                <w:rFonts w:hint="default" w:eastAsia="宋体"/>
                <w:color w:val="auto"/>
                <w:kern w:val="0"/>
                <w:sz w:val="21"/>
                <w:szCs w:val="21"/>
                <w:highlight w:val="none"/>
                <w:u w:val="single"/>
                <w:lang w:val="en-US" w:eastAsia="zh-CN"/>
              </w:rPr>
            </w:pPr>
            <w:r>
              <w:rPr>
                <w:rFonts w:hint="eastAsia" w:cs="Times New Roman"/>
                <w:i w:val="0"/>
                <w:iCs w:val="0"/>
                <w:color w:val="auto"/>
                <w:kern w:val="0"/>
                <w:sz w:val="21"/>
                <w:szCs w:val="21"/>
                <w:u w:val="single"/>
                <w:lang w:val="en-US" w:eastAsia="zh-CN" w:bidi="ar"/>
              </w:rPr>
              <w:t>60</w:t>
            </w:r>
          </w:p>
        </w:tc>
        <w:tc>
          <w:tcPr>
            <w:tcW w:w="1066" w:type="dxa"/>
            <w:tcBorders>
              <w:tl2br w:val="nil"/>
              <w:tr2bl w:val="nil"/>
            </w:tcBorders>
            <w:vAlign w:val="center"/>
          </w:tcPr>
          <w:p w14:paraId="72C85E1F">
            <w:pPr>
              <w:keepNext w:val="0"/>
              <w:keepLines w:val="0"/>
              <w:widowControl/>
              <w:suppressLineNumbers w:val="0"/>
              <w:jc w:val="center"/>
              <w:textAlignment w:val="center"/>
              <w:rPr>
                <w:rFonts w:hint="default" w:eastAsia="宋体"/>
                <w:color w:val="auto"/>
                <w:kern w:val="0"/>
                <w:sz w:val="21"/>
                <w:szCs w:val="21"/>
                <w:highlight w:val="none"/>
                <w:u w:val="single"/>
                <w:lang w:val="en-US" w:eastAsia="zh-CN"/>
              </w:rPr>
            </w:pPr>
            <w:r>
              <w:rPr>
                <w:rFonts w:hint="eastAsia" w:cs="Times New Roman"/>
                <w:i w:val="0"/>
                <w:iCs w:val="0"/>
                <w:color w:val="auto"/>
                <w:kern w:val="0"/>
                <w:sz w:val="21"/>
                <w:szCs w:val="21"/>
                <w:u w:val="single"/>
                <w:lang w:val="en-US" w:eastAsia="zh-CN" w:bidi="ar"/>
              </w:rPr>
              <w:t>23</w:t>
            </w:r>
          </w:p>
        </w:tc>
        <w:tc>
          <w:tcPr>
            <w:tcW w:w="986" w:type="dxa"/>
            <w:tcBorders>
              <w:tl2br w:val="nil"/>
              <w:tr2bl w:val="nil"/>
            </w:tcBorders>
            <w:vAlign w:val="center"/>
          </w:tcPr>
          <w:p w14:paraId="71B16ADE">
            <w:pPr>
              <w:keepNext w:val="0"/>
              <w:keepLines w:val="0"/>
              <w:widowControl/>
              <w:suppressLineNumbers w:val="0"/>
              <w:jc w:val="center"/>
              <w:textAlignment w:val="center"/>
              <w:rPr>
                <w:rFonts w:hint="default" w:eastAsia="宋体"/>
                <w:color w:val="auto"/>
                <w:kern w:val="0"/>
                <w:sz w:val="21"/>
                <w:szCs w:val="21"/>
                <w:highlight w:val="none"/>
                <w:u w:val="single"/>
                <w:lang w:val="en-US" w:eastAsia="zh-CN"/>
              </w:rPr>
            </w:pPr>
            <w:r>
              <w:rPr>
                <w:rFonts w:hint="eastAsia" w:cs="Times New Roman"/>
                <w:i w:val="0"/>
                <w:iCs w:val="0"/>
                <w:color w:val="auto"/>
                <w:kern w:val="0"/>
                <w:sz w:val="21"/>
                <w:szCs w:val="21"/>
                <w:u w:val="single"/>
                <w:lang w:val="en-US" w:eastAsia="zh-CN" w:bidi="ar"/>
              </w:rPr>
              <w:t>34</w:t>
            </w:r>
          </w:p>
        </w:tc>
        <w:tc>
          <w:tcPr>
            <w:tcW w:w="1122" w:type="dxa"/>
            <w:tcBorders>
              <w:tl2br w:val="nil"/>
              <w:tr2bl w:val="nil"/>
            </w:tcBorders>
            <w:vAlign w:val="center"/>
          </w:tcPr>
          <w:p w14:paraId="1E5676CD">
            <w:pPr>
              <w:keepNext w:val="0"/>
              <w:keepLines w:val="0"/>
              <w:widowControl/>
              <w:suppressLineNumbers w:val="0"/>
              <w:jc w:val="center"/>
              <w:textAlignment w:val="center"/>
              <w:rPr>
                <w:rFonts w:hint="default" w:eastAsia="宋体"/>
                <w:color w:val="auto"/>
                <w:kern w:val="0"/>
                <w:sz w:val="21"/>
                <w:szCs w:val="21"/>
                <w:highlight w:val="none"/>
                <w:u w:val="single"/>
                <w:lang w:val="en-US" w:eastAsia="zh-CN"/>
              </w:rPr>
            </w:pPr>
            <w:r>
              <w:rPr>
                <w:rFonts w:hint="eastAsia" w:cs="Times New Roman"/>
                <w:i w:val="0"/>
                <w:iCs w:val="0"/>
                <w:color w:val="auto"/>
                <w:kern w:val="0"/>
                <w:sz w:val="21"/>
                <w:szCs w:val="21"/>
                <w:u w:val="single"/>
                <w:lang w:val="en-US" w:eastAsia="zh-CN" w:bidi="ar"/>
              </w:rPr>
              <w:t>1.5</w:t>
            </w:r>
          </w:p>
        </w:tc>
      </w:tr>
      <w:tr w14:paraId="6D75B7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0" w:type="dxa"/>
            <w:vMerge w:val="continue"/>
            <w:tcBorders>
              <w:tl2br w:val="nil"/>
              <w:tr2bl w:val="nil"/>
            </w:tcBorders>
            <w:vAlign w:val="center"/>
          </w:tcPr>
          <w:p w14:paraId="644BF25C">
            <w:pPr>
              <w:adjustRightInd w:val="0"/>
              <w:snapToGrid w:val="0"/>
              <w:jc w:val="center"/>
              <w:rPr>
                <w:rFonts w:hint="eastAsia"/>
                <w:color w:val="auto"/>
                <w:kern w:val="0"/>
                <w:sz w:val="21"/>
                <w:szCs w:val="21"/>
                <w:highlight w:val="none"/>
                <w:u w:val="single"/>
              </w:rPr>
            </w:pPr>
          </w:p>
        </w:tc>
        <w:tc>
          <w:tcPr>
            <w:tcW w:w="1385" w:type="dxa"/>
            <w:tcBorders>
              <w:tl2br w:val="nil"/>
              <w:tr2bl w:val="nil"/>
            </w:tcBorders>
            <w:vAlign w:val="center"/>
          </w:tcPr>
          <w:p w14:paraId="60E7A7DB">
            <w:pPr>
              <w:adjustRightInd w:val="0"/>
              <w:snapToGrid w:val="0"/>
              <w:jc w:val="center"/>
              <w:rPr>
                <w:rFonts w:hint="eastAsia" w:eastAsia="宋体"/>
                <w:color w:val="auto"/>
                <w:kern w:val="0"/>
                <w:sz w:val="21"/>
                <w:szCs w:val="21"/>
                <w:highlight w:val="none"/>
                <w:u w:val="single"/>
                <w:lang w:eastAsia="zh-CN"/>
              </w:rPr>
            </w:pPr>
            <w:r>
              <w:rPr>
                <w:rFonts w:hint="eastAsia"/>
                <w:color w:val="auto"/>
                <w:kern w:val="0"/>
                <w:sz w:val="21"/>
                <w:szCs w:val="21"/>
                <w:highlight w:val="none"/>
                <w:u w:val="single"/>
              </w:rPr>
              <w:t>产生量</w:t>
            </w:r>
            <w:r>
              <w:rPr>
                <w:rFonts w:hint="eastAsia"/>
                <w:color w:val="auto"/>
                <w:kern w:val="0"/>
                <w:sz w:val="21"/>
                <w:szCs w:val="21"/>
                <w:highlight w:val="none"/>
                <w:u w:val="single"/>
                <w:lang w:eastAsia="zh-CN"/>
              </w:rPr>
              <w:t>（</w:t>
            </w:r>
            <w:r>
              <w:rPr>
                <w:rFonts w:hint="eastAsia"/>
                <w:color w:val="auto"/>
                <w:kern w:val="0"/>
                <w:sz w:val="21"/>
                <w:szCs w:val="21"/>
                <w:highlight w:val="none"/>
                <w:u w:val="single"/>
                <w:lang w:val="en-US" w:eastAsia="zh-CN"/>
              </w:rPr>
              <w:t>t/a</w:t>
            </w:r>
            <w:r>
              <w:rPr>
                <w:rFonts w:hint="eastAsia"/>
                <w:color w:val="auto"/>
                <w:kern w:val="0"/>
                <w:sz w:val="21"/>
                <w:szCs w:val="21"/>
                <w:highlight w:val="none"/>
                <w:u w:val="single"/>
                <w:lang w:eastAsia="zh-CN"/>
              </w:rPr>
              <w:t>）</w:t>
            </w:r>
          </w:p>
        </w:tc>
        <w:tc>
          <w:tcPr>
            <w:tcW w:w="1155" w:type="dxa"/>
            <w:vMerge w:val="continue"/>
            <w:tcBorders>
              <w:tl2br w:val="nil"/>
              <w:tr2bl w:val="nil"/>
            </w:tcBorders>
            <w:vAlign w:val="center"/>
          </w:tcPr>
          <w:p w14:paraId="3598A91A">
            <w:pPr>
              <w:adjustRightInd w:val="0"/>
              <w:snapToGrid w:val="0"/>
              <w:jc w:val="center"/>
              <w:rPr>
                <w:rFonts w:hint="eastAsia"/>
                <w:color w:val="auto"/>
                <w:kern w:val="0"/>
                <w:sz w:val="21"/>
                <w:szCs w:val="21"/>
                <w:highlight w:val="none"/>
                <w:u w:val="single"/>
              </w:rPr>
            </w:pPr>
          </w:p>
        </w:tc>
        <w:tc>
          <w:tcPr>
            <w:tcW w:w="820" w:type="dxa"/>
            <w:tcBorders>
              <w:tl2br w:val="nil"/>
              <w:tr2bl w:val="nil"/>
            </w:tcBorders>
            <w:vAlign w:val="center"/>
          </w:tcPr>
          <w:p w14:paraId="59D4B516">
            <w:pPr>
              <w:keepNext w:val="0"/>
              <w:keepLines w:val="0"/>
              <w:widowControl/>
              <w:suppressLineNumbers w:val="0"/>
              <w:jc w:val="center"/>
              <w:textAlignment w:val="center"/>
              <w:rPr>
                <w:rFonts w:hint="default"/>
                <w:color w:val="auto"/>
                <w:kern w:val="0"/>
                <w:sz w:val="21"/>
                <w:szCs w:val="21"/>
                <w:highlight w:val="none"/>
                <w:u w:val="single"/>
                <w:lang w:val="en-US"/>
              </w:rPr>
            </w:pPr>
            <w:r>
              <w:rPr>
                <w:rFonts w:hint="eastAsia" w:cs="Times New Roman"/>
                <w:i w:val="0"/>
                <w:iCs w:val="0"/>
                <w:color w:val="auto"/>
                <w:kern w:val="0"/>
                <w:sz w:val="21"/>
                <w:szCs w:val="21"/>
                <w:u w:val="single"/>
                <w:lang w:val="en-US" w:eastAsia="zh-CN" w:bidi="ar"/>
              </w:rPr>
              <w:t>903.375</w:t>
            </w:r>
          </w:p>
        </w:tc>
        <w:tc>
          <w:tcPr>
            <w:tcW w:w="959" w:type="dxa"/>
            <w:tcBorders>
              <w:tl2br w:val="nil"/>
              <w:tr2bl w:val="nil"/>
            </w:tcBorders>
            <w:vAlign w:val="center"/>
          </w:tcPr>
          <w:p w14:paraId="5A52F3CA">
            <w:pPr>
              <w:keepNext w:val="0"/>
              <w:keepLines w:val="0"/>
              <w:widowControl/>
              <w:suppressLineNumbers w:val="0"/>
              <w:jc w:val="center"/>
              <w:textAlignment w:val="center"/>
              <w:rPr>
                <w:rFonts w:hint="default"/>
                <w:color w:val="auto"/>
                <w:kern w:val="0"/>
                <w:sz w:val="21"/>
                <w:szCs w:val="21"/>
                <w:highlight w:val="none"/>
                <w:u w:val="single"/>
                <w:lang w:val="en-US"/>
              </w:rPr>
            </w:pPr>
            <w:r>
              <w:rPr>
                <w:rFonts w:hint="eastAsia" w:cs="Times New Roman"/>
                <w:i w:val="0"/>
                <w:iCs w:val="0"/>
                <w:color w:val="auto"/>
                <w:kern w:val="0"/>
                <w:sz w:val="21"/>
                <w:szCs w:val="21"/>
                <w:u w:val="single"/>
                <w:lang w:val="en-US" w:eastAsia="zh-CN" w:bidi="ar"/>
              </w:rPr>
              <w:t>328.5</w:t>
            </w:r>
          </w:p>
        </w:tc>
        <w:tc>
          <w:tcPr>
            <w:tcW w:w="878" w:type="dxa"/>
            <w:tcBorders>
              <w:tl2br w:val="nil"/>
              <w:tr2bl w:val="nil"/>
            </w:tcBorders>
            <w:vAlign w:val="center"/>
          </w:tcPr>
          <w:p w14:paraId="6C3C28C3">
            <w:pPr>
              <w:keepNext w:val="0"/>
              <w:keepLines w:val="0"/>
              <w:widowControl/>
              <w:suppressLineNumbers w:val="0"/>
              <w:jc w:val="center"/>
              <w:textAlignment w:val="center"/>
              <w:rPr>
                <w:rFonts w:hint="default"/>
                <w:color w:val="auto"/>
                <w:kern w:val="0"/>
                <w:sz w:val="21"/>
                <w:szCs w:val="21"/>
                <w:highlight w:val="none"/>
                <w:u w:val="single"/>
                <w:lang w:val="en-US"/>
              </w:rPr>
            </w:pPr>
            <w:r>
              <w:rPr>
                <w:rFonts w:hint="eastAsia" w:cs="Times New Roman"/>
                <w:i w:val="0"/>
                <w:iCs w:val="0"/>
                <w:color w:val="auto"/>
                <w:kern w:val="0"/>
                <w:sz w:val="21"/>
                <w:szCs w:val="21"/>
                <w:u w:val="single"/>
                <w:lang w:val="en-US" w:eastAsia="zh-CN" w:bidi="ar"/>
              </w:rPr>
              <w:t>328.5</w:t>
            </w:r>
          </w:p>
        </w:tc>
        <w:tc>
          <w:tcPr>
            <w:tcW w:w="1066" w:type="dxa"/>
            <w:tcBorders>
              <w:tl2br w:val="nil"/>
              <w:tr2bl w:val="nil"/>
            </w:tcBorders>
            <w:vAlign w:val="center"/>
          </w:tcPr>
          <w:p w14:paraId="7E5F9068">
            <w:pPr>
              <w:keepNext w:val="0"/>
              <w:keepLines w:val="0"/>
              <w:widowControl/>
              <w:suppressLineNumbers w:val="0"/>
              <w:jc w:val="center"/>
              <w:textAlignment w:val="center"/>
              <w:rPr>
                <w:rFonts w:hint="default"/>
                <w:color w:val="auto"/>
                <w:kern w:val="0"/>
                <w:sz w:val="21"/>
                <w:szCs w:val="21"/>
                <w:highlight w:val="none"/>
                <w:u w:val="single"/>
                <w:lang w:val="en-US"/>
              </w:rPr>
            </w:pPr>
            <w:r>
              <w:rPr>
                <w:rFonts w:hint="eastAsia" w:cs="Times New Roman"/>
                <w:i w:val="0"/>
                <w:iCs w:val="0"/>
                <w:color w:val="auto"/>
                <w:kern w:val="0"/>
                <w:sz w:val="21"/>
                <w:szCs w:val="21"/>
                <w:u w:val="single"/>
                <w:lang w:val="en-US" w:eastAsia="zh-CN" w:bidi="ar"/>
              </w:rPr>
              <w:t>125.9</w:t>
            </w:r>
          </w:p>
        </w:tc>
        <w:tc>
          <w:tcPr>
            <w:tcW w:w="986" w:type="dxa"/>
            <w:tcBorders>
              <w:tl2br w:val="nil"/>
              <w:tr2bl w:val="nil"/>
            </w:tcBorders>
            <w:vAlign w:val="center"/>
          </w:tcPr>
          <w:p w14:paraId="17D84F0B">
            <w:pPr>
              <w:keepNext w:val="0"/>
              <w:keepLines w:val="0"/>
              <w:widowControl/>
              <w:suppressLineNumbers w:val="0"/>
              <w:jc w:val="center"/>
              <w:textAlignment w:val="center"/>
              <w:rPr>
                <w:rFonts w:hint="default"/>
                <w:color w:val="auto"/>
                <w:kern w:val="0"/>
                <w:sz w:val="21"/>
                <w:szCs w:val="21"/>
                <w:highlight w:val="none"/>
                <w:u w:val="single"/>
                <w:lang w:val="en-US"/>
              </w:rPr>
            </w:pPr>
            <w:r>
              <w:rPr>
                <w:rFonts w:hint="eastAsia" w:cs="Times New Roman"/>
                <w:i w:val="0"/>
                <w:iCs w:val="0"/>
                <w:color w:val="auto"/>
                <w:kern w:val="0"/>
                <w:sz w:val="21"/>
                <w:szCs w:val="21"/>
                <w:u w:val="single"/>
                <w:lang w:val="en-US" w:eastAsia="zh-CN" w:bidi="ar"/>
              </w:rPr>
              <w:t>186.15</w:t>
            </w:r>
          </w:p>
        </w:tc>
        <w:tc>
          <w:tcPr>
            <w:tcW w:w="1122" w:type="dxa"/>
            <w:tcBorders>
              <w:tl2br w:val="nil"/>
              <w:tr2bl w:val="nil"/>
            </w:tcBorders>
            <w:vAlign w:val="center"/>
          </w:tcPr>
          <w:p w14:paraId="7C8DBE13">
            <w:pPr>
              <w:keepNext w:val="0"/>
              <w:keepLines w:val="0"/>
              <w:widowControl/>
              <w:suppressLineNumbers w:val="0"/>
              <w:jc w:val="center"/>
              <w:textAlignment w:val="center"/>
              <w:rPr>
                <w:rFonts w:hint="default"/>
                <w:color w:val="auto"/>
                <w:kern w:val="0"/>
                <w:sz w:val="21"/>
                <w:szCs w:val="21"/>
                <w:highlight w:val="none"/>
                <w:u w:val="single"/>
                <w:lang w:val="en-US"/>
              </w:rPr>
            </w:pPr>
            <w:r>
              <w:rPr>
                <w:rFonts w:hint="eastAsia" w:cs="Times New Roman"/>
                <w:i w:val="0"/>
                <w:iCs w:val="0"/>
                <w:color w:val="auto"/>
                <w:kern w:val="0"/>
                <w:sz w:val="21"/>
                <w:szCs w:val="21"/>
                <w:u w:val="single"/>
                <w:lang w:val="en-US" w:eastAsia="zh-CN" w:bidi="ar"/>
              </w:rPr>
              <w:t>8.2</w:t>
            </w:r>
          </w:p>
        </w:tc>
      </w:tr>
      <w:tr w14:paraId="6BD165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0" w:type="dxa"/>
            <w:vMerge w:val="restart"/>
            <w:tcBorders>
              <w:tl2br w:val="nil"/>
              <w:tr2bl w:val="nil"/>
            </w:tcBorders>
            <w:vAlign w:val="center"/>
          </w:tcPr>
          <w:p w14:paraId="0EA05515">
            <w:pPr>
              <w:adjustRightInd w:val="0"/>
              <w:snapToGrid w:val="0"/>
              <w:jc w:val="center"/>
              <w:rPr>
                <w:rFonts w:hint="eastAsia"/>
                <w:color w:val="auto"/>
                <w:kern w:val="0"/>
                <w:sz w:val="21"/>
                <w:szCs w:val="21"/>
                <w:highlight w:val="none"/>
                <w:u w:val="single"/>
              </w:rPr>
            </w:pPr>
            <w:r>
              <w:rPr>
                <w:rFonts w:hint="eastAsia"/>
                <w:color w:val="auto"/>
                <w:kern w:val="0"/>
                <w:sz w:val="21"/>
                <w:szCs w:val="21"/>
                <w:highlight w:val="none"/>
                <w:u w:val="single"/>
              </w:rPr>
              <w:t>处理后</w:t>
            </w:r>
          </w:p>
        </w:tc>
        <w:tc>
          <w:tcPr>
            <w:tcW w:w="1385" w:type="dxa"/>
            <w:tcBorders>
              <w:tl2br w:val="nil"/>
              <w:tr2bl w:val="nil"/>
            </w:tcBorders>
            <w:vAlign w:val="center"/>
          </w:tcPr>
          <w:p w14:paraId="624F2348">
            <w:pPr>
              <w:adjustRightInd w:val="0"/>
              <w:snapToGrid w:val="0"/>
              <w:jc w:val="center"/>
              <w:rPr>
                <w:rFonts w:hint="eastAsia"/>
                <w:color w:val="auto"/>
                <w:kern w:val="0"/>
                <w:sz w:val="21"/>
                <w:szCs w:val="21"/>
                <w:highlight w:val="none"/>
                <w:u w:val="single"/>
              </w:rPr>
            </w:pPr>
            <w:r>
              <w:rPr>
                <w:rFonts w:hint="eastAsia"/>
                <w:color w:val="auto"/>
                <w:kern w:val="0"/>
                <w:sz w:val="21"/>
                <w:szCs w:val="21"/>
                <w:highlight w:val="none"/>
                <w:u w:val="single"/>
              </w:rPr>
              <w:t>浓度</w:t>
            </w:r>
            <w:r>
              <w:rPr>
                <w:rFonts w:hint="eastAsia"/>
                <w:color w:val="auto"/>
                <w:kern w:val="0"/>
                <w:sz w:val="21"/>
                <w:szCs w:val="21"/>
                <w:highlight w:val="none"/>
                <w:u w:val="single"/>
                <w:lang w:eastAsia="zh-CN"/>
              </w:rPr>
              <w:t>（</w:t>
            </w:r>
            <w:r>
              <w:rPr>
                <w:rFonts w:hint="eastAsia"/>
                <w:color w:val="auto"/>
                <w:kern w:val="0"/>
                <w:sz w:val="21"/>
                <w:szCs w:val="21"/>
                <w:highlight w:val="none"/>
                <w:u w:val="single"/>
                <w:lang w:val="en-US" w:eastAsia="zh-CN"/>
              </w:rPr>
              <w:t>mg/L</w:t>
            </w:r>
            <w:r>
              <w:rPr>
                <w:rFonts w:hint="eastAsia"/>
                <w:color w:val="auto"/>
                <w:kern w:val="0"/>
                <w:sz w:val="21"/>
                <w:szCs w:val="21"/>
                <w:highlight w:val="none"/>
                <w:u w:val="single"/>
                <w:lang w:eastAsia="zh-CN"/>
              </w:rPr>
              <w:t>）</w:t>
            </w:r>
          </w:p>
        </w:tc>
        <w:tc>
          <w:tcPr>
            <w:tcW w:w="1155" w:type="dxa"/>
            <w:vMerge w:val="restart"/>
            <w:tcBorders>
              <w:tl2br w:val="nil"/>
              <w:tr2bl w:val="nil"/>
            </w:tcBorders>
            <w:vAlign w:val="center"/>
          </w:tcPr>
          <w:p w14:paraId="4BF643F6">
            <w:pPr>
              <w:adjustRightInd w:val="0"/>
              <w:snapToGrid w:val="0"/>
              <w:jc w:val="center"/>
              <w:rPr>
                <w:rFonts w:hint="eastAsia"/>
                <w:color w:val="auto"/>
                <w:kern w:val="0"/>
                <w:sz w:val="21"/>
                <w:szCs w:val="21"/>
                <w:highlight w:val="none"/>
                <w:u w:val="single"/>
              </w:rPr>
            </w:pPr>
            <w:r>
              <w:rPr>
                <w:rFonts w:hint="eastAsia"/>
                <w:color w:val="auto"/>
                <w:kern w:val="0"/>
                <w:sz w:val="21"/>
                <w:szCs w:val="21"/>
                <w:highlight w:val="none"/>
                <w:u w:val="single"/>
                <w:lang w:val="en-US" w:eastAsia="zh-CN"/>
              </w:rPr>
              <w:t>15000</w:t>
            </w:r>
            <w:r>
              <w:rPr>
                <w:rFonts w:hint="eastAsia"/>
                <w:color w:val="auto"/>
                <w:kern w:val="0"/>
                <w:sz w:val="21"/>
                <w:szCs w:val="21"/>
                <w:highlight w:val="none"/>
                <w:u w:val="single"/>
                <w:lang w:eastAsia="zh-CN"/>
              </w:rPr>
              <w:t>（</w:t>
            </w:r>
            <w:r>
              <w:rPr>
                <w:rFonts w:hint="eastAsia"/>
                <w:color w:val="auto"/>
                <w:kern w:val="0"/>
                <w:sz w:val="21"/>
                <w:szCs w:val="21"/>
                <w:highlight w:val="none"/>
                <w:u w:val="single"/>
              </w:rPr>
              <w:t>m</w:t>
            </w:r>
            <w:r>
              <w:rPr>
                <w:rFonts w:hint="eastAsia"/>
                <w:color w:val="auto"/>
                <w:kern w:val="0"/>
                <w:sz w:val="21"/>
                <w:szCs w:val="21"/>
                <w:highlight w:val="none"/>
                <w:u w:val="single"/>
                <w:vertAlign w:val="superscript"/>
              </w:rPr>
              <w:t>3</w:t>
            </w:r>
            <w:r>
              <w:rPr>
                <w:rFonts w:hint="eastAsia"/>
                <w:color w:val="auto"/>
                <w:kern w:val="0"/>
                <w:sz w:val="21"/>
                <w:szCs w:val="21"/>
                <w:highlight w:val="none"/>
                <w:u w:val="single"/>
              </w:rPr>
              <w:t>/d</w:t>
            </w:r>
            <w:r>
              <w:rPr>
                <w:rFonts w:hint="eastAsia"/>
                <w:color w:val="auto"/>
                <w:kern w:val="0"/>
                <w:sz w:val="21"/>
                <w:szCs w:val="21"/>
                <w:highlight w:val="none"/>
                <w:u w:val="single"/>
                <w:lang w:eastAsia="zh-CN"/>
              </w:rPr>
              <w:t>）</w:t>
            </w:r>
          </w:p>
        </w:tc>
        <w:tc>
          <w:tcPr>
            <w:tcW w:w="820" w:type="dxa"/>
            <w:tcBorders>
              <w:tl2br w:val="nil"/>
              <w:tr2bl w:val="nil"/>
            </w:tcBorders>
            <w:vAlign w:val="center"/>
          </w:tcPr>
          <w:p w14:paraId="54D5CB09">
            <w:pPr>
              <w:keepNext w:val="0"/>
              <w:keepLines w:val="0"/>
              <w:widowControl/>
              <w:suppressLineNumbers w:val="0"/>
              <w:jc w:val="center"/>
              <w:textAlignment w:val="center"/>
              <w:rPr>
                <w:rFonts w:hint="default" w:eastAsia="宋体"/>
                <w:color w:val="auto"/>
                <w:kern w:val="0"/>
                <w:sz w:val="21"/>
                <w:szCs w:val="21"/>
                <w:highlight w:val="none"/>
                <w:u w:val="single"/>
                <w:lang w:val="en-US" w:eastAsia="zh-CN"/>
              </w:rPr>
            </w:pPr>
            <w:r>
              <w:rPr>
                <w:rFonts w:hint="eastAsia"/>
                <w:color w:val="auto"/>
                <w:kern w:val="0"/>
                <w:sz w:val="21"/>
                <w:szCs w:val="21"/>
                <w:highlight w:val="none"/>
                <w:u w:val="single"/>
                <w:lang w:val="en-US" w:eastAsia="zh-CN"/>
              </w:rPr>
              <w:t>40</w:t>
            </w:r>
          </w:p>
        </w:tc>
        <w:tc>
          <w:tcPr>
            <w:tcW w:w="959" w:type="dxa"/>
            <w:tcBorders>
              <w:tl2br w:val="nil"/>
              <w:tr2bl w:val="nil"/>
            </w:tcBorders>
            <w:vAlign w:val="center"/>
          </w:tcPr>
          <w:p w14:paraId="5533D3CE">
            <w:pPr>
              <w:keepNext w:val="0"/>
              <w:keepLines w:val="0"/>
              <w:widowControl/>
              <w:suppressLineNumbers w:val="0"/>
              <w:jc w:val="center"/>
              <w:textAlignment w:val="center"/>
              <w:rPr>
                <w:rFonts w:hint="default" w:eastAsia="宋体"/>
                <w:color w:val="auto"/>
                <w:kern w:val="0"/>
                <w:sz w:val="21"/>
                <w:szCs w:val="21"/>
                <w:highlight w:val="none"/>
                <w:u w:val="single"/>
                <w:lang w:val="en-US" w:eastAsia="zh-CN"/>
              </w:rPr>
            </w:pPr>
            <w:r>
              <w:rPr>
                <w:rFonts w:hint="eastAsia"/>
                <w:color w:val="auto"/>
                <w:kern w:val="0"/>
                <w:sz w:val="21"/>
                <w:szCs w:val="21"/>
                <w:highlight w:val="none"/>
                <w:u w:val="single"/>
                <w:lang w:val="en-US" w:eastAsia="zh-CN"/>
              </w:rPr>
              <w:t>10</w:t>
            </w:r>
          </w:p>
        </w:tc>
        <w:tc>
          <w:tcPr>
            <w:tcW w:w="878" w:type="dxa"/>
            <w:tcBorders>
              <w:tl2br w:val="nil"/>
              <w:tr2bl w:val="nil"/>
            </w:tcBorders>
            <w:vAlign w:val="center"/>
          </w:tcPr>
          <w:p w14:paraId="309B9CF3">
            <w:pPr>
              <w:keepNext w:val="0"/>
              <w:keepLines w:val="0"/>
              <w:widowControl/>
              <w:suppressLineNumbers w:val="0"/>
              <w:jc w:val="center"/>
              <w:textAlignment w:val="center"/>
              <w:rPr>
                <w:rFonts w:hint="default" w:eastAsia="宋体"/>
                <w:color w:val="auto"/>
                <w:kern w:val="0"/>
                <w:sz w:val="21"/>
                <w:szCs w:val="21"/>
                <w:highlight w:val="none"/>
                <w:u w:val="single"/>
                <w:lang w:val="en-US" w:eastAsia="zh-CN"/>
              </w:rPr>
            </w:pPr>
            <w:r>
              <w:rPr>
                <w:rFonts w:hint="eastAsia"/>
                <w:color w:val="auto"/>
                <w:kern w:val="0"/>
                <w:sz w:val="21"/>
                <w:szCs w:val="21"/>
                <w:highlight w:val="none"/>
                <w:u w:val="single"/>
                <w:lang w:val="en-US" w:eastAsia="zh-CN"/>
              </w:rPr>
              <w:t>10</w:t>
            </w:r>
          </w:p>
        </w:tc>
        <w:tc>
          <w:tcPr>
            <w:tcW w:w="1066" w:type="dxa"/>
            <w:tcBorders>
              <w:tl2br w:val="nil"/>
              <w:tr2bl w:val="nil"/>
            </w:tcBorders>
            <w:vAlign w:val="center"/>
          </w:tcPr>
          <w:p w14:paraId="50775D01">
            <w:pPr>
              <w:keepNext w:val="0"/>
              <w:keepLines w:val="0"/>
              <w:widowControl/>
              <w:suppressLineNumbers w:val="0"/>
              <w:jc w:val="center"/>
              <w:textAlignment w:val="center"/>
              <w:rPr>
                <w:rFonts w:hint="default" w:eastAsia="宋体"/>
                <w:color w:val="auto"/>
                <w:kern w:val="0"/>
                <w:sz w:val="21"/>
                <w:szCs w:val="21"/>
                <w:highlight w:val="none"/>
                <w:u w:val="single"/>
                <w:lang w:val="en-US" w:eastAsia="zh-CN"/>
              </w:rPr>
            </w:pPr>
            <w:r>
              <w:rPr>
                <w:rFonts w:hint="eastAsia"/>
                <w:color w:val="auto"/>
                <w:kern w:val="0"/>
                <w:sz w:val="21"/>
                <w:szCs w:val="21"/>
                <w:highlight w:val="none"/>
                <w:u w:val="single"/>
                <w:lang w:val="en-US" w:eastAsia="zh-CN"/>
              </w:rPr>
              <w:t>3</w:t>
            </w:r>
          </w:p>
        </w:tc>
        <w:tc>
          <w:tcPr>
            <w:tcW w:w="986" w:type="dxa"/>
            <w:tcBorders>
              <w:tl2br w:val="nil"/>
              <w:tr2bl w:val="nil"/>
            </w:tcBorders>
            <w:vAlign w:val="center"/>
          </w:tcPr>
          <w:p w14:paraId="498815B9">
            <w:pPr>
              <w:keepNext w:val="0"/>
              <w:keepLines w:val="0"/>
              <w:widowControl/>
              <w:suppressLineNumbers w:val="0"/>
              <w:jc w:val="center"/>
              <w:textAlignment w:val="center"/>
              <w:rPr>
                <w:rFonts w:hint="default" w:eastAsia="宋体"/>
                <w:color w:val="auto"/>
                <w:kern w:val="0"/>
                <w:sz w:val="21"/>
                <w:szCs w:val="21"/>
                <w:highlight w:val="none"/>
                <w:u w:val="single"/>
                <w:lang w:val="en-US" w:eastAsia="zh-CN"/>
              </w:rPr>
            </w:pPr>
            <w:r>
              <w:rPr>
                <w:rFonts w:hint="eastAsia"/>
                <w:color w:val="auto"/>
                <w:kern w:val="0"/>
                <w:sz w:val="21"/>
                <w:szCs w:val="21"/>
                <w:highlight w:val="none"/>
                <w:u w:val="single"/>
                <w:lang w:val="en-US" w:eastAsia="zh-CN"/>
              </w:rPr>
              <w:t>15</w:t>
            </w:r>
          </w:p>
        </w:tc>
        <w:tc>
          <w:tcPr>
            <w:tcW w:w="1122" w:type="dxa"/>
            <w:tcBorders>
              <w:tl2br w:val="nil"/>
              <w:tr2bl w:val="nil"/>
            </w:tcBorders>
            <w:vAlign w:val="center"/>
          </w:tcPr>
          <w:p w14:paraId="487F320D">
            <w:pPr>
              <w:keepNext w:val="0"/>
              <w:keepLines w:val="0"/>
              <w:widowControl/>
              <w:suppressLineNumbers w:val="0"/>
              <w:jc w:val="center"/>
              <w:textAlignment w:val="center"/>
              <w:rPr>
                <w:rFonts w:hint="default" w:eastAsia="宋体"/>
                <w:color w:val="auto"/>
                <w:kern w:val="0"/>
                <w:sz w:val="21"/>
                <w:szCs w:val="21"/>
                <w:highlight w:val="none"/>
                <w:u w:val="single"/>
                <w:lang w:val="en-US" w:eastAsia="zh-CN"/>
              </w:rPr>
            </w:pPr>
            <w:r>
              <w:rPr>
                <w:rFonts w:hint="eastAsia"/>
                <w:color w:val="auto"/>
                <w:kern w:val="0"/>
                <w:sz w:val="21"/>
                <w:szCs w:val="21"/>
                <w:highlight w:val="none"/>
                <w:u w:val="single"/>
                <w:lang w:val="en-US" w:eastAsia="zh-CN"/>
              </w:rPr>
              <w:t>0.5</w:t>
            </w:r>
          </w:p>
        </w:tc>
      </w:tr>
      <w:tr w14:paraId="58DAD6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55" w:hRule="atLeast"/>
          <w:jc w:val="center"/>
        </w:trPr>
        <w:tc>
          <w:tcPr>
            <w:tcW w:w="700" w:type="dxa"/>
            <w:vMerge w:val="continue"/>
            <w:tcBorders>
              <w:tl2br w:val="nil"/>
              <w:tr2bl w:val="nil"/>
            </w:tcBorders>
            <w:vAlign w:val="center"/>
          </w:tcPr>
          <w:p w14:paraId="18AD0D49">
            <w:pPr>
              <w:adjustRightInd w:val="0"/>
              <w:snapToGrid w:val="0"/>
              <w:jc w:val="center"/>
              <w:rPr>
                <w:rFonts w:hint="eastAsia"/>
                <w:color w:val="auto"/>
                <w:kern w:val="0"/>
                <w:sz w:val="21"/>
                <w:szCs w:val="21"/>
                <w:highlight w:val="none"/>
                <w:u w:val="single"/>
              </w:rPr>
            </w:pPr>
          </w:p>
        </w:tc>
        <w:tc>
          <w:tcPr>
            <w:tcW w:w="1385" w:type="dxa"/>
            <w:tcBorders>
              <w:tl2br w:val="nil"/>
              <w:tr2bl w:val="nil"/>
            </w:tcBorders>
            <w:vAlign w:val="center"/>
          </w:tcPr>
          <w:p w14:paraId="6CAE1154">
            <w:pPr>
              <w:adjustRightInd w:val="0"/>
              <w:snapToGrid w:val="0"/>
              <w:jc w:val="center"/>
              <w:rPr>
                <w:rFonts w:hint="eastAsia"/>
                <w:color w:val="auto"/>
                <w:kern w:val="0"/>
                <w:sz w:val="21"/>
                <w:szCs w:val="21"/>
                <w:highlight w:val="none"/>
                <w:u w:val="single"/>
              </w:rPr>
            </w:pPr>
            <w:r>
              <w:rPr>
                <w:rFonts w:hint="eastAsia"/>
                <w:color w:val="auto"/>
                <w:kern w:val="0"/>
                <w:sz w:val="21"/>
                <w:szCs w:val="21"/>
                <w:highlight w:val="none"/>
                <w:u w:val="single"/>
              </w:rPr>
              <w:t>排放量</w:t>
            </w:r>
            <w:r>
              <w:rPr>
                <w:rFonts w:hint="eastAsia"/>
                <w:color w:val="auto"/>
                <w:kern w:val="0"/>
                <w:sz w:val="21"/>
                <w:szCs w:val="21"/>
                <w:highlight w:val="none"/>
                <w:u w:val="single"/>
                <w:lang w:eastAsia="zh-CN"/>
              </w:rPr>
              <w:t>（</w:t>
            </w:r>
            <w:r>
              <w:rPr>
                <w:rFonts w:hint="eastAsia"/>
                <w:color w:val="auto"/>
                <w:kern w:val="0"/>
                <w:sz w:val="21"/>
                <w:szCs w:val="21"/>
                <w:highlight w:val="none"/>
                <w:u w:val="single"/>
                <w:lang w:val="en-US" w:eastAsia="zh-CN"/>
              </w:rPr>
              <w:t>t/a</w:t>
            </w:r>
            <w:r>
              <w:rPr>
                <w:rFonts w:hint="eastAsia"/>
                <w:color w:val="auto"/>
                <w:kern w:val="0"/>
                <w:sz w:val="21"/>
                <w:szCs w:val="21"/>
                <w:highlight w:val="none"/>
                <w:u w:val="single"/>
                <w:lang w:eastAsia="zh-CN"/>
              </w:rPr>
              <w:t>）</w:t>
            </w:r>
          </w:p>
        </w:tc>
        <w:tc>
          <w:tcPr>
            <w:tcW w:w="1155" w:type="dxa"/>
            <w:vMerge w:val="continue"/>
            <w:tcBorders>
              <w:tl2br w:val="nil"/>
              <w:tr2bl w:val="nil"/>
            </w:tcBorders>
            <w:vAlign w:val="center"/>
          </w:tcPr>
          <w:p w14:paraId="380B3B0B">
            <w:pPr>
              <w:adjustRightInd w:val="0"/>
              <w:snapToGrid w:val="0"/>
              <w:jc w:val="center"/>
              <w:rPr>
                <w:rFonts w:hint="eastAsia"/>
                <w:color w:val="auto"/>
                <w:kern w:val="0"/>
                <w:sz w:val="21"/>
                <w:szCs w:val="21"/>
                <w:highlight w:val="none"/>
                <w:u w:val="single"/>
              </w:rPr>
            </w:pPr>
          </w:p>
        </w:tc>
        <w:tc>
          <w:tcPr>
            <w:tcW w:w="820" w:type="dxa"/>
            <w:tcBorders>
              <w:tl2br w:val="nil"/>
              <w:tr2bl w:val="nil"/>
            </w:tcBorders>
            <w:vAlign w:val="center"/>
          </w:tcPr>
          <w:p w14:paraId="60EDEB14">
            <w:pPr>
              <w:keepNext w:val="0"/>
              <w:keepLines w:val="0"/>
              <w:widowControl/>
              <w:suppressLineNumbers w:val="0"/>
              <w:jc w:val="center"/>
              <w:textAlignment w:val="center"/>
              <w:rPr>
                <w:rFonts w:hint="default" w:eastAsia="宋体"/>
                <w:color w:val="auto"/>
                <w:kern w:val="0"/>
                <w:sz w:val="21"/>
                <w:szCs w:val="21"/>
                <w:highlight w:val="none"/>
                <w:u w:val="single"/>
                <w:lang w:val="en-US" w:eastAsia="zh-CN"/>
              </w:rPr>
            </w:pPr>
            <w:r>
              <w:rPr>
                <w:rFonts w:hint="eastAsia"/>
                <w:color w:val="auto"/>
                <w:kern w:val="0"/>
                <w:sz w:val="21"/>
                <w:szCs w:val="21"/>
                <w:highlight w:val="none"/>
                <w:u w:val="single"/>
                <w:lang w:val="en-US" w:eastAsia="zh-CN"/>
              </w:rPr>
              <w:t>219</w:t>
            </w:r>
          </w:p>
        </w:tc>
        <w:tc>
          <w:tcPr>
            <w:tcW w:w="959" w:type="dxa"/>
            <w:tcBorders>
              <w:tl2br w:val="nil"/>
              <w:tr2bl w:val="nil"/>
            </w:tcBorders>
            <w:vAlign w:val="center"/>
          </w:tcPr>
          <w:p w14:paraId="3DE47746">
            <w:pPr>
              <w:keepNext w:val="0"/>
              <w:keepLines w:val="0"/>
              <w:widowControl/>
              <w:suppressLineNumbers w:val="0"/>
              <w:jc w:val="center"/>
              <w:textAlignment w:val="center"/>
              <w:rPr>
                <w:rFonts w:hint="default" w:eastAsia="宋体"/>
                <w:color w:val="auto"/>
                <w:kern w:val="0"/>
                <w:sz w:val="21"/>
                <w:szCs w:val="21"/>
                <w:highlight w:val="none"/>
                <w:u w:val="single"/>
                <w:lang w:val="en-US" w:eastAsia="zh-CN"/>
              </w:rPr>
            </w:pPr>
            <w:r>
              <w:rPr>
                <w:rFonts w:hint="eastAsia"/>
                <w:color w:val="auto"/>
                <w:kern w:val="0"/>
                <w:sz w:val="21"/>
                <w:szCs w:val="21"/>
                <w:highlight w:val="none"/>
                <w:u w:val="single"/>
                <w:lang w:val="en-US" w:eastAsia="zh-CN"/>
              </w:rPr>
              <w:t>54.75</w:t>
            </w:r>
          </w:p>
        </w:tc>
        <w:tc>
          <w:tcPr>
            <w:tcW w:w="878" w:type="dxa"/>
            <w:tcBorders>
              <w:tl2br w:val="nil"/>
              <w:tr2bl w:val="nil"/>
            </w:tcBorders>
            <w:vAlign w:val="center"/>
          </w:tcPr>
          <w:p w14:paraId="0ED561F5">
            <w:pPr>
              <w:keepNext w:val="0"/>
              <w:keepLines w:val="0"/>
              <w:widowControl/>
              <w:suppressLineNumbers w:val="0"/>
              <w:jc w:val="center"/>
              <w:textAlignment w:val="center"/>
              <w:rPr>
                <w:rFonts w:hint="default"/>
                <w:color w:val="auto"/>
                <w:kern w:val="0"/>
                <w:sz w:val="21"/>
                <w:szCs w:val="21"/>
                <w:highlight w:val="none"/>
                <w:u w:val="single"/>
                <w:lang w:val="en-US"/>
              </w:rPr>
            </w:pPr>
            <w:r>
              <w:rPr>
                <w:rFonts w:hint="eastAsia"/>
                <w:color w:val="auto"/>
                <w:kern w:val="0"/>
                <w:sz w:val="21"/>
                <w:szCs w:val="21"/>
                <w:highlight w:val="none"/>
                <w:u w:val="single"/>
                <w:lang w:val="en-US" w:eastAsia="zh-CN"/>
              </w:rPr>
              <w:t>54.75</w:t>
            </w:r>
          </w:p>
        </w:tc>
        <w:tc>
          <w:tcPr>
            <w:tcW w:w="1066" w:type="dxa"/>
            <w:tcBorders>
              <w:tl2br w:val="nil"/>
              <w:tr2bl w:val="nil"/>
            </w:tcBorders>
            <w:vAlign w:val="center"/>
          </w:tcPr>
          <w:p w14:paraId="17654970">
            <w:pPr>
              <w:keepNext w:val="0"/>
              <w:keepLines w:val="0"/>
              <w:widowControl/>
              <w:suppressLineNumbers w:val="0"/>
              <w:jc w:val="center"/>
              <w:textAlignment w:val="center"/>
              <w:rPr>
                <w:rFonts w:hint="default" w:eastAsia="宋体"/>
                <w:color w:val="auto"/>
                <w:kern w:val="0"/>
                <w:sz w:val="21"/>
                <w:szCs w:val="21"/>
                <w:highlight w:val="none"/>
                <w:u w:val="single"/>
                <w:lang w:val="en-US" w:eastAsia="zh-CN"/>
              </w:rPr>
            </w:pPr>
            <w:r>
              <w:rPr>
                <w:rFonts w:hint="eastAsia"/>
                <w:color w:val="auto"/>
                <w:kern w:val="0"/>
                <w:sz w:val="21"/>
                <w:szCs w:val="21"/>
                <w:highlight w:val="none"/>
                <w:u w:val="single"/>
                <w:lang w:val="en-US" w:eastAsia="zh-CN"/>
              </w:rPr>
              <w:t>16.425</w:t>
            </w:r>
          </w:p>
        </w:tc>
        <w:tc>
          <w:tcPr>
            <w:tcW w:w="986" w:type="dxa"/>
            <w:tcBorders>
              <w:tl2br w:val="nil"/>
              <w:tr2bl w:val="nil"/>
            </w:tcBorders>
            <w:vAlign w:val="center"/>
          </w:tcPr>
          <w:p w14:paraId="0FD42662">
            <w:pPr>
              <w:keepNext w:val="0"/>
              <w:keepLines w:val="0"/>
              <w:widowControl/>
              <w:suppressLineNumbers w:val="0"/>
              <w:jc w:val="center"/>
              <w:textAlignment w:val="center"/>
              <w:rPr>
                <w:rFonts w:hint="default" w:eastAsia="宋体"/>
                <w:color w:val="auto"/>
                <w:kern w:val="0"/>
                <w:sz w:val="21"/>
                <w:szCs w:val="21"/>
                <w:highlight w:val="none"/>
                <w:u w:val="single"/>
                <w:lang w:val="en-US" w:eastAsia="zh-CN"/>
              </w:rPr>
            </w:pPr>
            <w:r>
              <w:rPr>
                <w:rFonts w:hint="eastAsia"/>
                <w:color w:val="auto"/>
                <w:kern w:val="0"/>
                <w:sz w:val="21"/>
                <w:szCs w:val="21"/>
                <w:highlight w:val="none"/>
                <w:u w:val="single"/>
                <w:lang w:val="en-US" w:eastAsia="zh-CN"/>
              </w:rPr>
              <w:t>82.125</w:t>
            </w:r>
          </w:p>
        </w:tc>
        <w:tc>
          <w:tcPr>
            <w:tcW w:w="1122" w:type="dxa"/>
            <w:tcBorders>
              <w:tl2br w:val="nil"/>
              <w:tr2bl w:val="nil"/>
            </w:tcBorders>
            <w:vAlign w:val="center"/>
          </w:tcPr>
          <w:p w14:paraId="0E5E718B">
            <w:pPr>
              <w:keepNext w:val="0"/>
              <w:keepLines w:val="0"/>
              <w:widowControl/>
              <w:suppressLineNumbers w:val="0"/>
              <w:jc w:val="center"/>
              <w:textAlignment w:val="center"/>
              <w:rPr>
                <w:rFonts w:hint="default" w:eastAsia="宋体"/>
                <w:color w:val="auto"/>
                <w:kern w:val="0"/>
                <w:sz w:val="21"/>
                <w:szCs w:val="21"/>
                <w:highlight w:val="none"/>
                <w:u w:val="single"/>
                <w:lang w:val="en-US" w:eastAsia="zh-CN"/>
              </w:rPr>
            </w:pPr>
            <w:r>
              <w:rPr>
                <w:rFonts w:hint="eastAsia"/>
                <w:color w:val="auto"/>
                <w:kern w:val="0"/>
                <w:sz w:val="21"/>
                <w:szCs w:val="21"/>
                <w:highlight w:val="none"/>
                <w:u w:val="single"/>
                <w:lang w:val="en-US" w:eastAsia="zh-CN"/>
              </w:rPr>
              <w:t>2.74</w:t>
            </w:r>
          </w:p>
        </w:tc>
      </w:tr>
      <w:tr w14:paraId="21D3A6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00" w:type="dxa"/>
            <w:vMerge w:val="continue"/>
            <w:tcBorders>
              <w:tl2br w:val="nil"/>
              <w:tr2bl w:val="nil"/>
            </w:tcBorders>
            <w:vAlign w:val="center"/>
          </w:tcPr>
          <w:p w14:paraId="13E566E6">
            <w:pPr>
              <w:adjustRightInd w:val="0"/>
              <w:snapToGrid w:val="0"/>
              <w:jc w:val="center"/>
              <w:rPr>
                <w:rFonts w:hint="eastAsia"/>
                <w:color w:val="auto"/>
                <w:kern w:val="0"/>
                <w:sz w:val="21"/>
                <w:szCs w:val="21"/>
                <w:highlight w:val="none"/>
                <w:u w:val="single"/>
              </w:rPr>
            </w:pPr>
          </w:p>
        </w:tc>
        <w:tc>
          <w:tcPr>
            <w:tcW w:w="1385" w:type="dxa"/>
            <w:tcBorders>
              <w:tl2br w:val="nil"/>
              <w:tr2bl w:val="nil"/>
            </w:tcBorders>
            <w:vAlign w:val="center"/>
          </w:tcPr>
          <w:p w14:paraId="3038E0DE">
            <w:pPr>
              <w:adjustRightInd w:val="0"/>
              <w:snapToGrid w:val="0"/>
              <w:jc w:val="center"/>
              <w:rPr>
                <w:rFonts w:hint="eastAsia"/>
                <w:color w:val="auto"/>
                <w:kern w:val="0"/>
                <w:sz w:val="21"/>
                <w:szCs w:val="21"/>
                <w:highlight w:val="none"/>
                <w:u w:val="single"/>
              </w:rPr>
            </w:pPr>
            <w:r>
              <w:rPr>
                <w:rFonts w:hint="eastAsia"/>
                <w:color w:val="auto"/>
                <w:kern w:val="0"/>
                <w:sz w:val="21"/>
                <w:szCs w:val="21"/>
                <w:highlight w:val="none"/>
                <w:u w:val="single"/>
              </w:rPr>
              <w:t>削减量</w:t>
            </w:r>
            <w:r>
              <w:rPr>
                <w:rFonts w:hint="eastAsia"/>
                <w:color w:val="auto"/>
                <w:kern w:val="0"/>
                <w:sz w:val="21"/>
                <w:szCs w:val="21"/>
                <w:highlight w:val="none"/>
                <w:u w:val="single"/>
                <w:lang w:eastAsia="zh-CN"/>
              </w:rPr>
              <w:t>（</w:t>
            </w:r>
            <w:r>
              <w:rPr>
                <w:rFonts w:hint="eastAsia"/>
                <w:color w:val="auto"/>
                <w:kern w:val="0"/>
                <w:sz w:val="21"/>
                <w:szCs w:val="21"/>
                <w:highlight w:val="none"/>
                <w:u w:val="single"/>
                <w:lang w:val="en-US" w:eastAsia="zh-CN"/>
              </w:rPr>
              <w:t>t/a</w:t>
            </w:r>
            <w:r>
              <w:rPr>
                <w:rFonts w:hint="eastAsia"/>
                <w:color w:val="auto"/>
                <w:kern w:val="0"/>
                <w:sz w:val="21"/>
                <w:szCs w:val="21"/>
                <w:highlight w:val="none"/>
                <w:u w:val="single"/>
                <w:lang w:eastAsia="zh-CN"/>
              </w:rPr>
              <w:t>）</w:t>
            </w:r>
          </w:p>
        </w:tc>
        <w:tc>
          <w:tcPr>
            <w:tcW w:w="1155" w:type="dxa"/>
            <w:vMerge w:val="continue"/>
            <w:tcBorders>
              <w:tl2br w:val="nil"/>
              <w:tr2bl w:val="nil"/>
            </w:tcBorders>
            <w:vAlign w:val="center"/>
          </w:tcPr>
          <w:p w14:paraId="3005CED4">
            <w:pPr>
              <w:adjustRightInd w:val="0"/>
              <w:snapToGrid w:val="0"/>
              <w:jc w:val="center"/>
              <w:rPr>
                <w:rFonts w:hint="eastAsia"/>
                <w:color w:val="auto"/>
                <w:kern w:val="0"/>
                <w:sz w:val="21"/>
                <w:szCs w:val="21"/>
                <w:highlight w:val="none"/>
                <w:u w:val="single"/>
              </w:rPr>
            </w:pPr>
          </w:p>
        </w:tc>
        <w:tc>
          <w:tcPr>
            <w:tcW w:w="820" w:type="dxa"/>
            <w:tcBorders>
              <w:tl2br w:val="nil"/>
              <w:tr2bl w:val="nil"/>
            </w:tcBorders>
            <w:shd w:val="clear" w:color="auto" w:fill="auto"/>
            <w:vAlign w:val="center"/>
          </w:tcPr>
          <w:p w14:paraId="22B4C250">
            <w:pPr>
              <w:widowControl/>
              <w:adjustRightInd w:val="0"/>
              <w:snapToGrid w:val="0"/>
              <w:jc w:val="center"/>
              <w:rPr>
                <w:rFonts w:hint="default" w:ascii="Times New Roman" w:hAnsi="Times New Roman" w:eastAsia="宋体" w:cs="Times New Roman"/>
                <w:snapToGrid w:val="0"/>
                <w:color w:val="auto"/>
                <w:kern w:val="2"/>
                <w:sz w:val="21"/>
                <w:szCs w:val="21"/>
                <w:highlight w:val="none"/>
                <w:u w:val="single"/>
                <w:lang w:val="en-US" w:eastAsia="zh-CN" w:bidi="ar-SA"/>
              </w:rPr>
            </w:pPr>
            <w:r>
              <w:rPr>
                <w:rFonts w:hint="eastAsia"/>
                <w:snapToGrid w:val="0"/>
                <w:color w:val="auto"/>
                <w:sz w:val="21"/>
                <w:szCs w:val="21"/>
                <w:highlight w:val="none"/>
                <w:u w:val="single"/>
                <w:lang w:val="en-US" w:eastAsia="zh-CN"/>
              </w:rPr>
              <w:t>684.375</w:t>
            </w:r>
          </w:p>
        </w:tc>
        <w:tc>
          <w:tcPr>
            <w:tcW w:w="959" w:type="dxa"/>
            <w:tcBorders>
              <w:tl2br w:val="nil"/>
              <w:tr2bl w:val="nil"/>
            </w:tcBorders>
            <w:shd w:val="clear" w:color="auto" w:fill="auto"/>
            <w:vAlign w:val="center"/>
          </w:tcPr>
          <w:p w14:paraId="6FAA81FA">
            <w:pPr>
              <w:widowControl/>
              <w:adjustRightInd w:val="0"/>
              <w:snapToGrid w:val="0"/>
              <w:jc w:val="center"/>
              <w:rPr>
                <w:rFonts w:hint="default" w:ascii="Times New Roman" w:hAnsi="Times New Roman" w:eastAsia="宋体" w:cs="Times New Roman"/>
                <w:snapToGrid w:val="0"/>
                <w:color w:val="auto"/>
                <w:kern w:val="2"/>
                <w:sz w:val="21"/>
                <w:szCs w:val="21"/>
                <w:highlight w:val="none"/>
                <w:u w:val="single"/>
                <w:lang w:val="en-US" w:eastAsia="zh-CN" w:bidi="ar-SA"/>
              </w:rPr>
            </w:pPr>
            <w:r>
              <w:rPr>
                <w:rFonts w:hint="eastAsia"/>
                <w:snapToGrid w:val="0"/>
                <w:color w:val="auto"/>
                <w:sz w:val="21"/>
                <w:szCs w:val="21"/>
                <w:highlight w:val="none"/>
                <w:u w:val="single"/>
                <w:lang w:val="en-US" w:eastAsia="zh-CN"/>
              </w:rPr>
              <w:t>273.75</w:t>
            </w:r>
          </w:p>
        </w:tc>
        <w:tc>
          <w:tcPr>
            <w:tcW w:w="878" w:type="dxa"/>
            <w:tcBorders>
              <w:tl2br w:val="nil"/>
              <w:tr2bl w:val="nil"/>
            </w:tcBorders>
            <w:shd w:val="clear" w:color="auto" w:fill="auto"/>
            <w:vAlign w:val="center"/>
          </w:tcPr>
          <w:p w14:paraId="2F744339">
            <w:pPr>
              <w:widowControl/>
              <w:adjustRightInd w:val="0"/>
              <w:snapToGrid w:val="0"/>
              <w:jc w:val="center"/>
              <w:rPr>
                <w:rFonts w:hint="default" w:ascii="Times New Roman" w:hAnsi="Times New Roman" w:eastAsia="宋体" w:cs="Times New Roman"/>
                <w:snapToGrid w:val="0"/>
                <w:color w:val="auto"/>
                <w:kern w:val="2"/>
                <w:sz w:val="21"/>
                <w:szCs w:val="21"/>
                <w:highlight w:val="none"/>
                <w:u w:val="single"/>
                <w:lang w:val="en-US" w:eastAsia="zh-CN" w:bidi="ar-SA"/>
              </w:rPr>
            </w:pPr>
            <w:r>
              <w:rPr>
                <w:rFonts w:hint="default" w:eastAsia="宋体"/>
                <w:snapToGrid w:val="0"/>
                <w:color w:val="auto"/>
                <w:sz w:val="21"/>
                <w:szCs w:val="21"/>
                <w:highlight w:val="none"/>
                <w:u w:val="single"/>
                <w:lang w:val="en-US" w:eastAsia="zh-CN"/>
              </w:rPr>
              <w:t>273.75</w:t>
            </w:r>
          </w:p>
        </w:tc>
        <w:tc>
          <w:tcPr>
            <w:tcW w:w="1066" w:type="dxa"/>
            <w:tcBorders>
              <w:tl2br w:val="nil"/>
              <w:tr2bl w:val="nil"/>
            </w:tcBorders>
            <w:shd w:val="clear" w:color="auto" w:fill="auto"/>
            <w:vAlign w:val="center"/>
          </w:tcPr>
          <w:p w14:paraId="59BC7B5A">
            <w:pPr>
              <w:widowControl/>
              <w:adjustRightInd w:val="0"/>
              <w:snapToGrid w:val="0"/>
              <w:jc w:val="center"/>
              <w:rPr>
                <w:rFonts w:hint="default" w:ascii="Times New Roman" w:hAnsi="Times New Roman" w:eastAsia="宋体" w:cs="Times New Roman"/>
                <w:snapToGrid w:val="0"/>
                <w:color w:val="auto"/>
                <w:kern w:val="2"/>
                <w:sz w:val="21"/>
                <w:szCs w:val="21"/>
                <w:highlight w:val="none"/>
                <w:u w:val="single"/>
                <w:lang w:val="en-US" w:eastAsia="zh-CN" w:bidi="ar-SA"/>
              </w:rPr>
            </w:pPr>
            <w:r>
              <w:rPr>
                <w:rFonts w:hint="eastAsia"/>
                <w:snapToGrid w:val="0"/>
                <w:color w:val="auto"/>
                <w:sz w:val="21"/>
                <w:szCs w:val="21"/>
                <w:highlight w:val="none"/>
                <w:u w:val="single"/>
                <w:lang w:val="en-US" w:eastAsia="zh-CN"/>
              </w:rPr>
              <w:t>109.475</w:t>
            </w:r>
          </w:p>
        </w:tc>
        <w:tc>
          <w:tcPr>
            <w:tcW w:w="986" w:type="dxa"/>
            <w:tcBorders>
              <w:tl2br w:val="nil"/>
              <w:tr2bl w:val="nil"/>
            </w:tcBorders>
            <w:shd w:val="clear" w:color="auto" w:fill="auto"/>
            <w:vAlign w:val="center"/>
          </w:tcPr>
          <w:p w14:paraId="3DC75425">
            <w:pPr>
              <w:widowControl/>
              <w:adjustRightInd w:val="0"/>
              <w:snapToGrid w:val="0"/>
              <w:jc w:val="center"/>
              <w:rPr>
                <w:rFonts w:hint="default" w:ascii="Times New Roman" w:hAnsi="Times New Roman" w:eastAsia="宋体" w:cs="Times New Roman"/>
                <w:snapToGrid w:val="0"/>
                <w:color w:val="auto"/>
                <w:kern w:val="0"/>
                <w:sz w:val="21"/>
                <w:szCs w:val="21"/>
                <w:highlight w:val="none"/>
                <w:u w:val="single"/>
                <w:lang w:val="en-US" w:eastAsia="zh-CN" w:bidi="ar-SA"/>
              </w:rPr>
            </w:pPr>
            <w:r>
              <w:rPr>
                <w:rFonts w:hint="eastAsia"/>
                <w:snapToGrid w:val="0"/>
                <w:color w:val="auto"/>
                <w:kern w:val="0"/>
                <w:sz w:val="21"/>
                <w:szCs w:val="21"/>
                <w:highlight w:val="none"/>
                <w:u w:val="single"/>
                <w:lang w:val="en-US" w:eastAsia="zh-CN"/>
              </w:rPr>
              <w:t>104.025</w:t>
            </w:r>
          </w:p>
        </w:tc>
        <w:tc>
          <w:tcPr>
            <w:tcW w:w="1122" w:type="dxa"/>
            <w:tcBorders>
              <w:tl2br w:val="nil"/>
              <w:tr2bl w:val="nil"/>
            </w:tcBorders>
            <w:shd w:val="clear" w:color="auto" w:fill="auto"/>
            <w:vAlign w:val="center"/>
          </w:tcPr>
          <w:p w14:paraId="52AB679F">
            <w:pPr>
              <w:widowControl/>
              <w:adjustRightInd w:val="0"/>
              <w:snapToGrid w:val="0"/>
              <w:jc w:val="center"/>
              <w:rPr>
                <w:rFonts w:hint="default" w:ascii="Times New Roman" w:hAnsi="Times New Roman" w:eastAsia="宋体" w:cs="Times New Roman"/>
                <w:snapToGrid w:val="0"/>
                <w:color w:val="auto"/>
                <w:kern w:val="2"/>
                <w:sz w:val="21"/>
                <w:szCs w:val="21"/>
                <w:highlight w:val="none"/>
                <w:u w:val="single"/>
                <w:lang w:val="en-US" w:eastAsia="zh-CN" w:bidi="ar-SA"/>
              </w:rPr>
            </w:pPr>
            <w:r>
              <w:rPr>
                <w:rFonts w:hint="eastAsia"/>
                <w:snapToGrid w:val="0"/>
                <w:color w:val="auto"/>
                <w:sz w:val="21"/>
                <w:szCs w:val="21"/>
                <w:highlight w:val="none"/>
                <w:u w:val="single"/>
                <w:lang w:val="en-US" w:eastAsia="zh-CN"/>
              </w:rPr>
              <w:t>5.46</w:t>
            </w:r>
          </w:p>
        </w:tc>
      </w:tr>
    </w:tbl>
    <w:p w14:paraId="4F01CE6C">
      <w:pPr>
        <w:spacing w:line="360" w:lineRule="auto"/>
        <w:ind w:firstLine="480" w:firstLineChars="200"/>
        <w:rPr>
          <w:rFonts w:ascii="Times New Roman" w:hAnsi="Times New Roman" w:eastAsia="宋体" w:cs="Times New Roman"/>
          <w:color w:val="auto"/>
          <w:sz w:val="24"/>
          <w:u w:val="none"/>
        </w:rPr>
      </w:pPr>
      <w:r>
        <w:rPr>
          <w:rFonts w:eastAsia="宋"/>
          <w:color w:val="auto"/>
          <w:sz w:val="24"/>
          <w:highlight w:val="none"/>
          <w:u w:val="single"/>
        </w:rPr>
        <w:t>由</w:t>
      </w:r>
      <w:r>
        <w:rPr>
          <w:rFonts w:hint="eastAsia" w:eastAsia="宋"/>
          <w:color w:val="auto"/>
          <w:sz w:val="24"/>
          <w:highlight w:val="none"/>
          <w:u w:val="single"/>
        </w:rPr>
        <w:t>上表</w:t>
      </w:r>
      <w:r>
        <w:rPr>
          <w:rFonts w:eastAsia="宋"/>
          <w:color w:val="auto"/>
          <w:sz w:val="24"/>
          <w:highlight w:val="none"/>
          <w:u w:val="single"/>
        </w:rPr>
        <w:t>可知，项目建成后，项目的建设对改善</w:t>
      </w:r>
      <w:r>
        <w:rPr>
          <w:rFonts w:hint="eastAsia" w:cs="Times New Roman"/>
          <w:bCs/>
          <w:color w:val="auto"/>
          <w:sz w:val="24"/>
          <w:u w:val="single"/>
          <w:lang w:val="en-US" w:eastAsia="zh-CN"/>
        </w:rPr>
        <w:t>高铁新区</w:t>
      </w:r>
      <w:r>
        <w:rPr>
          <w:rFonts w:eastAsia="宋"/>
          <w:color w:val="auto"/>
          <w:sz w:val="24"/>
          <w:highlight w:val="none"/>
          <w:u w:val="single"/>
        </w:rPr>
        <w:t>水体环境，保障</w:t>
      </w:r>
      <w:r>
        <w:rPr>
          <w:rFonts w:hint="eastAsia" w:eastAsia="宋"/>
          <w:color w:val="auto"/>
          <w:sz w:val="24"/>
          <w:highlight w:val="none"/>
          <w:u w:val="single"/>
          <w:lang w:val="en-US" w:eastAsia="zh-CN"/>
        </w:rPr>
        <w:t>城镇</w:t>
      </w:r>
      <w:r>
        <w:rPr>
          <w:rFonts w:eastAsia="宋"/>
          <w:color w:val="auto"/>
          <w:sz w:val="24"/>
          <w:highlight w:val="none"/>
          <w:u w:val="single"/>
        </w:rPr>
        <w:t>发展具有积极的作用，同时不会改变</w:t>
      </w:r>
      <w:r>
        <w:rPr>
          <w:rFonts w:hint="eastAsia" w:hAnsi="Times New Roman" w:cs="Times New Roman"/>
          <w:bCs/>
          <w:color w:val="auto"/>
          <w:sz w:val="24"/>
          <w:u w:val="single"/>
          <w:lang w:val="en-US" w:eastAsia="zh-CN"/>
        </w:rPr>
        <w:t>果利河</w:t>
      </w:r>
      <w:r>
        <w:rPr>
          <w:rFonts w:eastAsia="宋"/>
          <w:color w:val="auto"/>
          <w:sz w:val="24"/>
          <w:highlight w:val="none"/>
          <w:u w:val="single"/>
        </w:rPr>
        <w:t>地表水水域功能，本项目具有明显的环境正效应</w:t>
      </w:r>
      <w:r>
        <w:rPr>
          <w:rFonts w:eastAsia="宋"/>
          <w:color w:val="auto"/>
          <w:sz w:val="24"/>
          <w:highlight w:val="none"/>
          <w:u w:val="none"/>
        </w:rPr>
        <w:t>。</w:t>
      </w:r>
    </w:p>
    <w:p w14:paraId="443FCDAF">
      <w:pPr>
        <w:spacing w:line="360" w:lineRule="auto"/>
        <w:outlineLvl w:val="1"/>
        <w:rPr>
          <w:rFonts w:ascii="Times New Roman" w:hAnsi="Times New Roman" w:eastAsia="宋体" w:cs="Times New Roman"/>
          <w:b/>
          <w:bCs/>
          <w:color w:val="auto"/>
          <w:sz w:val="30"/>
          <w:szCs w:val="30"/>
        </w:rPr>
      </w:pPr>
      <w:bookmarkStart w:id="69" w:name="_Toc1264"/>
      <w:bookmarkStart w:id="70" w:name="_Toc15114"/>
      <w:r>
        <w:rPr>
          <w:rFonts w:hint="eastAsia" w:cs="Times New Roman"/>
          <w:b/>
          <w:bCs/>
          <w:color w:val="auto"/>
          <w:sz w:val="30"/>
          <w:szCs w:val="30"/>
          <w:lang w:val="en-US" w:eastAsia="zh-CN"/>
        </w:rPr>
        <w:t>3</w:t>
      </w:r>
      <w:r>
        <w:rPr>
          <w:rFonts w:ascii="Times New Roman" w:hAnsi="Times New Roman" w:eastAsia="宋体" w:cs="Times New Roman"/>
          <w:b/>
          <w:bCs/>
          <w:color w:val="auto"/>
          <w:sz w:val="30"/>
          <w:szCs w:val="30"/>
        </w:rPr>
        <w:t>.</w:t>
      </w:r>
      <w:r>
        <w:rPr>
          <w:rFonts w:hint="eastAsia" w:cs="Times New Roman"/>
          <w:b/>
          <w:bCs/>
          <w:color w:val="auto"/>
          <w:sz w:val="30"/>
          <w:szCs w:val="30"/>
          <w:lang w:val="en-US" w:eastAsia="zh-CN"/>
        </w:rPr>
        <w:t>3</w:t>
      </w:r>
      <w:r>
        <w:rPr>
          <w:rFonts w:ascii="Times New Roman" w:hAnsi="Times New Roman" w:eastAsia="宋体" w:cs="Times New Roman"/>
          <w:b/>
          <w:bCs/>
          <w:color w:val="auto"/>
          <w:sz w:val="30"/>
          <w:szCs w:val="30"/>
        </w:rPr>
        <w:t>项目废水排放对地表水环境影响预测分析</w:t>
      </w:r>
      <w:bookmarkEnd w:id="69"/>
      <w:bookmarkEnd w:id="70"/>
    </w:p>
    <w:p w14:paraId="6833E0F2">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eastAsia" w:ascii="Times New Roman" w:hAnsi="Times New Roman" w:eastAsia="宋体" w:cs="Times New Roman"/>
          <w:b/>
          <w:bCs/>
          <w:color w:val="auto"/>
          <w:sz w:val="28"/>
          <w:szCs w:val="28"/>
          <w:lang w:val="en-US" w:eastAsia="zh-CN"/>
        </w:rPr>
      </w:pPr>
      <w:bookmarkStart w:id="71" w:name="_Toc7233"/>
      <w:bookmarkStart w:id="72" w:name="_Toc1550"/>
      <w:r>
        <w:rPr>
          <w:rFonts w:hint="eastAsia" w:cs="Times New Roman"/>
          <w:b/>
          <w:bCs/>
          <w:color w:val="auto"/>
          <w:sz w:val="28"/>
          <w:szCs w:val="28"/>
          <w:lang w:val="en-US" w:eastAsia="zh-CN"/>
        </w:rPr>
        <w:t>3.3.1</w:t>
      </w:r>
      <w:r>
        <w:rPr>
          <w:rFonts w:hint="eastAsia" w:ascii="Times New Roman" w:hAnsi="Times New Roman" w:eastAsia="宋体" w:cs="Times New Roman"/>
          <w:b/>
          <w:bCs/>
          <w:color w:val="auto"/>
          <w:sz w:val="28"/>
          <w:szCs w:val="28"/>
          <w:lang w:val="en-US" w:eastAsia="zh-CN"/>
        </w:rPr>
        <w:t>预测情景及污染因子的确定</w:t>
      </w:r>
      <w:bookmarkEnd w:id="71"/>
      <w:bookmarkEnd w:id="72"/>
    </w:p>
    <w:p w14:paraId="1F797195">
      <w:pPr>
        <w:spacing w:line="360" w:lineRule="auto"/>
        <w:ind w:firstLine="480" w:firstLineChars="200"/>
        <w:rPr>
          <w:rFonts w:ascii="Times New Roman" w:hAnsi="Times New Roman" w:eastAsia="宋体" w:cs="Times New Roman"/>
          <w:color w:val="auto"/>
          <w:sz w:val="24"/>
        </w:rPr>
      </w:pPr>
      <w:r>
        <w:rPr>
          <w:rFonts w:hint="eastAsia" w:ascii="Times New Roman" w:hAnsi="Times New Roman" w:eastAsia="宋体" w:cs="Times New Roman"/>
          <w:color w:val="auto"/>
          <w:sz w:val="24"/>
        </w:rPr>
        <w:t>本项目处理废水主要为生活污水，</w:t>
      </w:r>
      <w:r>
        <w:rPr>
          <w:rFonts w:ascii="Times New Roman" w:hAnsi="Times New Roman" w:eastAsia="宋体" w:cs="Times New Roman"/>
          <w:color w:val="auto"/>
          <w:sz w:val="24"/>
        </w:rPr>
        <w:t>属于非持久性污染物，</w:t>
      </w:r>
      <w:r>
        <w:rPr>
          <w:rFonts w:hint="eastAsia" w:ascii="Times New Roman" w:hAnsi="Times New Roman" w:eastAsia="宋体" w:cs="Times New Roman"/>
          <w:color w:val="auto"/>
          <w:sz w:val="24"/>
        </w:rPr>
        <w:t>按照项目排放污染物的特点，以及考虑污染物总量控制相关规定，主要预测两种情景：一种是正常排放情况下，污水中主要污染因子COD、NH</w:t>
      </w:r>
      <w:r>
        <w:rPr>
          <w:rFonts w:hint="eastAsia" w:ascii="Times New Roman" w:hAnsi="Times New Roman" w:eastAsia="宋体" w:cs="Times New Roman"/>
          <w:color w:val="auto"/>
          <w:sz w:val="24"/>
          <w:vertAlign w:val="subscript"/>
        </w:rPr>
        <w:t>3</w:t>
      </w:r>
      <w:r>
        <w:rPr>
          <w:rFonts w:hint="eastAsia" w:ascii="Times New Roman" w:hAnsi="Times New Roman" w:eastAsia="宋体" w:cs="Times New Roman"/>
          <w:color w:val="auto"/>
          <w:sz w:val="24"/>
        </w:rPr>
        <w:t>-N</w:t>
      </w:r>
      <w:r>
        <w:rPr>
          <w:rFonts w:hint="eastAsia" w:cs="Times New Roman"/>
          <w:color w:val="auto"/>
          <w:sz w:val="24"/>
          <w:lang w:eastAsia="zh-CN"/>
        </w:rPr>
        <w:t>、</w:t>
      </w:r>
      <w:r>
        <w:rPr>
          <w:rFonts w:hint="eastAsia" w:cs="Times New Roman"/>
          <w:color w:val="auto"/>
          <w:sz w:val="24"/>
          <w:lang w:val="en-US" w:eastAsia="zh-CN"/>
        </w:rPr>
        <w:t>TP、TN</w:t>
      </w:r>
      <w:r>
        <w:rPr>
          <w:rFonts w:hint="eastAsia" w:ascii="Times New Roman" w:hAnsi="Times New Roman" w:eastAsia="宋体" w:cs="Times New Roman"/>
          <w:color w:val="auto"/>
          <w:sz w:val="24"/>
        </w:rPr>
        <w:t>对</w:t>
      </w:r>
      <w:r>
        <w:rPr>
          <w:rFonts w:hint="eastAsia" w:hAnsi="Times New Roman" w:cs="Times New Roman"/>
          <w:bCs/>
          <w:color w:val="auto"/>
          <w:sz w:val="24"/>
          <w:u w:val="single"/>
          <w:lang w:val="en-US" w:eastAsia="zh-CN"/>
        </w:rPr>
        <w:t>果利河</w:t>
      </w:r>
      <w:r>
        <w:rPr>
          <w:rFonts w:hint="eastAsia" w:ascii="Times New Roman" w:hAnsi="Times New Roman" w:eastAsia="宋体" w:cs="Times New Roman"/>
          <w:color w:val="auto"/>
          <w:sz w:val="24"/>
        </w:rPr>
        <w:t>水质造成的影响；另一种是非正常排放情况下，即污水厂处理厂事故排放条件下，污水未经处理而直接排放，主要污染因子COD、NH</w:t>
      </w:r>
      <w:r>
        <w:rPr>
          <w:rFonts w:hint="eastAsia" w:ascii="Times New Roman" w:hAnsi="Times New Roman" w:eastAsia="宋体" w:cs="Times New Roman"/>
          <w:color w:val="auto"/>
          <w:sz w:val="24"/>
          <w:vertAlign w:val="subscript"/>
        </w:rPr>
        <w:t>3</w:t>
      </w:r>
      <w:r>
        <w:rPr>
          <w:rFonts w:hint="eastAsia" w:ascii="Times New Roman" w:hAnsi="Times New Roman" w:eastAsia="宋体" w:cs="Times New Roman"/>
          <w:color w:val="auto"/>
          <w:sz w:val="24"/>
        </w:rPr>
        <w:t>-N对</w:t>
      </w:r>
      <w:r>
        <w:rPr>
          <w:rFonts w:hint="eastAsia" w:hAnsi="Times New Roman" w:cs="Times New Roman"/>
          <w:bCs/>
          <w:color w:val="auto"/>
          <w:sz w:val="24"/>
          <w:u w:val="single"/>
          <w:lang w:val="en-US" w:eastAsia="zh-CN"/>
        </w:rPr>
        <w:t>果利河</w:t>
      </w:r>
      <w:r>
        <w:rPr>
          <w:rFonts w:hint="eastAsia" w:ascii="Times New Roman" w:hAnsi="Times New Roman" w:eastAsia="宋体" w:cs="Times New Roman"/>
          <w:color w:val="auto"/>
          <w:sz w:val="24"/>
        </w:rPr>
        <w:t>水质造成的影响。</w:t>
      </w:r>
    </w:p>
    <w:p w14:paraId="676FDB56">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default" w:ascii="Times New Roman" w:hAnsi="Times New Roman" w:cs="Times New Roman"/>
          <w:b/>
          <w:bCs/>
          <w:color w:val="auto"/>
          <w:sz w:val="28"/>
          <w:szCs w:val="28"/>
          <w:lang w:val="en-US" w:eastAsia="zh-CN"/>
        </w:rPr>
      </w:pPr>
      <w:bookmarkStart w:id="73" w:name="_Toc28582"/>
      <w:bookmarkStart w:id="74" w:name="_Toc4966"/>
      <w:r>
        <w:rPr>
          <w:rFonts w:hint="eastAsia" w:cs="Times New Roman"/>
          <w:b/>
          <w:bCs/>
          <w:color w:val="auto"/>
          <w:sz w:val="28"/>
          <w:szCs w:val="28"/>
          <w:lang w:val="en-US" w:eastAsia="zh-CN"/>
        </w:rPr>
        <w:t>3</w:t>
      </w:r>
      <w:r>
        <w:rPr>
          <w:rFonts w:hint="eastAsia" w:ascii="Times New Roman" w:hAnsi="Times New Roman" w:cs="Times New Roman"/>
          <w:b/>
          <w:bCs/>
          <w:color w:val="auto"/>
          <w:sz w:val="28"/>
          <w:szCs w:val="28"/>
          <w:lang w:val="en-US" w:eastAsia="zh-CN"/>
        </w:rPr>
        <w:t>.</w:t>
      </w:r>
      <w:r>
        <w:rPr>
          <w:rFonts w:hint="eastAsia" w:cs="Times New Roman"/>
          <w:b/>
          <w:bCs/>
          <w:color w:val="auto"/>
          <w:sz w:val="28"/>
          <w:szCs w:val="28"/>
          <w:lang w:val="en-US" w:eastAsia="zh-CN"/>
        </w:rPr>
        <w:t>3</w:t>
      </w:r>
      <w:r>
        <w:rPr>
          <w:rFonts w:hint="eastAsia" w:ascii="Times New Roman" w:hAnsi="Times New Roman" w:cs="Times New Roman"/>
          <w:b/>
          <w:bCs/>
          <w:color w:val="auto"/>
          <w:sz w:val="28"/>
          <w:szCs w:val="28"/>
          <w:lang w:val="en-US" w:eastAsia="zh-CN"/>
        </w:rPr>
        <w:t>.2预测因子源强</w:t>
      </w:r>
      <w:bookmarkEnd w:id="73"/>
      <w:bookmarkEnd w:id="74"/>
      <w:r>
        <w:rPr>
          <w:rFonts w:hint="eastAsia" w:cs="Times New Roman"/>
          <w:b/>
          <w:bCs/>
          <w:color w:val="auto"/>
          <w:sz w:val="28"/>
          <w:szCs w:val="28"/>
          <w:lang w:val="en-US" w:eastAsia="zh-CN"/>
        </w:rPr>
        <w:t>和背景浓度</w:t>
      </w:r>
    </w:p>
    <w:p w14:paraId="4CB4264C">
      <w:pPr>
        <w:spacing w:line="360" w:lineRule="auto"/>
        <w:ind w:firstLine="480" w:firstLineChars="200"/>
        <w:rPr>
          <w:rFonts w:hint="eastAsia"/>
          <w:color w:val="auto"/>
          <w:kern w:val="0"/>
          <w:sz w:val="24"/>
          <w:szCs w:val="24"/>
          <w:lang w:val="en-US" w:eastAsia="zh-CN"/>
        </w:rPr>
      </w:pPr>
      <w:r>
        <w:rPr>
          <w:rFonts w:hint="eastAsia"/>
          <w:color w:val="auto"/>
          <w:kern w:val="0"/>
          <w:sz w:val="24"/>
          <w:szCs w:val="24"/>
          <w:lang w:val="en-US" w:eastAsia="zh-CN"/>
        </w:rPr>
        <w:t>（1）预测源强</w:t>
      </w:r>
    </w:p>
    <w:p w14:paraId="7922F26C">
      <w:pPr>
        <w:spacing w:line="360" w:lineRule="auto"/>
        <w:ind w:firstLine="480" w:firstLineChars="200"/>
        <w:rPr>
          <w:rFonts w:hint="eastAsia" w:ascii="Times New Roman" w:hAnsi="Times New Roman" w:eastAsia="宋体"/>
          <w:color w:val="auto"/>
          <w:kern w:val="0"/>
          <w:sz w:val="24"/>
          <w:szCs w:val="24"/>
          <w:lang w:eastAsia="zh-CN"/>
        </w:rPr>
      </w:pPr>
      <w:r>
        <w:rPr>
          <w:rFonts w:hint="eastAsia"/>
          <w:color w:val="auto"/>
          <w:kern w:val="0"/>
          <w:sz w:val="24"/>
          <w:szCs w:val="24"/>
          <w:lang w:val="en-US" w:eastAsia="zh-CN"/>
        </w:rPr>
        <w:t xml:space="preserve"> </w:t>
      </w:r>
      <w:r>
        <w:rPr>
          <w:rFonts w:hint="eastAsia" w:ascii="Times New Roman" w:hAnsi="Times New Roman"/>
          <w:color w:val="auto"/>
          <w:kern w:val="0"/>
          <w:sz w:val="24"/>
          <w:szCs w:val="24"/>
          <w:lang w:val="en-US" w:eastAsia="zh-CN"/>
        </w:rPr>
        <w:t>污水处理厂</w:t>
      </w:r>
      <w:r>
        <w:rPr>
          <w:rFonts w:hint="eastAsia" w:ascii="Times New Roman" w:hAnsi="Times New Roman" w:eastAsia="宋体"/>
          <w:color w:val="auto"/>
          <w:kern w:val="0"/>
          <w:sz w:val="24"/>
          <w:szCs w:val="24"/>
        </w:rPr>
        <w:t>出水水质中CODcr、NH</w:t>
      </w:r>
      <w:r>
        <w:rPr>
          <w:rFonts w:hint="eastAsia" w:ascii="Times New Roman" w:hAnsi="Times New Roman" w:eastAsia="宋体"/>
          <w:color w:val="auto"/>
          <w:kern w:val="0"/>
          <w:sz w:val="24"/>
          <w:szCs w:val="24"/>
          <w:vertAlign w:val="subscript"/>
        </w:rPr>
        <w:t>3</w:t>
      </w:r>
      <w:r>
        <w:rPr>
          <w:rFonts w:hint="eastAsia" w:ascii="Times New Roman" w:hAnsi="Times New Roman" w:eastAsia="宋体"/>
          <w:color w:val="auto"/>
          <w:kern w:val="0"/>
          <w:sz w:val="24"/>
          <w:szCs w:val="24"/>
        </w:rPr>
        <w:t>-N</w:t>
      </w:r>
      <w:r>
        <w:rPr>
          <w:rFonts w:hint="eastAsia"/>
          <w:color w:val="auto"/>
          <w:kern w:val="0"/>
          <w:sz w:val="24"/>
          <w:szCs w:val="24"/>
          <w:lang w:eastAsia="zh-CN"/>
        </w:rPr>
        <w:t>、</w:t>
      </w:r>
      <w:r>
        <w:rPr>
          <w:rFonts w:hint="eastAsia"/>
          <w:color w:val="auto"/>
          <w:kern w:val="0"/>
          <w:sz w:val="24"/>
          <w:szCs w:val="24"/>
          <w:lang w:val="en-US" w:eastAsia="zh-CN"/>
        </w:rPr>
        <w:t>TP</w:t>
      </w:r>
      <w:r>
        <w:rPr>
          <w:rFonts w:hint="eastAsia"/>
          <w:color w:val="auto"/>
          <w:kern w:val="0"/>
          <w:sz w:val="24"/>
          <w:szCs w:val="24"/>
          <w:lang w:eastAsia="zh-CN"/>
        </w:rPr>
        <w:t>，</w:t>
      </w:r>
      <w:r>
        <w:rPr>
          <w:rFonts w:hint="eastAsia" w:ascii="Times New Roman" w:hAnsi="Times New Roman" w:eastAsia="宋体"/>
          <w:color w:val="auto"/>
          <w:kern w:val="0"/>
          <w:sz w:val="24"/>
          <w:szCs w:val="24"/>
        </w:rPr>
        <w:t>污染物预测源强详见下表</w:t>
      </w:r>
      <w:r>
        <w:rPr>
          <w:rFonts w:hint="eastAsia" w:ascii="Times New Roman" w:hAnsi="Times New Roman"/>
          <w:color w:val="auto"/>
          <w:kern w:val="0"/>
          <w:sz w:val="24"/>
          <w:szCs w:val="24"/>
          <w:lang w:eastAsia="zh-CN"/>
        </w:rPr>
        <w:t>：</w:t>
      </w:r>
    </w:p>
    <w:p w14:paraId="1AA91445">
      <w:pPr>
        <w:pStyle w:val="16"/>
        <w:adjustRightInd w:val="0"/>
        <w:snapToGrid w:val="0"/>
        <w:spacing w:line="360" w:lineRule="auto"/>
        <w:jc w:val="center"/>
        <w:rPr>
          <w:rFonts w:hint="eastAsia" w:ascii="Times New Roman" w:hAnsi="Times New Roman" w:eastAsia="宋"/>
          <w:b/>
          <w:color w:val="auto"/>
          <w:sz w:val="21"/>
          <w:szCs w:val="21"/>
          <w:highlight w:val="none"/>
          <w:lang w:val="en-US" w:eastAsia="zh-CN"/>
        </w:rPr>
      </w:pPr>
      <w:r>
        <w:rPr>
          <w:rFonts w:hint="eastAsia" w:ascii="Times New Roman" w:hAnsi="Times New Roman" w:eastAsia="宋"/>
          <w:b/>
          <w:color w:val="auto"/>
          <w:sz w:val="21"/>
          <w:szCs w:val="21"/>
          <w:highlight w:val="none"/>
          <w:lang w:val="en-US" w:eastAsia="zh-CN"/>
        </w:rPr>
        <w:t>表3.3-1  污染物预测源强表</w:t>
      </w:r>
    </w:p>
    <w:tbl>
      <w:tblPr>
        <w:tblStyle w:val="32"/>
        <w:tblW w:w="895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2240"/>
        <w:gridCol w:w="1307"/>
        <w:gridCol w:w="2352"/>
        <w:gridCol w:w="3059"/>
      </w:tblGrid>
      <w:tr w14:paraId="0D3B3DB2">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62" w:hRule="atLeast"/>
          <w:jc w:val="center"/>
        </w:trPr>
        <w:tc>
          <w:tcPr>
            <w:tcW w:w="2240" w:type="dxa"/>
            <w:tcBorders>
              <w:tl2br w:val="nil"/>
              <w:tr2bl w:val="nil"/>
            </w:tcBorders>
            <w:vAlign w:val="center"/>
          </w:tcPr>
          <w:p w14:paraId="79977040">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b/>
                <w:color w:val="auto"/>
                <w:lang w:val="en-US" w:eastAsia="zh-CN"/>
              </w:rPr>
            </w:pPr>
            <w:r>
              <w:rPr>
                <w:rFonts w:hint="eastAsia" w:ascii="Times New Roman" w:hAnsi="Times New Roman" w:eastAsia="宋体"/>
                <w:b/>
                <w:color w:val="auto"/>
                <w:lang w:val="en-US" w:eastAsia="zh-CN"/>
              </w:rPr>
              <w:t>排放情况</w:t>
            </w:r>
          </w:p>
        </w:tc>
        <w:tc>
          <w:tcPr>
            <w:tcW w:w="1307" w:type="dxa"/>
            <w:tcBorders>
              <w:tl2br w:val="nil"/>
              <w:tr2bl w:val="nil"/>
            </w:tcBorders>
            <w:vAlign w:val="center"/>
          </w:tcPr>
          <w:p w14:paraId="1311BC0D">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b/>
                <w:color w:val="auto"/>
                <w:lang w:val="en-US" w:eastAsia="zh-CN"/>
              </w:rPr>
            </w:pPr>
            <w:r>
              <w:rPr>
                <w:rFonts w:hint="eastAsia" w:ascii="Times New Roman" w:hAnsi="Times New Roman" w:eastAsia="宋体"/>
                <w:b/>
                <w:color w:val="auto"/>
                <w:lang w:val="en-US" w:eastAsia="zh-CN"/>
              </w:rPr>
              <w:t>废水量</w:t>
            </w:r>
          </w:p>
        </w:tc>
        <w:tc>
          <w:tcPr>
            <w:tcW w:w="2352" w:type="dxa"/>
            <w:tcBorders>
              <w:tl2br w:val="nil"/>
              <w:tr2bl w:val="nil"/>
            </w:tcBorders>
            <w:vAlign w:val="center"/>
          </w:tcPr>
          <w:p w14:paraId="65F1EBC9">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b/>
                <w:color w:val="auto"/>
                <w:lang w:val="en-US" w:eastAsia="zh-CN"/>
              </w:rPr>
            </w:pPr>
            <w:r>
              <w:rPr>
                <w:rFonts w:hint="eastAsia" w:ascii="Times New Roman" w:hAnsi="Times New Roman" w:eastAsia="宋体"/>
                <w:b/>
                <w:color w:val="auto"/>
                <w:lang w:val="en-US" w:eastAsia="zh-CN"/>
              </w:rPr>
              <w:t>污染物名称</w:t>
            </w:r>
          </w:p>
        </w:tc>
        <w:tc>
          <w:tcPr>
            <w:tcW w:w="3059" w:type="dxa"/>
            <w:tcBorders>
              <w:tl2br w:val="nil"/>
              <w:tr2bl w:val="nil"/>
            </w:tcBorders>
            <w:vAlign w:val="center"/>
          </w:tcPr>
          <w:p w14:paraId="4CE7C489">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b/>
                <w:color w:val="auto"/>
                <w:lang w:val="en-US" w:eastAsia="zh-CN"/>
              </w:rPr>
            </w:pPr>
            <w:r>
              <w:rPr>
                <w:rFonts w:hint="default" w:ascii="Times New Roman" w:hAnsi="Times New Roman" w:eastAsia="宋体"/>
                <w:b/>
                <w:color w:val="auto"/>
                <w:lang w:val="en-US" w:eastAsia="zh-CN"/>
              </w:rPr>
              <w:t>污染物排放浓度（mg/L）</w:t>
            </w:r>
          </w:p>
        </w:tc>
      </w:tr>
      <w:tr w14:paraId="6E7B8676">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7" w:hRule="atLeast"/>
          <w:jc w:val="center"/>
        </w:trPr>
        <w:tc>
          <w:tcPr>
            <w:tcW w:w="2240" w:type="dxa"/>
            <w:vMerge w:val="restart"/>
            <w:tcBorders>
              <w:tl2br w:val="nil"/>
              <w:tr2bl w:val="nil"/>
            </w:tcBorders>
            <w:vAlign w:val="center"/>
          </w:tcPr>
          <w:p w14:paraId="5B923794">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b w:val="0"/>
                <w:bCs/>
                <w:color w:val="auto"/>
                <w:lang w:val="en-US" w:eastAsia="zh-CN"/>
              </w:rPr>
            </w:pPr>
            <w:r>
              <w:rPr>
                <w:rFonts w:hint="eastAsia" w:ascii="Times New Roman" w:hAnsi="Times New Roman" w:eastAsia="宋体"/>
                <w:b w:val="0"/>
                <w:bCs/>
                <w:color w:val="auto"/>
                <w:lang w:val="en-US" w:eastAsia="zh-CN"/>
              </w:rPr>
              <w:t>正常排放</w:t>
            </w:r>
          </w:p>
        </w:tc>
        <w:tc>
          <w:tcPr>
            <w:tcW w:w="1307" w:type="dxa"/>
            <w:vMerge w:val="restart"/>
            <w:tcBorders>
              <w:tl2br w:val="nil"/>
              <w:tr2bl w:val="nil"/>
            </w:tcBorders>
            <w:vAlign w:val="center"/>
          </w:tcPr>
          <w:p w14:paraId="37E34B39">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cs="Times New Roman"/>
                <w:color w:val="auto"/>
                <w:lang w:val="en-US" w:eastAsia="zh-CN"/>
              </w:rPr>
            </w:pPr>
            <w:r>
              <w:rPr>
                <w:rFonts w:hint="eastAsia" w:cs="Times New Roman"/>
                <w:color w:val="auto"/>
                <w:lang w:val="en-US" w:eastAsia="zh-CN"/>
              </w:rPr>
              <w:t>15000</w:t>
            </w:r>
            <w:r>
              <w:rPr>
                <w:rFonts w:hint="default" w:ascii="Times New Roman" w:hAnsi="Times New Roman" w:cs="Times New Roman"/>
                <w:color w:val="auto"/>
                <w:lang w:val="en-US" w:eastAsia="zh-CN"/>
              </w:rPr>
              <w:t>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/d</w:t>
            </w:r>
          </w:p>
        </w:tc>
        <w:tc>
          <w:tcPr>
            <w:tcW w:w="2352" w:type="dxa"/>
            <w:tcBorders>
              <w:tl2br w:val="nil"/>
              <w:tr2bl w:val="nil"/>
            </w:tcBorders>
            <w:vAlign w:val="center"/>
          </w:tcPr>
          <w:p w14:paraId="6FBD4F3C">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eastAsia" w:ascii="Times New Roman" w:hAnsi="Times New Roman" w:eastAsia="宋体"/>
                <w:b w:val="0"/>
                <w:bCs/>
                <w:color w:val="auto"/>
                <w:lang w:val="en-US" w:eastAsia="zh-CN"/>
              </w:rPr>
            </w:pPr>
            <w:r>
              <w:rPr>
                <w:rFonts w:hint="eastAsia" w:ascii="Times New Roman" w:hAnsi="Times New Roman" w:eastAsia="宋体"/>
                <w:b w:val="0"/>
                <w:bCs/>
                <w:color w:val="auto"/>
                <w:lang w:val="en-US" w:eastAsia="zh-CN"/>
              </w:rPr>
              <w:t>COD</w:t>
            </w:r>
          </w:p>
        </w:tc>
        <w:tc>
          <w:tcPr>
            <w:tcW w:w="3059" w:type="dxa"/>
            <w:tcBorders>
              <w:tl2br w:val="nil"/>
              <w:tr2bl w:val="nil"/>
            </w:tcBorders>
            <w:vAlign w:val="center"/>
          </w:tcPr>
          <w:p w14:paraId="0D720319">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b/>
                <w:color w:val="auto"/>
                <w:lang w:val="en-US"/>
              </w:rPr>
            </w:pPr>
            <w:r>
              <w:rPr>
                <w:rFonts w:hint="eastAsia"/>
                <w:color w:val="auto"/>
                <w:lang w:val="en-US" w:eastAsia="zh-CN"/>
              </w:rPr>
              <w:t>40</w:t>
            </w:r>
          </w:p>
        </w:tc>
      </w:tr>
      <w:tr w14:paraId="58976B41">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7" w:hRule="atLeast"/>
          <w:jc w:val="center"/>
        </w:trPr>
        <w:tc>
          <w:tcPr>
            <w:tcW w:w="2240" w:type="dxa"/>
            <w:vMerge w:val="continue"/>
            <w:tcBorders>
              <w:tl2br w:val="nil"/>
              <w:tr2bl w:val="nil"/>
            </w:tcBorders>
            <w:vAlign w:val="center"/>
          </w:tcPr>
          <w:p w14:paraId="2A967B67">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b w:val="0"/>
                <w:bCs/>
                <w:color w:val="auto"/>
                <w:lang w:val="en-US" w:eastAsia="zh-CN"/>
              </w:rPr>
            </w:pPr>
          </w:p>
        </w:tc>
        <w:tc>
          <w:tcPr>
            <w:tcW w:w="1307" w:type="dxa"/>
            <w:vMerge w:val="continue"/>
            <w:tcBorders>
              <w:tl2br w:val="nil"/>
              <w:tr2bl w:val="nil"/>
            </w:tcBorders>
            <w:vAlign w:val="center"/>
          </w:tcPr>
          <w:p w14:paraId="3CEBBE50">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color w:val="auto"/>
                <w:lang w:val="en-US" w:eastAsia="zh-CN"/>
              </w:rPr>
            </w:pPr>
          </w:p>
        </w:tc>
        <w:tc>
          <w:tcPr>
            <w:tcW w:w="2352" w:type="dxa"/>
            <w:tcBorders>
              <w:tl2br w:val="nil"/>
              <w:tr2bl w:val="nil"/>
            </w:tcBorders>
            <w:vAlign w:val="center"/>
          </w:tcPr>
          <w:p w14:paraId="66EDAD7D">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eastAsia" w:ascii="Times New Roman" w:hAnsi="Times New Roman" w:eastAsia="宋体"/>
                <w:b w:val="0"/>
                <w:bCs/>
                <w:color w:val="auto"/>
                <w:lang w:val="en-US" w:eastAsia="zh-CN"/>
              </w:rPr>
            </w:pPr>
            <w:r>
              <w:rPr>
                <w:rFonts w:hint="eastAsia" w:ascii="Times New Roman" w:hAnsi="Times New Roman" w:cs="Times New Roman"/>
                <w:b w:val="0"/>
                <w:bCs/>
                <w:color w:val="auto"/>
                <w:sz w:val="21"/>
                <w:szCs w:val="21"/>
                <w:lang w:val="en-US" w:eastAsia="zh-CN"/>
              </w:rPr>
              <w:t>NH</w:t>
            </w:r>
            <w:r>
              <w:rPr>
                <w:rFonts w:hint="eastAsia" w:ascii="Times New Roman" w:hAnsi="Times New Roman" w:cs="Times New Roman"/>
                <w:b w:val="0"/>
                <w:bCs/>
                <w:color w:val="auto"/>
                <w:sz w:val="21"/>
                <w:szCs w:val="21"/>
                <w:vertAlign w:val="subscript"/>
                <w:lang w:val="en-US" w:eastAsia="zh-CN"/>
              </w:rPr>
              <w:t>3</w:t>
            </w:r>
            <w:r>
              <w:rPr>
                <w:rFonts w:hint="eastAsia" w:ascii="Times New Roman" w:hAnsi="Times New Roman" w:cs="Times New Roman"/>
                <w:b w:val="0"/>
                <w:bCs/>
                <w:color w:val="auto"/>
                <w:sz w:val="21"/>
                <w:szCs w:val="21"/>
                <w:lang w:val="en-US" w:eastAsia="zh-CN"/>
              </w:rPr>
              <w:t>-N</w:t>
            </w:r>
          </w:p>
        </w:tc>
        <w:tc>
          <w:tcPr>
            <w:tcW w:w="3059" w:type="dxa"/>
            <w:tcBorders>
              <w:tl2br w:val="nil"/>
              <w:tr2bl w:val="nil"/>
            </w:tcBorders>
            <w:vAlign w:val="center"/>
          </w:tcPr>
          <w:p w14:paraId="328E77F9">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color w:val="auto"/>
                <w:lang w:val="en-US" w:eastAsia="zh-CN"/>
              </w:rPr>
            </w:pPr>
            <w:r>
              <w:rPr>
                <w:rFonts w:hint="eastAsia"/>
                <w:color w:val="auto"/>
                <w:lang w:val="en-US" w:eastAsia="zh-CN"/>
              </w:rPr>
              <w:t>3</w:t>
            </w:r>
          </w:p>
        </w:tc>
      </w:tr>
      <w:tr w14:paraId="7A0D8C9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7" w:hRule="atLeast"/>
          <w:jc w:val="center"/>
        </w:trPr>
        <w:tc>
          <w:tcPr>
            <w:tcW w:w="2240" w:type="dxa"/>
            <w:vMerge w:val="continue"/>
            <w:tcBorders>
              <w:tl2br w:val="nil"/>
              <w:tr2bl w:val="nil"/>
            </w:tcBorders>
            <w:vAlign w:val="center"/>
          </w:tcPr>
          <w:p w14:paraId="1ABAD82E">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b w:val="0"/>
                <w:bCs/>
                <w:color w:val="auto"/>
                <w:lang w:val="en-US" w:eastAsia="zh-CN"/>
              </w:rPr>
            </w:pPr>
          </w:p>
        </w:tc>
        <w:tc>
          <w:tcPr>
            <w:tcW w:w="1307" w:type="dxa"/>
            <w:vMerge w:val="continue"/>
            <w:tcBorders>
              <w:tl2br w:val="nil"/>
              <w:tr2bl w:val="nil"/>
            </w:tcBorders>
            <w:vAlign w:val="center"/>
          </w:tcPr>
          <w:p w14:paraId="36127FA8">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color w:val="auto"/>
                <w:lang w:val="en-US" w:eastAsia="zh-CN"/>
              </w:rPr>
            </w:pPr>
          </w:p>
        </w:tc>
        <w:tc>
          <w:tcPr>
            <w:tcW w:w="2352" w:type="dxa"/>
            <w:tcBorders>
              <w:tl2br w:val="nil"/>
              <w:tr2bl w:val="nil"/>
            </w:tcBorders>
            <w:vAlign w:val="center"/>
          </w:tcPr>
          <w:p w14:paraId="00030182">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cs="Times New Roman"/>
                <w:b w:val="0"/>
                <w:bCs/>
                <w:color w:val="auto"/>
                <w:sz w:val="21"/>
                <w:szCs w:val="21"/>
                <w:lang w:val="en-US" w:eastAsia="zh-CN"/>
              </w:rPr>
            </w:pPr>
            <w:r>
              <w:rPr>
                <w:rFonts w:hint="eastAsia" w:cs="Times New Roman"/>
                <w:b w:val="0"/>
                <w:bCs/>
                <w:color w:val="auto"/>
                <w:sz w:val="21"/>
                <w:szCs w:val="21"/>
                <w:lang w:val="en-US" w:eastAsia="zh-CN"/>
              </w:rPr>
              <w:t>TP</w:t>
            </w:r>
          </w:p>
        </w:tc>
        <w:tc>
          <w:tcPr>
            <w:tcW w:w="3059" w:type="dxa"/>
            <w:tcBorders>
              <w:tl2br w:val="nil"/>
              <w:tr2bl w:val="nil"/>
            </w:tcBorders>
            <w:vAlign w:val="center"/>
          </w:tcPr>
          <w:p w14:paraId="12E17A6A">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color w:val="auto"/>
                <w:lang w:val="en-US" w:eastAsia="zh-CN"/>
              </w:rPr>
            </w:pPr>
            <w:r>
              <w:rPr>
                <w:rFonts w:hint="eastAsia"/>
                <w:color w:val="auto"/>
                <w:lang w:val="en-US" w:eastAsia="zh-CN"/>
              </w:rPr>
              <w:t>0.5</w:t>
            </w:r>
          </w:p>
        </w:tc>
      </w:tr>
      <w:tr w14:paraId="3343E02E">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7" w:hRule="atLeast"/>
          <w:jc w:val="center"/>
        </w:trPr>
        <w:tc>
          <w:tcPr>
            <w:tcW w:w="2240" w:type="dxa"/>
            <w:vMerge w:val="restart"/>
            <w:tcBorders>
              <w:tl2br w:val="nil"/>
              <w:tr2bl w:val="nil"/>
            </w:tcBorders>
            <w:vAlign w:val="center"/>
          </w:tcPr>
          <w:p w14:paraId="2FE82067">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b w:val="0"/>
                <w:bCs/>
                <w:color w:val="auto"/>
                <w:lang w:val="en-US" w:eastAsia="zh-CN"/>
              </w:rPr>
            </w:pPr>
            <w:r>
              <w:rPr>
                <w:rFonts w:hint="eastAsia" w:ascii="Times New Roman" w:hAnsi="Times New Roman" w:eastAsia="宋体"/>
                <w:b w:val="0"/>
                <w:bCs/>
                <w:color w:val="auto"/>
                <w:lang w:val="en-US" w:eastAsia="zh-CN"/>
              </w:rPr>
              <w:t>非正常排放</w:t>
            </w:r>
          </w:p>
        </w:tc>
        <w:tc>
          <w:tcPr>
            <w:tcW w:w="1307" w:type="dxa"/>
            <w:vMerge w:val="restart"/>
            <w:tcBorders>
              <w:tl2br w:val="nil"/>
              <w:tr2bl w:val="nil"/>
            </w:tcBorders>
            <w:vAlign w:val="center"/>
          </w:tcPr>
          <w:p w14:paraId="2DCED123">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b/>
                <w:color w:val="auto"/>
                <w:lang w:val="en-US" w:eastAsia="zh-CN"/>
              </w:rPr>
            </w:pPr>
            <w:r>
              <w:rPr>
                <w:rFonts w:hint="eastAsia" w:cs="Times New Roman"/>
                <w:color w:val="auto"/>
                <w:lang w:val="en-US" w:eastAsia="zh-CN"/>
              </w:rPr>
              <w:t>15000</w:t>
            </w:r>
            <w:r>
              <w:rPr>
                <w:rFonts w:hint="default" w:ascii="Times New Roman" w:hAnsi="Times New Roman" w:cs="Times New Roman"/>
                <w:color w:val="auto"/>
                <w:lang w:val="en-US" w:eastAsia="zh-CN"/>
              </w:rPr>
              <w:t>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/d</w:t>
            </w:r>
          </w:p>
        </w:tc>
        <w:tc>
          <w:tcPr>
            <w:tcW w:w="2352" w:type="dxa"/>
            <w:tcBorders>
              <w:tl2br w:val="nil"/>
              <w:tr2bl w:val="nil"/>
            </w:tcBorders>
            <w:vAlign w:val="center"/>
          </w:tcPr>
          <w:p w14:paraId="500CDB12">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eastAsia" w:ascii="Times New Roman" w:hAnsi="Times New Roman" w:cs="Times New Roman"/>
                <w:b w:val="0"/>
                <w:bCs/>
                <w:color w:val="auto"/>
                <w:sz w:val="21"/>
                <w:szCs w:val="21"/>
                <w:lang w:val="en-US" w:eastAsia="zh-CN"/>
              </w:rPr>
            </w:pPr>
            <w:r>
              <w:rPr>
                <w:rFonts w:hint="eastAsia" w:ascii="Times New Roman" w:hAnsi="Times New Roman" w:eastAsia="宋体"/>
                <w:b w:val="0"/>
                <w:bCs/>
                <w:color w:val="auto"/>
                <w:lang w:val="en-US" w:eastAsia="zh-CN"/>
              </w:rPr>
              <w:t>COD</w:t>
            </w:r>
          </w:p>
        </w:tc>
        <w:tc>
          <w:tcPr>
            <w:tcW w:w="3059" w:type="dxa"/>
            <w:tcBorders>
              <w:tl2br w:val="nil"/>
              <w:tr2bl w:val="nil"/>
            </w:tcBorders>
            <w:vAlign w:val="center"/>
          </w:tcPr>
          <w:p w14:paraId="4EE3A145">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250</w:t>
            </w:r>
          </w:p>
        </w:tc>
      </w:tr>
      <w:tr w14:paraId="08C5B248">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47" w:hRule="atLeast"/>
          <w:jc w:val="center"/>
        </w:trPr>
        <w:tc>
          <w:tcPr>
            <w:tcW w:w="2240" w:type="dxa"/>
            <w:vMerge w:val="continue"/>
            <w:tcBorders>
              <w:tl2br w:val="nil"/>
              <w:tr2bl w:val="nil"/>
            </w:tcBorders>
            <w:vAlign w:val="center"/>
          </w:tcPr>
          <w:p w14:paraId="4A2B9C2A">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b/>
                <w:color w:val="auto"/>
                <w:lang w:val="en-US" w:eastAsia="zh-CN"/>
              </w:rPr>
            </w:pPr>
          </w:p>
        </w:tc>
        <w:tc>
          <w:tcPr>
            <w:tcW w:w="1307" w:type="dxa"/>
            <w:vMerge w:val="continue"/>
            <w:tcBorders>
              <w:tl2br w:val="nil"/>
              <w:tr2bl w:val="nil"/>
            </w:tcBorders>
            <w:vAlign w:val="center"/>
          </w:tcPr>
          <w:p w14:paraId="7FDAE875">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eastAsia" w:ascii="Times New Roman" w:hAnsi="Times New Roman" w:eastAsia="宋体"/>
                <w:b/>
                <w:color w:val="auto"/>
                <w:lang w:val="en-US" w:eastAsia="zh-CN"/>
              </w:rPr>
            </w:pPr>
          </w:p>
        </w:tc>
        <w:tc>
          <w:tcPr>
            <w:tcW w:w="2352" w:type="dxa"/>
            <w:tcBorders>
              <w:tl2br w:val="nil"/>
              <w:tr2bl w:val="nil"/>
            </w:tcBorders>
            <w:vAlign w:val="center"/>
          </w:tcPr>
          <w:p w14:paraId="7697B58C">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eastAsia"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NH</w:t>
            </w:r>
            <w:r>
              <w:rPr>
                <w:rFonts w:hint="eastAsia" w:ascii="Times New Roman" w:hAnsi="Times New Roman" w:cs="Times New Roman"/>
                <w:b w:val="0"/>
                <w:bCs/>
                <w:color w:val="auto"/>
                <w:sz w:val="21"/>
                <w:szCs w:val="21"/>
                <w:vertAlign w:val="subscript"/>
                <w:lang w:val="en-US" w:eastAsia="zh-CN"/>
              </w:rPr>
              <w:t>3</w:t>
            </w:r>
            <w:r>
              <w:rPr>
                <w:rFonts w:hint="eastAsia" w:ascii="Times New Roman" w:hAnsi="Times New Roman" w:cs="Times New Roman"/>
                <w:b w:val="0"/>
                <w:bCs/>
                <w:color w:val="auto"/>
                <w:sz w:val="21"/>
                <w:szCs w:val="21"/>
                <w:lang w:val="en-US" w:eastAsia="zh-CN"/>
              </w:rPr>
              <w:t>-N</w:t>
            </w:r>
          </w:p>
        </w:tc>
        <w:tc>
          <w:tcPr>
            <w:tcW w:w="3059" w:type="dxa"/>
            <w:tcBorders>
              <w:tl2br w:val="nil"/>
              <w:tr2bl w:val="nil"/>
            </w:tcBorders>
            <w:vAlign w:val="center"/>
          </w:tcPr>
          <w:p w14:paraId="26A6D681">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30</w:t>
            </w:r>
          </w:p>
        </w:tc>
      </w:tr>
      <w:tr w14:paraId="1C28CB40">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270" w:hRule="atLeast"/>
          <w:jc w:val="center"/>
        </w:trPr>
        <w:tc>
          <w:tcPr>
            <w:tcW w:w="2240" w:type="dxa"/>
            <w:vMerge w:val="continue"/>
            <w:tcBorders>
              <w:tl2br w:val="nil"/>
              <w:tr2bl w:val="nil"/>
            </w:tcBorders>
            <w:vAlign w:val="center"/>
          </w:tcPr>
          <w:p w14:paraId="1B7F8C62">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eastAsia="宋体"/>
                <w:b/>
                <w:color w:val="auto"/>
                <w:lang w:val="en-US" w:eastAsia="zh-CN"/>
              </w:rPr>
            </w:pPr>
            <w:bookmarkStart w:id="75" w:name="_Toc719"/>
            <w:bookmarkStart w:id="76" w:name="_Toc20666"/>
          </w:p>
        </w:tc>
        <w:tc>
          <w:tcPr>
            <w:tcW w:w="1307" w:type="dxa"/>
            <w:vMerge w:val="continue"/>
            <w:tcBorders>
              <w:tl2br w:val="nil"/>
              <w:tr2bl w:val="nil"/>
            </w:tcBorders>
            <w:vAlign w:val="center"/>
          </w:tcPr>
          <w:p w14:paraId="775A10D4">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eastAsia" w:ascii="Times New Roman" w:hAnsi="Times New Roman" w:eastAsia="宋体"/>
                <w:b/>
                <w:color w:val="auto"/>
                <w:lang w:val="en-US" w:eastAsia="zh-CN"/>
              </w:rPr>
            </w:pPr>
          </w:p>
        </w:tc>
        <w:tc>
          <w:tcPr>
            <w:tcW w:w="2352" w:type="dxa"/>
            <w:tcBorders>
              <w:tl2br w:val="nil"/>
              <w:tr2bl w:val="nil"/>
            </w:tcBorders>
            <w:vAlign w:val="center"/>
          </w:tcPr>
          <w:p w14:paraId="4D4C0B9E">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ascii="Times New Roman" w:hAnsi="Times New Roman" w:cs="Times New Roman"/>
                <w:b w:val="0"/>
                <w:bCs/>
                <w:color w:val="auto"/>
                <w:sz w:val="21"/>
                <w:szCs w:val="21"/>
                <w:lang w:val="en-US" w:eastAsia="zh-CN"/>
              </w:rPr>
            </w:pPr>
            <w:r>
              <w:rPr>
                <w:rFonts w:hint="eastAsia" w:cs="Times New Roman"/>
                <w:b w:val="0"/>
                <w:bCs/>
                <w:color w:val="auto"/>
                <w:sz w:val="21"/>
                <w:szCs w:val="21"/>
                <w:lang w:val="en-US" w:eastAsia="zh-CN"/>
              </w:rPr>
              <w:t>TP</w:t>
            </w:r>
          </w:p>
        </w:tc>
        <w:tc>
          <w:tcPr>
            <w:tcW w:w="3059" w:type="dxa"/>
            <w:tcBorders>
              <w:tl2br w:val="nil"/>
              <w:tr2bl w:val="nil"/>
            </w:tcBorders>
            <w:vAlign w:val="center"/>
          </w:tcPr>
          <w:p w14:paraId="317F6B06">
            <w:pPr>
              <w:keepNext w:val="0"/>
              <w:keepLines w:val="0"/>
              <w:pageBreakBefore w:val="0"/>
              <w:widowControl w:val="0"/>
              <w:kinsoku/>
              <w:wordWrap/>
              <w:overflowPunct/>
              <w:topLinePunct w:val="0"/>
              <w:autoSpaceDE/>
              <w:autoSpaceDN/>
              <w:bidi w:val="0"/>
              <w:adjustRightInd/>
              <w:snapToGrid/>
              <w:ind w:left="-105" w:leftChars="-50" w:right="-105" w:rightChars="-50"/>
              <w:jc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3.5</w:t>
            </w:r>
          </w:p>
        </w:tc>
      </w:tr>
    </w:tbl>
    <w:p w14:paraId="2D0DE90E">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eastAsia" w:cs="Times New Roman"/>
          <w:b/>
          <w:bCs/>
          <w:color w:val="auto"/>
          <w:sz w:val="28"/>
          <w:szCs w:val="28"/>
          <w:lang w:val="en-US" w:eastAsia="zh-CN"/>
        </w:rPr>
      </w:pPr>
      <w:r>
        <w:rPr>
          <w:rFonts w:hint="eastAsia" w:cs="Times New Roman"/>
          <w:b/>
          <w:bCs/>
          <w:color w:val="auto"/>
          <w:sz w:val="28"/>
          <w:szCs w:val="28"/>
          <w:lang w:val="en-US" w:eastAsia="zh-CN"/>
        </w:rPr>
        <w:t>（2）背景浓度和水文数据</w:t>
      </w:r>
    </w:p>
    <w:p w14:paraId="2EA04F6D">
      <w:pPr>
        <w:adjustRightInd w:val="0"/>
        <w:snapToGrid w:val="0"/>
        <w:spacing w:line="520" w:lineRule="exact"/>
        <w:ind w:firstLine="480" w:firstLineChars="200"/>
        <w:rPr>
          <w:rFonts w:hint="default" w:ascii="Times New Roman" w:hAnsi="Times New Roman" w:cs="Times New Roman"/>
          <w:sz w:val="24"/>
          <w:u w:val="single"/>
          <w:lang w:val="en-US" w:eastAsia="zh-CN"/>
        </w:rPr>
      </w:pPr>
      <w:r>
        <w:rPr>
          <w:rFonts w:hint="eastAsia" w:cs="Times New Roman"/>
          <w:sz w:val="24"/>
          <w:u w:val="single"/>
          <w:lang w:val="en-US" w:eastAsia="zh-CN"/>
        </w:rPr>
        <w:t>参考《龙山县城乡环卫一体化工程PPP项目（新建项目）环评报告》（已批复）可知，果利河水文情况如下：</w:t>
      </w:r>
    </w:p>
    <w:p w14:paraId="68A66C29">
      <w:pPr>
        <w:adjustRightInd w:val="0"/>
        <w:snapToGrid w:val="0"/>
        <w:spacing w:line="520" w:lineRule="exact"/>
        <w:ind w:firstLine="480" w:firstLineChars="200"/>
        <w:rPr>
          <w:rFonts w:hint="default" w:ascii="Times New Roman" w:hAnsi="Times New Roman" w:cs="Times New Roman"/>
          <w:sz w:val="24"/>
          <w:u w:val="single"/>
          <w:lang w:val="en-US" w:eastAsia="zh-CN"/>
        </w:rPr>
      </w:pPr>
      <w:r>
        <w:rPr>
          <w:rFonts w:hint="default" w:ascii="Times New Roman" w:hAnsi="Times New Roman" w:cs="Times New Roman"/>
          <w:sz w:val="24"/>
          <w:u w:val="single"/>
          <w:lang w:val="en-US" w:eastAsia="zh-CN"/>
        </w:rPr>
        <w:t>果利河为酉水河一级支流，由东向西经龙山县城南侧在水寨坪位置汇入酉水河。流域面积389平方公里，全长51.6km，坡降4.5‰，果利河平水期流量约57.0m</w:t>
      </w:r>
      <w:r>
        <w:rPr>
          <w:rFonts w:hint="default" w:ascii="Times New Roman" w:hAnsi="Times New Roman" w:cs="Times New Roman"/>
          <w:sz w:val="24"/>
          <w:u w:val="single"/>
          <w:vertAlign w:val="superscript"/>
          <w:lang w:val="en-US" w:eastAsia="zh-CN"/>
        </w:rPr>
        <w:t>3</w:t>
      </w:r>
      <w:r>
        <w:rPr>
          <w:rFonts w:hint="default" w:ascii="Times New Roman" w:hAnsi="Times New Roman" w:cs="Times New Roman"/>
          <w:sz w:val="24"/>
          <w:u w:val="single"/>
          <w:lang w:val="en-US" w:eastAsia="zh-CN"/>
        </w:rPr>
        <w:t>/s，枯水期流量约3.0m</w:t>
      </w:r>
      <w:r>
        <w:rPr>
          <w:rFonts w:hint="default" w:ascii="Times New Roman" w:hAnsi="Times New Roman" w:cs="Times New Roman"/>
          <w:sz w:val="24"/>
          <w:u w:val="single"/>
          <w:vertAlign w:val="superscript"/>
          <w:lang w:val="en-US" w:eastAsia="zh-CN"/>
        </w:rPr>
        <w:t>3</w:t>
      </w:r>
      <w:r>
        <w:rPr>
          <w:rFonts w:hint="default" w:ascii="Times New Roman" w:hAnsi="Times New Roman" w:cs="Times New Roman"/>
          <w:sz w:val="24"/>
          <w:u w:val="single"/>
          <w:lang w:val="en-US" w:eastAsia="zh-CN"/>
        </w:rPr>
        <w:t>/s。果利河水文资料见表4-1。</w:t>
      </w:r>
    </w:p>
    <w:p w14:paraId="744985D8">
      <w:pPr>
        <w:pStyle w:val="155"/>
        <w:snapToGrid w:val="0"/>
        <w:ind w:firstLine="0" w:firstLineChars="0"/>
        <w:jc w:val="center"/>
        <w:rPr>
          <w:rFonts w:hint="default" w:ascii="Times New Roman" w:hAnsi="Times New Roman" w:cs="Times New Roman"/>
          <w:b/>
          <w:bCs/>
          <w:color w:val="000000"/>
          <w:sz w:val="21"/>
          <w:szCs w:val="21"/>
          <w:u w:val="single"/>
        </w:rPr>
      </w:pPr>
      <w:r>
        <w:rPr>
          <w:rFonts w:hint="default" w:ascii="Times New Roman" w:hAnsi="Times New Roman" w:cs="Times New Roman"/>
          <w:b/>
          <w:bCs/>
          <w:color w:val="000000"/>
          <w:sz w:val="21"/>
          <w:szCs w:val="21"/>
          <w:u w:val="single"/>
        </w:rPr>
        <w:t>表4-</w:t>
      </w:r>
      <w:r>
        <w:rPr>
          <w:rFonts w:hint="default" w:ascii="Times New Roman" w:hAnsi="Times New Roman" w:cs="Times New Roman"/>
          <w:b/>
          <w:bCs/>
          <w:color w:val="000000"/>
          <w:sz w:val="21"/>
          <w:szCs w:val="21"/>
          <w:u w:val="single"/>
          <w:lang w:val="en-US" w:eastAsia="zh-CN"/>
        </w:rPr>
        <w:t>1</w:t>
      </w:r>
      <w:r>
        <w:rPr>
          <w:rFonts w:hint="default" w:ascii="Times New Roman" w:hAnsi="Times New Roman" w:cs="Times New Roman"/>
          <w:b/>
          <w:bCs/>
          <w:color w:val="000000"/>
          <w:sz w:val="21"/>
          <w:szCs w:val="21"/>
          <w:u w:val="single"/>
        </w:rPr>
        <w:t xml:space="preserve">  果利河的水文资料一览表</w:t>
      </w:r>
    </w:p>
    <w:tbl>
      <w:tblPr>
        <w:tblStyle w:val="32"/>
        <w:tblW w:w="0" w:type="auto"/>
        <w:jc w:val="center"/>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90"/>
        <w:gridCol w:w="1425"/>
        <w:gridCol w:w="1324"/>
        <w:gridCol w:w="1313"/>
        <w:gridCol w:w="1490"/>
        <w:gridCol w:w="1490"/>
      </w:tblGrid>
      <w:tr w14:paraId="2936B1F6">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1290" w:type="dxa"/>
            <w:noWrap w:val="0"/>
            <w:vAlign w:val="center"/>
          </w:tcPr>
          <w:p w14:paraId="651BD679">
            <w:pPr>
              <w:pStyle w:val="40"/>
              <w:spacing w:line="240" w:lineRule="auto"/>
              <w:ind w:firstLine="0" w:firstLineChars="0"/>
              <w:jc w:val="center"/>
              <w:rPr>
                <w:rFonts w:hint="default" w:ascii="Times New Roman" w:hAnsi="Times New Roman" w:cs="Times New Roman"/>
                <w:b/>
                <w:sz w:val="21"/>
                <w:szCs w:val="21"/>
                <w:u w:val="single"/>
              </w:rPr>
            </w:pPr>
            <w:r>
              <w:rPr>
                <w:rFonts w:hint="default" w:ascii="Times New Roman" w:hAnsi="Times New Roman" w:cs="Times New Roman"/>
                <w:b/>
                <w:sz w:val="21"/>
                <w:szCs w:val="21"/>
                <w:u w:val="single"/>
              </w:rPr>
              <w:t>时期</w:t>
            </w:r>
          </w:p>
        </w:tc>
        <w:tc>
          <w:tcPr>
            <w:tcW w:w="1425" w:type="dxa"/>
            <w:noWrap w:val="0"/>
            <w:vAlign w:val="center"/>
          </w:tcPr>
          <w:p w14:paraId="1222AE48">
            <w:pPr>
              <w:pStyle w:val="40"/>
              <w:spacing w:line="240" w:lineRule="auto"/>
              <w:ind w:firstLine="0" w:firstLineChars="0"/>
              <w:jc w:val="center"/>
              <w:rPr>
                <w:rFonts w:hint="default" w:ascii="Times New Roman" w:hAnsi="Times New Roman" w:cs="Times New Roman"/>
                <w:b/>
                <w:sz w:val="21"/>
                <w:szCs w:val="21"/>
                <w:u w:val="single"/>
              </w:rPr>
            </w:pPr>
            <w:r>
              <w:rPr>
                <w:rFonts w:hint="default" w:ascii="Times New Roman" w:hAnsi="Times New Roman" w:cs="Times New Roman"/>
                <w:b/>
                <w:sz w:val="21"/>
                <w:szCs w:val="21"/>
                <w:u w:val="single"/>
              </w:rPr>
              <w:t>河宽（m）</w:t>
            </w:r>
          </w:p>
        </w:tc>
        <w:tc>
          <w:tcPr>
            <w:tcW w:w="1324" w:type="dxa"/>
            <w:noWrap w:val="0"/>
            <w:vAlign w:val="center"/>
          </w:tcPr>
          <w:p w14:paraId="3B71BA93">
            <w:pPr>
              <w:pStyle w:val="40"/>
              <w:spacing w:line="240" w:lineRule="auto"/>
              <w:ind w:firstLine="0" w:firstLineChars="0"/>
              <w:jc w:val="center"/>
              <w:rPr>
                <w:rFonts w:hint="default" w:ascii="Times New Roman" w:hAnsi="Times New Roman" w:cs="Times New Roman"/>
                <w:b/>
                <w:sz w:val="21"/>
                <w:szCs w:val="21"/>
                <w:u w:val="single"/>
              </w:rPr>
            </w:pPr>
            <w:r>
              <w:rPr>
                <w:rFonts w:hint="default" w:ascii="Times New Roman" w:hAnsi="Times New Roman" w:cs="Times New Roman"/>
                <w:b/>
                <w:sz w:val="21"/>
                <w:szCs w:val="21"/>
                <w:u w:val="single"/>
              </w:rPr>
              <w:t>河深（m）</w:t>
            </w:r>
          </w:p>
        </w:tc>
        <w:tc>
          <w:tcPr>
            <w:tcW w:w="1313" w:type="dxa"/>
            <w:noWrap w:val="0"/>
            <w:vAlign w:val="center"/>
          </w:tcPr>
          <w:p w14:paraId="2A9ADF61">
            <w:pPr>
              <w:pStyle w:val="40"/>
              <w:spacing w:line="240" w:lineRule="auto"/>
              <w:ind w:firstLine="0" w:firstLineChars="0"/>
              <w:jc w:val="center"/>
              <w:rPr>
                <w:rFonts w:hint="default" w:ascii="Times New Roman" w:hAnsi="Times New Roman" w:cs="Times New Roman"/>
                <w:b/>
                <w:sz w:val="21"/>
                <w:szCs w:val="21"/>
                <w:u w:val="single"/>
              </w:rPr>
            </w:pPr>
            <w:r>
              <w:rPr>
                <w:rFonts w:hint="default" w:ascii="Times New Roman" w:hAnsi="Times New Roman" w:cs="Times New Roman"/>
                <w:b/>
                <w:sz w:val="21"/>
                <w:szCs w:val="21"/>
                <w:u w:val="single"/>
              </w:rPr>
              <w:t>流速（m/s）</w:t>
            </w:r>
          </w:p>
        </w:tc>
        <w:tc>
          <w:tcPr>
            <w:tcW w:w="1490" w:type="dxa"/>
            <w:noWrap w:val="0"/>
            <w:vAlign w:val="center"/>
          </w:tcPr>
          <w:p w14:paraId="3E4EA7F6">
            <w:pPr>
              <w:pStyle w:val="40"/>
              <w:spacing w:line="240" w:lineRule="auto"/>
              <w:ind w:firstLine="0" w:firstLineChars="0"/>
              <w:jc w:val="center"/>
              <w:rPr>
                <w:rFonts w:hint="default" w:ascii="Times New Roman" w:hAnsi="Times New Roman" w:cs="Times New Roman"/>
                <w:b/>
                <w:sz w:val="21"/>
                <w:szCs w:val="21"/>
                <w:u w:val="single"/>
              </w:rPr>
            </w:pPr>
            <w:r>
              <w:rPr>
                <w:rFonts w:hint="default" w:ascii="Times New Roman" w:hAnsi="Times New Roman" w:cs="Times New Roman"/>
                <w:b/>
                <w:sz w:val="21"/>
                <w:szCs w:val="21"/>
                <w:u w:val="single"/>
              </w:rPr>
              <w:t>流量（m</w:t>
            </w:r>
            <w:r>
              <w:rPr>
                <w:rFonts w:hint="default" w:ascii="Times New Roman" w:hAnsi="Times New Roman" w:cs="Times New Roman"/>
                <w:b/>
                <w:sz w:val="21"/>
                <w:szCs w:val="21"/>
                <w:u w:val="single"/>
                <w:vertAlign w:val="superscript"/>
              </w:rPr>
              <w:t>3</w:t>
            </w:r>
            <w:r>
              <w:rPr>
                <w:rFonts w:hint="default" w:ascii="Times New Roman" w:hAnsi="Times New Roman" w:cs="Times New Roman"/>
                <w:b/>
                <w:sz w:val="21"/>
                <w:szCs w:val="21"/>
                <w:u w:val="single"/>
              </w:rPr>
              <w:t>/s）</w:t>
            </w:r>
          </w:p>
        </w:tc>
        <w:tc>
          <w:tcPr>
            <w:tcW w:w="1490" w:type="dxa"/>
            <w:noWrap w:val="0"/>
            <w:vAlign w:val="center"/>
          </w:tcPr>
          <w:p w14:paraId="51DAA20A">
            <w:pPr>
              <w:pStyle w:val="40"/>
              <w:spacing w:line="240" w:lineRule="auto"/>
              <w:ind w:firstLine="0" w:firstLineChars="0"/>
              <w:jc w:val="center"/>
              <w:rPr>
                <w:rFonts w:hint="default" w:ascii="Times New Roman" w:hAnsi="Times New Roman" w:cs="Times New Roman"/>
                <w:b/>
                <w:sz w:val="21"/>
                <w:szCs w:val="21"/>
                <w:u w:val="single"/>
              </w:rPr>
            </w:pPr>
            <w:r>
              <w:rPr>
                <w:rFonts w:hint="default" w:ascii="Times New Roman" w:hAnsi="Times New Roman" w:cs="Times New Roman"/>
                <w:b/>
                <w:sz w:val="21"/>
                <w:szCs w:val="21"/>
                <w:u w:val="single"/>
              </w:rPr>
              <w:t>水利坡降</w:t>
            </w:r>
          </w:p>
        </w:tc>
      </w:tr>
      <w:tr w14:paraId="7388E5AF">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1290" w:type="dxa"/>
            <w:noWrap w:val="0"/>
            <w:vAlign w:val="center"/>
          </w:tcPr>
          <w:p w14:paraId="7FD7C268">
            <w:pPr>
              <w:pStyle w:val="40"/>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平水期</w:t>
            </w:r>
          </w:p>
        </w:tc>
        <w:tc>
          <w:tcPr>
            <w:tcW w:w="1425" w:type="dxa"/>
            <w:noWrap w:val="0"/>
            <w:vAlign w:val="center"/>
          </w:tcPr>
          <w:p w14:paraId="5B043AAF">
            <w:pPr>
              <w:pStyle w:val="40"/>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60</w:t>
            </w:r>
          </w:p>
        </w:tc>
        <w:tc>
          <w:tcPr>
            <w:tcW w:w="1324" w:type="dxa"/>
            <w:noWrap w:val="0"/>
            <w:vAlign w:val="center"/>
          </w:tcPr>
          <w:p w14:paraId="200A3E1B">
            <w:pPr>
              <w:pStyle w:val="40"/>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3</w:t>
            </w:r>
          </w:p>
        </w:tc>
        <w:tc>
          <w:tcPr>
            <w:tcW w:w="1313" w:type="dxa"/>
            <w:noWrap w:val="0"/>
            <w:vAlign w:val="center"/>
          </w:tcPr>
          <w:p w14:paraId="6E277597">
            <w:pPr>
              <w:pStyle w:val="40"/>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0.316</w:t>
            </w:r>
          </w:p>
        </w:tc>
        <w:tc>
          <w:tcPr>
            <w:tcW w:w="1490" w:type="dxa"/>
            <w:noWrap w:val="0"/>
            <w:vAlign w:val="center"/>
          </w:tcPr>
          <w:p w14:paraId="4C04DCAD">
            <w:pPr>
              <w:pStyle w:val="40"/>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57.0</w:t>
            </w:r>
          </w:p>
        </w:tc>
        <w:tc>
          <w:tcPr>
            <w:tcW w:w="1490" w:type="dxa"/>
            <w:vMerge w:val="restart"/>
            <w:noWrap w:val="0"/>
            <w:vAlign w:val="center"/>
          </w:tcPr>
          <w:p w14:paraId="7651EC17">
            <w:pPr>
              <w:pStyle w:val="40"/>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4.5‰</w:t>
            </w:r>
          </w:p>
        </w:tc>
      </w:tr>
      <w:tr w14:paraId="0B5FF289">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1290" w:type="dxa"/>
            <w:noWrap w:val="0"/>
            <w:vAlign w:val="center"/>
          </w:tcPr>
          <w:p w14:paraId="0C8F12A7">
            <w:pPr>
              <w:pStyle w:val="40"/>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枯水期</w:t>
            </w:r>
          </w:p>
        </w:tc>
        <w:tc>
          <w:tcPr>
            <w:tcW w:w="1425" w:type="dxa"/>
            <w:noWrap w:val="0"/>
            <w:vAlign w:val="center"/>
          </w:tcPr>
          <w:p w14:paraId="24D58AEB">
            <w:pPr>
              <w:pStyle w:val="40"/>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30</w:t>
            </w:r>
          </w:p>
        </w:tc>
        <w:tc>
          <w:tcPr>
            <w:tcW w:w="1324" w:type="dxa"/>
            <w:noWrap w:val="0"/>
            <w:vAlign w:val="center"/>
          </w:tcPr>
          <w:p w14:paraId="7C5DA530">
            <w:pPr>
              <w:pStyle w:val="40"/>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1</w:t>
            </w:r>
          </w:p>
        </w:tc>
        <w:tc>
          <w:tcPr>
            <w:tcW w:w="1313" w:type="dxa"/>
            <w:noWrap w:val="0"/>
            <w:vAlign w:val="center"/>
          </w:tcPr>
          <w:p w14:paraId="6504DC77">
            <w:pPr>
              <w:pStyle w:val="40"/>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0.1</w:t>
            </w:r>
          </w:p>
        </w:tc>
        <w:tc>
          <w:tcPr>
            <w:tcW w:w="1490" w:type="dxa"/>
            <w:noWrap w:val="0"/>
            <w:vAlign w:val="center"/>
          </w:tcPr>
          <w:p w14:paraId="166F0293">
            <w:pPr>
              <w:pStyle w:val="40"/>
              <w:spacing w:line="240" w:lineRule="auto"/>
              <w:ind w:firstLine="0" w:firstLineChars="0"/>
              <w:jc w:val="center"/>
              <w:rPr>
                <w:rFonts w:hint="default" w:ascii="Times New Roman" w:hAnsi="Times New Roman" w:cs="Times New Roman"/>
                <w:sz w:val="21"/>
                <w:szCs w:val="21"/>
                <w:u w:val="single"/>
              </w:rPr>
            </w:pPr>
            <w:r>
              <w:rPr>
                <w:rFonts w:hint="default" w:ascii="Times New Roman" w:hAnsi="Times New Roman" w:cs="Times New Roman"/>
                <w:sz w:val="21"/>
                <w:szCs w:val="21"/>
                <w:u w:val="single"/>
              </w:rPr>
              <w:t>3.0</w:t>
            </w:r>
          </w:p>
        </w:tc>
        <w:tc>
          <w:tcPr>
            <w:tcW w:w="1490" w:type="dxa"/>
            <w:vMerge w:val="continue"/>
            <w:noWrap w:val="0"/>
            <w:vAlign w:val="center"/>
          </w:tcPr>
          <w:p w14:paraId="4A527940">
            <w:pPr>
              <w:pStyle w:val="40"/>
              <w:spacing w:line="240" w:lineRule="auto"/>
              <w:ind w:firstLine="0" w:firstLineChars="0"/>
              <w:jc w:val="center"/>
              <w:rPr>
                <w:rFonts w:hint="default" w:ascii="Times New Roman" w:hAnsi="Times New Roman" w:cs="Times New Roman"/>
                <w:sz w:val="21"/>
                <w:szCs w:val="21"/>
                <w:u w:val="single"/>
              </w:rPr>
            </w:pPr>
          </w:p>
        </w:tc>
      </w:tr>
      <w:tr w14:paraId="0B52C695">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jc w:val="center"/>
        </w:trPr>
        <w:tc>
          <w:tcPr>
            <w:tcW w:w="8332" w:type="dxa"/>
            <w:gridSpan w:val="6"/>
            <w:noWrap w:val="0"/>
            <w:vAlign w:val="center"/>
          </w:tcPr>
          <w:p w14:paraId="0EB57800">
            <w:pPr>
              <w:pStyle w:val="40"/>
              <w:spacing w:line="240" w:lineRule="auto"/>
              <w:ind w:firstLine="0" w:firstLineChars="0"/>
              <w:rPr>
                <w:rFonts w:hint="default" w:ascii="Times New Roman" w:hAnsi="Times New Roman" w:cs="Times New Roman"/>
                <w:sz w:val="21"/>
                <w:szCs w:val="21"/>
                <w:u w:val="single"/>
              </w:rPr>
            </w:pPr>
            <w:r>
              <w:rPr>
                <w:rFonts w:hint="default" w:ascii="Times New Roman" w:hAnsi="Times New Roman" w:cs="Times New Roman"/>
                <w:sz w:val="21"/>
                <w:szCs w:val="21"/>
                <w:u w:val="single"/>
              </w:rPr>
              <w:t>备注：数据来源于湘西州水文局（水文局说明该数据是以红岩溪水文站资料估算）</w:t>
            </w:r>
          </w:p>
        </w:tc>
      </w:tr>
    </w:tbl>
    <w:p w14:paraId="3ED283CC">
      <w:pPr>
        <w:spacing w:line="360" w:lineRule="auto"/>
        <w:ind w:firstLine="480" w:firstLineChars="200"/>
        <w:rPr>
          <w:rFonts w:hint="eastAsia"/>
          <w:color w:val="auto"/>
          <w:kern w:val="0"/>
          <w:sz w:val="24"/>
          <w:szCs w:val="24"/>
          <w:u w:val="single"/>
          <w:lang w:val="en-US" w:eastAsia="zh-CN"/>
        </w:rPr>
      </w:pPr>
      <w:r>
        <w:rPr>
          <w:rFonts w:hint="eastAsia" w:ascii="Times New Roman" w:hAnsi="Times New Roman" w:eastAsia="宋体"/>
          <w:color w:val="auto"/>
          <w:kern w:val="0"/>
          <w:sz w:val="24"/>
          <w:szCs w:val="24"/>
          <w:u w:val="single"/>
          <w:lang w:val="en-US" w:eastAsia="zh-CN"/>
        </w:rPr>
        <w:t>本次预测数据来源于现状监测的数据</w:t>
      </w:r>
      <w:r>
        <w:rPr>
          <w:rFonts w:hint="eastAsia"/>
          <w:color w:val="auto"/>
          <w:kern w:val="0"/>
          <w:sz w:val="24"/>
          <w:szCs w:val="24"/>
          <w:u w:val="single"/>
          <w:lang w:val="en-US" w:eastAsia="zh-CN"/>
        </w:rPr>
        <w:t>的最大值。</w:t>
      </w:r>
    </w:p>
    <w:p w14:paraId="05B848BA">
      <w:pPr>
        <w:keepNext w:val="0"/>
        <w:keepLines w:val="0"/>
        <w:pageBreakBefore w:val="0"/>
        <w:widowControl w:val="0"/>
        <w:kinsoku/>
        <w:wordWrap/>
        <w:overflowPunct w:val="0"/>
        <w:topLinePunct w:val="0"/>
        <w:autoSpaceDE w:val="0"/>
        <w:autoSpaceDN w:val="0"/>
        <w:bidi w:val="0"/>
        <w:spacing w:before="0" w:after="0" w:line="360" w:lineRule="auto"/>
        <w:ind w:left="0" w:right="0" w:firstLine="422" w:firstLineChars="200"/>
        <w:jc w:val="center"/>
        <w:rPr>
          <w:rFonts w:cs="宋体"/>
          <w:b/>
          <w:color w:val="000000"/>
          <w:kern w:val="0"/>
          <w:sz w:val="21"/>
          <w:szCs w:val="21"/>
          <w:u w:val="single"/>
          <w:lang w:val="zh-CN" w:bidi="zh-CN"/>
        </w:rPr>
      </w:pPr>
      <w:r>
        <w:rPr>
          <w:rFonts w:hAnsi="宋体" w:cs="宋体"/>
          <w:b/>
          <w:color w:val="000000"/>
          <w:kern w:val="0"/>
          <w:sz w:val="21"/>
          <w:szCs w:val="21"/>
          <w:u w:val="single"/>
          <w:lang w:val="zh-CN" w:bidi="zh-CN"/>
        </w:rPr>
        <w:t>表</w:t>
      </w:r>
      <w:r>
        <w:rPr>
          <w:rFonts w:hint="eastAsia" w:hAnsi="宋体" w:cs="宋体"/>
          <w:b/>
          <w:color w:val="000000"/>
          <w:kern w:val="0"/>
          <w:sz w:val="21"/>
          <w:szCs w:val="21"/>
          <w:u w:val="single"/>
          <w:lang w:val="en-US" w:bidi="zh-CN"/>
        </w:rPr>
        <w:t xml:space="preserve"> </w:t>
      </w:r>
      <w:r>
        <w:rPr>
          <w:rFonts w:hint="eastAsia" w:cs="宋体"/>
          <w:b/>
          <w:color w:val="000000"/>
          <w:kern w:val="0"/>
          <w:sz w:val="21"/>
          <w:szCs w:val="21"/>
          <w:u w:val="single"/>
          <w:lang w:val="en-US" w:eastAsia="zh-CN" w:bidi="zh-CN"/>
        </w:rPr>
        <w:t>3.3-3</w:t>
      </w:r>
      <w:r>
        <w:rPr>
          <w:rFonts w:hint="eastAsia" w:cs="宋体"/>
          <w:b/>
          <w:color w:val="000000"/>
          <w:kern w:val="0"/>
          <w:sz w:val="21"/>
          <w:szCs w:val="21"/>
          <w:u w:val="single"/>
          <w:lang w:val="zh-CN" w:bidi="zh-CN"/>
        </w:rPr>
        <w:t xml:space="preserve"> </w:t>
      </w:r>
      <w:r>
        <w:rPr>
          <w:rFonts w:hAnsi="宋体" w:cs="宋体"/>
          <w:b/>
          <w:color w:val="000000"/>
          <w:kern w:val="0"/>
          <w:sz w:val="21"/>
          <w:szCs w:val="21"/>
          <w:u w:val="single"/>
          <w:lang w:val="zh-CN" w:bidi="zh-CN"/>
        </w:rPr>
        <w:t>预测背景浓度表</w:t>
      </w:r>
    </w:p>
    <w:tbl>
      <w:tblPr>
        <w:tblStyle w:val="32"/>
        <w:tblW w:w="502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64"/>
        <w:gridCol w:w="1592"/>
        <w:gridCol w:w="2791"/>
        <w:gridCol w:w="2189"/>
      </w:tblGrid>
      <w:tr w14:paraId="06C10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1480" w:type="pct"/>
            <w:tcBorders>
              <w:tl2br w:val="nil"/>
              <w:tr2bl w:val="nil"/>
            </w:tcBorders>
            <w:vAlign w:val="center"/>
          </w:tcPr>
          <w:p w14:paraId="4EA074C9">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b/>
                <w:color w:val="000000"/>
                <w:kern w:val="0"/>
                <w:sz w:val="21"/>
                <w:szCs w:val="21"/>
                <w:u w:val="single"/>
                <w:lang w:val="zh-CN" w:bidi="zh-CN"/>
              </w:rPr>
            </w:pPr>
            <w:r>
              <w:rPr>
                <w:rFonts w:hint="eastAsia" w:cs="宋体"/>
                <w:b/>
                <w:color w:val="000000"/>
                <w:kern w:val="0"/>
                <w:sz w:val="21"/>
                <w:szCs w:val="21"/>
                <w:u w:val="single"/>
                <w:lang w:val="zh-CN" w:bidi="zh-CN"/>
              </w:rPr>
              <w:t>监测因子断面</w:t>
            </w:r>
          </w:p>
        </w:tc>
        <w:tc>
          <w:tcPr>
            <w:tcW w:w="852" w:type="pct"/>
            <w:tcBorders>
              <w:tl2br w:val="nil"/>
              <w:tr2bl w:val="nil"/>
            </w:tcBorders>
            <w:vAlign w:val="center"/>
          </w:tcPr>
          <w:p w14:paraId="3680C973">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b/>
                <w:color w:val="000000"/>
                <w:kern w:val="0"/>
                <w:sz w:val="21"/>
                <w:szCs w:val="21"/>
                <w:u w:val="single"/>
                <w:lang w:val="zh-CN" w:bidi="zh-CN"/>
              </w:rPr>
            </w:pPr>
            <w:r>
              <w:rPr>
                <w:rFonts w:hint="eastAsia" w:cs="宋体"/>
                <w:b/>
                <w:color w:val="000000"/>
                <w:kern w:val="0"/>
                <w:sz w:val="21"/>
                <w:szCs w:val="21"/>
                <w:u w:val="single"/>
                <w:lang w:val="zh-CN" w:bidi="zh-CN"/>
              </w:rPr>
              <w:t>COD</w:t>
            </w:r>
          </w:p>
        </w:tc>
        <w:tc>
          <w:tcPr>
            <w:tcW w:w="1494" w:type="pct"/>
            <w:tcBorders>
              <w:tl2br w:val="nil"/>
              <w:tr2bl w:val="nil"/>
            </w:tcBorders>
            <w:vAlign w:val="center"/>
          </w:tcPr>
          <w:p w14:paraId="3C05BB41">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b/>
                <w:color w:val="000000"/>
                <w:kern w:val="0"/>
                <w:sz w:val="21"/>
                <w:szCs w:val="21"/>
                <w:u w:val="single"/>
                <w:lang w:val="zh-CN" w:bidi="zh-CN"/>
              </w:rPr>
            </w:pPr>
            <w:r>
              <w:rPr>
                <w:rFonts w:hint="eastAsia" w:cs="宋体"/>
                <w:b/>
                <w:color w:val="000000"/>
                <w:kern w:val="0"/>
                <w:sz w:val="21"/>
                <w:szCs w:val="21"/>
                <w:u w:val="single"/>
                <w:lang w:val="zh-CN" w:bidi="zh-CN"/>
              </w:rPr>
              <w:t>氨氮</w:t>
            </w:r>
          </w:p>
        </w:tc>
        <w:tc>
          <w:tcPr>
            <w:tcW w:w="1172" w:type="pct"/>
            <w:tcBorders>
              <w:tl2br w:val="nil"/>
              <w:tr2bl w:val="nil"/>
            </w:tcBorders>
            <w:vAlign w:val="center"/>
          </w:tcPr>
          <w:p w14:paraId="0116929B">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hint="eastAsia" w:eastAsia="宋体" w:cs="宋体"/>
                <w:b/>
                <w:color w:val="000000"/>
                <w:kern w:val="0"/>
                <w:sz w:val="21"/>
                <w:szCs w:val="21"/>
                <w:u w:val="single"/>
                <w:lang w:val="zh-CN" w:eastAsia="zh-CN" w:bidi="zh-CN"/>
              </w:rPr>
            </w:pPr>
            <w:r>
              <w:rPr>
                <w:rFonts w:hint="eastAsia" w:cs="宋体"/>
                <w:b/>
                <w:color w:val="000000"/>
                <w:kern w:val="0"/>
                <w:sz w:val="21"/>
                <w:szCs w:val="21"/>
                <w:u w:val="single"/>
                <w:lang w:val="zh-CN" w:eastAsia="zh-CN" w:bidi="zh-CN"/>
              </w:rPr>
              <w:t>总磷</w:t>
            </w:r>
          </w:p>
        </w:tc>
      </w:tr>
      <w:tr w14:paraId="37107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1480" w:type="pct"/>
            <w:tcBorders>
              <w:tl2br w:val="nil"/>
              <w:tr2bl w:val="nil"/>
            </w:tcBorders>
            <w:vAlign w:val="center"/>
          </w:tcPr>
          <w:p w14:paraId="2CB99C41">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color w:val="000000"/>
                <w:kern w:val="0"/>
                <w:sz w:val="21"/>
                <w:szCs w:val="21"/>
                <w:u w:val="single"/>
                <w:lang w:val="zh-CN" w:bidi="zh-CN"/>
              </w:rPr>
            </w:pPr>
            <w:r>
              <w:rPr>
                <w:rFonts w:hint="eastAsia" w:cs="宋体"/>
                <w:color w:val="000000"/>
                <w:kern w:val="0"/>
                <w:sz w:val="24"/>
                <w:szCs w:val="21"/>
                <w:u w:val="single"/>
                <w:lang w:val="zh-CN" w:eastAsia="zh-CN" w:bidi="zh-CN"/>
              </w:rPr>
              <w:t xml:space="preserve"> 果利河</w:t>
            </w:r>
            <w:r>
              <w:rPr>
                <w:rFonts w:hint="eastAsia" w:cs="宋体"/>
                <w:color w:val="000000"/>
                <w:kern w:val="0"/>
                <w:sz w:val="21"/>
                <w:szCs w:val="21"/>
                <w:u w:val="single"/>
                <w:lang w:val="zh-CN" w:bidi="zh-CN"/>
              </w:rPr>
              <w:t>（枯水期）</w:t>
            </w:r>
          </w:p>
        </w:tc>
        <w:tc>
          <w:tcPr>
            <w:tcW w:w="852" w:type="pct"/>
            <w:tcBorders>
              <w:tl2br w:val="nil"/>
              <w:tr2bl w:val="nil"/>
            </w:tcBorders>
            <w:vAlign w:val="center"/>
          </w:tcPr>
          <w:p w14:paraId="168AC866">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color w:val="000000"/>
                <w:kern w:val="0"/>
                <w:sz w:val="21"/>
                <w:szCs w:val="21"/>
                <w:u w:val="single"/>
                <w:lang w:val="zh-CN" w:bidi="zh-CN"/>
              </w:rPr>
            </w:pPr>
            <w:r>
              <w:rPr>
                <w:rFonts w:hint="eastAsia" w:cs="宋体"/>
                <w:color w:val="000000"/>
                <w:kern w:val="0"/>
                <w:sz w:val="21"/>
                <w:szCs w:val="21"/>
                <w:u w:val="single"/>
                <w:lang w:val="en-US" w:eastAsia="zh-CN" w:bidi="zh-CN"/>
              </w:rPr>
              <w:t>11</w:t>
            </w:r>
            <w:r>
              <w:rPr>
                <w:rFonts w:cs="宋体"/>
                <w:color w:val="000000"/>
                <w:kern w:val="0"/>
                <w:sz w:val="21"/>
                <w:szCs w:val="21"/>
                <w:u w:val="single"/>
                <w:lang w:val="zh-CN" w:bidi="zh-CN"/>
              </w:rPr>
              <w:t>mg/L</w:t>
            </w:r>
          </w:p>
        </w:tc>
        <w:tc>
          <w:tcPr>
            <w:tcW w:w="1494" w:type="pct"/>
            <w:tcBorders>
              <w:tl2br w:val="nil"/>
              <w:tr2bl w:val="nil"/>
            </w:tcBorders>
            <w:vAlign w:val="center"/>
          </w:tcPr>
          <w:p w14:paraId="4AD2898F">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color w:val="000000"/>
                <w:kern w:val="0"/>
                <w:sz w:val="21"/>
                <w:szCs w:val="21"/>
                <w:u w:val="single"/>
                <w:lang w:val="zh-CN" w:bidi="zh-CN"/>
              </w:rPr>
            </w:pPr>
            <w:r>
              <w:rPr>
                <w:rFonts w:cs="宋体"/>
                <w:color w:val="000000"/>
                <w:kern w:val="0"/>
                <w:sz w:val="21"/>
                <w:szCs w:val="21"/>
                <w:u w:val="single"/>
                <w:lang w:val="zh-CN" w:bidi="zh-CN"/>
              </w:rPr>
              <w:t>0.</w:t>
            </w:r>
            <w:r>
              <w:rPr>
                <w:rFonts w:hint="eastAsia" w:cs="宋体"/>
                <w:color w:val="000000"/>
                <w:kern w:val="0"/>
                <w:sz w:val="21"/>
                <w:szCs w:val="21"/>
                <w:u w:val="single"/>
                <w:lang w:val="en-US" w:eastAsia="zh-CN" w:bidi="zh-CN"/>
              </w:rPr>
              <w:t>372</w:t>
            </w:r>
            <w:r>
              <w:rPr>
                <w:rFonts w:cs="宋体"/>
                <w:color w:val="000000"/>
                <w:kern w:val="0"/>
                <w:sz w:val="21"/>
                <w:szCs w:val="21"/>
                <w:u w:val="single"/>
                <w:lang w:val="zh-CN" w:bidi="zh-CN"/>
              </w:rPr>
              <w:t>mg/L</w:t>
            </w:r>
          </w:p>
        </w:tc>
        <w:tc>
          <w:tcPr>
            <w:tcW w:w="1172" w:type="pct"/>
            <w:tcBorders>
              <w:tl2br w:val="nil"/>
              <w:tr2bl w:val="nil"/>
            </w:tcBorders>
            <w:vAlign w:val="center"/>
          </w:tcPr>
          <w:p w14:paraId="33ED746C">
            <w:pPr>
              <w:keepNext w:val="0"/>
              <w:keepLines w:val="0"/>
              <w:pageBreakBefore w:val="0"/>
              <w:widowControl w:val="0"/>
              <w:kinsoku/>
              <w:wordWrap/>
              <w:overflowPunct w:val="0"/>
              <w:topLinePunct w:val="0"/>
              <w:autoSpaceDE w:val="0"/>
              <w:autoSpaceDN w:val="0"/>
              <w:bidi w:val="0"/>
              <w:snapToGrid w:val="0"/>
              <w:spacing w:before="0" w:after="0" w:line="240" w:lineRule="auto"/>
              <w:ind w:left="0" w:right="0" w:firstLine="0" w:firstLineChars="0"/>
              <w:jc w:val="center"/>
              <w:rPr>
                <w:rFonts w:cs="宋体"/>
                <w:color w:val="000000"/>
                <w:kern w:val="0"/>
                <w:sz w:val="21"/>
                <w:szCs w:val="21"/>
                <w:u w:val="single"/>
                <w:lang w:val="zh-CN" w:bidi="zh-CN"/>
              </w:rPr>
            </w:pPr>
            <w:r>
              <w:rPr>
                <w:rFonts w:hint="eastAsia" w:hAnsi="宋体" w:cs="宋体"/>
                <w:color w:val="auto"/>
                <w:kern w:val="0"/>
                <w:sz w:val="24"/>
                <w:u w:val="single"/>
                <w:lang w:val="zh-CN" w:bidi="zh-CN"/>
              </w:rPr>
              <w:t>0.0</w:t>
            </w:r>
            <w:r>
              <w:rPr>
                <w:rFonts w:hint="eastAsia" w:hAnsi="宋体" w:cs="宋体"/>
                <w:color w:val="auto"/>
                <w:kern w:val="0"/>
                <w:sz w:val="24"/>
                <w:u w:val="single"/>
                <w:lang w:val="en-US" w:bidi="zh-CN"/>
              </w:rPr>
              <w:t>7</w:t>
            </w:r>
            <w:r>
              <w:rPr>
                <w:rFonts w:hint="eastAsia" w:hAnsi="宋体" w:cs="宋体"/>
                <w:color w:val="auto"/>
                <w:kern w:val="0"/>
                <w:sz w:val="24"/>
                <w:u w:val="single"/>
                <w:lang w:val="zh-CN" w:bidi="zh-CN"/>
              </w:rPr>
              <w:t>mg/L</w:t>
            </w:r>
          </w:p>
        </w:tc>
      </w:tr>
    </w:tbl>
    <w:p w14:paraId="42C18220">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default" w:ascii="Times New Roman" w:hAnsi="Times New Roman" w:cs="Times New Roman"/>
          <w:b/>
          <w:bCs/>
          <w:color w:val="auto"/>
          <w:sz w:val="28"/>
          <w:szCs w:val="28"/>
          <w:lang w:val="en-US" w:eastAsia="zh-CN"/>
        </w:rPr>
      </w:pPr>
      <w:r>
        <w:rPr>
          <w:rFonts w:hint="eastAsia" w:cs="Times New Roman"/>
          <w:b/>
          <w:bCs/>
          <w:color w:val="auto"/>
          <w:sz w:val="28"/>
          <w:szCs w:val="28"/>
          <w:lang w:val="en-US" w:eastAsia="zh-CN"/>
        </w:rPr>
        <w:t>3</w:t>
      </w:r>
      <w:r>
        <w:rPr>
          <w:rFonts w:hint="eastAsia" w:ascii="Times New Roman" w:hAnsi="Times New Roman" w:cs="Times New Roman"/>
          <w:b/>
          <w:bCs/>
          <w:color w:val="auto"/>
          <w:sz w:val="28"/>
          <w:szCs w:val="28"/>
          <w:lang w:val="en-US" w:eastAsia="zh-CN"/>
        </w:rPr>
        <w:t>.</w:t>
      </w:r>
      <w:r>
        <w:rPr>
          <w:rFonts w:hint="eastAsia" w:cs="Times New Roman"/>
          <w:b/>
          <w:bCs/>
          <w:color w:val="auto"/>
          <w:sz w:val="28"/>
          <w:szCs w:val="28"/>
          <w:lang w:val="en-US" w:eastAsia="zh-CN"/>
        </w:rPr>
        <w:t>3</w:t>
      </w:r>
      <w:r>
        <w:rPr>
          <w:rFonts w:hint="eastAsia" w:ascii="Times New Roman" w:hAnsi="Times New Roman" w:cs="Times New Roman"/>
          <w:b/>
          <w:bCs/>
          <w:color w:val="auto"/>
          <w:sz w:val="28"/>
          <w:szCs w:val="28"/>
          <w:lang w:val="en-US" w:eastAsia="zh-CN"/>
        </w:rPr>
        <w:t>.3</w:t>
      </w:r>
      <w:bookmarkEnd w:id="75"/>
      <w:bookmarkEnd w:id="76"/>
      <w:r>
        <w:rPr>
          <w:rFonts w:hint="eastAsia" w:cs="Times New Roman"/>
          <w:b/>
          <w:bCs/>
          <w:color w:val="auto"/>
          <w:sz w:val="28"/>
          <w:szCs w:val="28"/>
          <w:lang w:val="en-US" w:eastAsia="zh-CN"/>
        </w:rPr>
        <w:t xml:space="preserve"> 环境影响预测</w:t>
      </w:r>
    </w:p>
    <w:p w14:paraId="740D8A42">
      <w:pPr>
        <w:spacing w:line="360" w:lineRule="auto"/>
        <w:ind w:firstLine="482" w:firstLineChars="200"/>
        <w:rPr>
          <w:rFonts w:hint="default" w:ascii="宋体" w:hAnsi="宋体" w:eastAsia="宋体" w:cs="宋体"/>
          <w:b/>
          <w:bCs/>
          <w:color w:val="auto"/>
          <w:kern w:val="0"/>
          <w:sz w:val="24"/>
          <w:szCs w:val="24"/>
          <w:lang w:val="en-US" w:eastAsia="zh-CN"/>
        </w:rPr>
      </w:pPr>
      <w:r>
        <w:rPr>
          <w:rFonts w:hint="eastAsia" w:ascii="宋体" w:hAnsi="宋体" w:eastAsia="宋体" w:cs="宋体"/>
          <w:b/>
          <w:bCs/>
          <w:color w:val="auto"/>
          <w:kern w:val="0"/>
          <w:sz w:val="24"/>
          <w:szCs w:val="24"/>
          <w:lang w:val="en-US" w:eastAsia="zh-CN"/>
        </w:rPr>
        <w:t>①预测内容</w:t>
      </w:r>
    </w:p>
    <w:p w14:paraId="3835A781">
      <w:pPr>
        <w:keepNext w:val="0"/>
        <w:keepLines w:val="0"/>
        <w:pageBreakBefore w:val="0"/>
        <w:widowControl w:val="0"/>
        <w:kinsoku/>
        <w:wordWrap/>
        <w:overflowPunct w:val="0"/>
        <w:topLinePunct w:val="0"/>
        <w:autoSpaceDE w:val="0"/>
        <w:autoSpaceDN w:val="0"/>
        <w:bidi w:val="0"/>
        <w:spacing w:before="0" w:after="0" w:line="360" w:lineRule="auto"/>
        <w:ind w:left="0" w:right="0" w:firstLine="480" w:firstLineChars="200"/>
        <w:jc w:val="left"/>
        <w:rPr>
          <w:rFonts w:cs="宋体"/>
          <w:color w:val="000000"/>
          <w:kern w:val="0"/>
          <w:sz w:val="24"/>
          <w:u w:val="none"/>
          <w:lang w:val="zh-CN" w:bidi="zh-CN"/>
        </w:rPr>
      </w:pPr>
      <w:r>
        <w:rPr>
          <w:rFonts w:hint="eastAsia" w:cs="宋体"/>
          <w:color w:val="000000"/>
          <w:kern w:val="0"/>
          <w:sz w:val="24"/>
          <w:u w:val="none"/>
          <w:lang w:val="zh-CN" w:bidi="zh-CN"/>
        </w:rPr>
        <w:t>根据正常排放情况时污染物的排放量及源强，计算污染物在预测河段个断面不同位置的净增值。</w:t>
      </w:r>
    </w:p>
    <w:p w14:paraId="7E8A0CC8">
      <w:pPr>
        <w:keepNext w:val="0"/>
        <w:keepLines w:val="0"/>
        <w:pageBreakBefore w:val="0"/>
        <w:widowControl w:val="0"/>
        <w:kinsoku/>
        <w:wordWrap/>
        <w:overflowPunct w:val="0"/>
        <w:topLinePunct w:val="0"/>
        <w:autoSpaceDE w:val="0"/>
        <w:autoSpaceDN w:val="0"/>
        <w:bidi w:val="0"/>
        <w:spacing w:before="0" w:after="0" w:line="360" w:lineRule="auto"/>
        <w:ind w:left="0" w:right="0" w:firstLine="480" w:firstLineChars="200"/>
        <w:jc w:val="left"/>
        <w:rPr>
          <w:rFonts w:cs="宋体"/>
          <w:color w:val="000000"/>
          <w:kern w:val="0"/>
          <w:sz w:val="24"/>
          <w:u w:val="none"/>
          <w:lang w:val="zh-CN" w:bidi="zh-CN"/>
        </w:rPr>
      </w:pPr>
      <w:r>
        <w:rPr>
          <w:rFonts w:hint="eastAsia" w:cs="宋体"/>
          <w:color w:val="000000"/>
          <w:kern w:val="0"/>
          <w:sz w:val="24"/>
          <w:u w:val="none"/>
          <w:lang w:val="zh-CN" w:bidi="zh-CN"/>
        </w:rPr>
        <w:t>根据事故排放情况（处理设备运行完全失效状态）时污染物的排放量，计算污染物在预测河段各断面不同位置的净增值，以此反映在不同情况下污染物对</w:t>
      </w:r>
      <w:r>
        <w:rPr>
          <w:rFonts w:hint="eastAsia" w:cs="宋体"/>
          <w:color w:val="000000"/>
          <w:kern w:val="0"/>
          <w:sz w:val="24"/>
          <w:szCs w:val="21"/>
          <w:u w:val="none"/>
          <w:lang w:val="zh-CN" w:eastAsia="zh-CN" w:bidi="zh-CN"/>
        </w:rPr>
        <w:t>果利河</w:t>
      </w:r>
      <w:r>
        <w:rPr>
          <w:rFonts w:hint="eastAsia" w:cs="宋体"/>
          <w:color w:val="000000"/>
          <w:kern w:val="0"/>
          <w:sz w:val="24"/>
          <w:u w:val="none"/>
          <w:lang w:val="zh-CN" w:bidi="zh-CN"/>
        </w:rPr>
        <w:t>的污染贡献程度，确定影响范围。</w:t>
      </w:r>
    </w:p>
    <w:p w14:paraId="3BDED31D">
      <w:pPr>
        <w:keepNext w:val="0"/>
        <w:keepLines w:val="0"/>
        <w:pageBreakBefore w:val="0"/>
        <w:widowControl w:val="0"/>
        <w:kinsoku/>
        <w:wordWrap/>
        <w:overflowPunct w:val="0"/>
        <w:topLinePunct w:val="0"/>
        <w:autoSpaceDE w:val="0"/>
        <w:autoSpaceDN w:val="0"/>
        <w:bidi w:val="0"/>
        <w:spacing w:before="0" w:after="0" w:line="348" w:lineRule="auto"/>
        <w:ind w:left="0" w:right="0" w:firstLine="480" w:firstLineChars="200"/>
        <w:jc w:val="left"/>
        <w:rPr>
          <w:rFonts w:cs="宋体"/>
          <w:color w:val="000000"/>
          <w:kern w:val="2"/>
          <w:sz w:val="24"/>
          <w:u w:val="single"/>
          <w:lang w:val="zh-CN" w:bidi="zh-CN"/>
        </w:rPr>
      </w:pPr>
      <w:r>
        <w:rPr>
          <w:rFonts w:hint="eastAsia" w:cs="宋体"/>
          <w:color w:val="000000"/>
          <w:kern w:val="0"/>
          <w:sz w:val="24"/>
          <w:u w:val="single"/>
          <w:lang w:val="zh-CN" w:bidi="zh-CN"/>
        </w:rPr>
        <w:t>本项目</w:t>
      </w:r>
      <w:r>
        <w:rPr>
          <w:rFonts w:hint="eastAsia" w:cs="宋体"/>
          <w:color w:val="000000"/>
          <w:kern w:val="2"/>
          <w:sz w:val="24"/>
          <w:u w:val="single"/>
          <w:lang w:val="zh-CN" w:bidi="zh-CN"/>
        </w:rPr>
        <w:t>采用导则推荐的混合过程段长度计算公式。</w:t>
      </w:r>
    </w:p>
    <w:p w14:paraId="3B2D8641">
      <w:pPr>
        <w:keepNext w:val="0"/>
        <w:keepLines w:val="0"/>
        <w:pageBreakBefore w:val="0"/>
        <w:widowControl w:val="0"/>
        <w:kinsoku/>
        <w:wordWrap/>
        <w:overflowPunct w:val="0"/>
        <w:topLinePunct w:val="0"/>
        <w:autoSpaceDE w:val="0"/>
        <w:autoSpaceDN w:val="0"/>
        <w:bidi w:val="0"/>
        <w:spacing w:before="0" w:after="0" w:line="348" w:lineRule="auto"/>
        <w:ind w:left="0" w:right="0" w:firstLine="0" w:firstLineChars="0"/>
        <w:jc w:val="center"/>
        <w:rPr>
          <w:rFonts w:cs="宋体"/>
          <w:color w:val="000000"/>
          <w:kern w:val="2"/>
          <w:sz w:val="24"/>
          <w:u w:val="single"/>
          <w:lang w:val="zh-CN" w:bidi="zh-CN"/>
        </w:rPr>
      </w:pPr>
      <w:r>
        <w:rPr>
          <w:rFonts w:cs="宋体"/>
          <w:color w:val="000000"/>
          <w:kern w:val="2"/>
          <w:sz w:val="24"/>
          <w:u w:val="single"/>
          <w:lang w:val="zh-CN" w:bidi="zh-CN"/>
        </w:rPr>
        <w:drawing>
          <wp:inline distT="0" distB="0" distL="0" distR="0">
            <wp:extent cx="3019425" cy="561975"/>
            <wp:effectExtent l="0" t="0" r="0" b="889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3019425" cy="561975"/>
                    </a:xfrm>
                    <a:prstGeom prst="rect">
                      <a:avLst/>
                    </a:prstGeom>
                    <a:noFill/>
                    <a:ln>
                      <a:noFill/>
                    </a:ln>
                  </pic:spPr>
                </pic:pic>
              </a:graphicData>
            </a:graphic>
          </wp:inline>
        </w:drawing>
      </w:r>
    </w:p>
    <w:p w14:paraId="19246AA7">
      <w:pPr>
        <w:keepNext w:val="0"/>
        <w:keepLines w:val="0"/>
        <w:pageBreakBefore w:val="0"/>
        <w:widowControl w:val="0"/>
        <w:kinsoku/>
        <w:wordWrap/>
        <w:overflowPunct w:val="0"/>
        <w:topLinePunct w:val="0"/>
        <w:autoSpaceDE w:val="0"/>
        <w:autoSpaceDN w:val="0"/>
        <w:bidi w:val="0"/>
        <w:spacing w:before="0" w:after="0" w:line="348" w:lineRule="auto"/>
        <w:ind w:left="0" w:right="0" w:firstLine="480" w:firstLineChars="200"/>
        <w:jc w:val="left"/>
        <w:rPr>
          <w:rFonts w:hint="default" w:cs="宋体"/>
          <w:color w:val="000000"/>
          <w:kern w:val="2"/>
          <w:sz w:val="24"/>
          <w:u w:val="single"/>
          <w:lang w:val="en-US" w:bidi="zh-CN"/>
        </w:rPr>
      </w:pPr>
      <w:r>
        <w:rPr>
          <w:rFonts w:hint="eastAsia" w:cs="宋体"/>
          <w:color w:val="000000"/>
          <w:kern w:val="2"/>
          <w:sz w:val="24"/>
          <w:u w:val="single"/>
          <w:lang w:val="zh-CN" w:bidi="zh-CN"/>
        </w:rPr>
        <w:t>式中：</w:t>
      </w:r>
    </w:p>
    <w:p w14:paraId="0D17606C">
      <w:pPr>
        <w:keepNext w:val="0"/>
        <w:keepLines w:val="0"/>
        <w:pageBreakBefore w:val="0"/>
        <w:widowControl w:val="0"/>
        <w:kinsoku/>
        <w:wordWrap/>
        <w:overflowPunct w:val="0"/>
        <w:topLinePunct w:val="0"/>
        <w:autoSpaceDE w:val="0"/>
        <w:autoSpaceDN w:val="0"/>
        <w:bidi w:val="0"/>
        <w:spacing w:before="0" w:after="0" w:line="348" w:lineRule="auto"/>
        <w:ind w:left="0" w:right="0" w:firstLine="960" w:firstLineChars="400"/>
        <w:jc w:val="left"/>
        <w:rPr>
          <w:rFonts w:cs="宋体"/>
          <w:color w:val="000000"/>
          <w:kern w:val="2"/>
          <w:sz w:val="24"/>
          <w:u w:val="single"/>
          <w:lang w:val="zh-CN" w:bidi="zh-CN"/>
        </w:rPr>
      </w:pPr>
      <w:r>
        <w:rPr>
          <w:rFonts w:cs="宋体"/>
          <w:color w:val="000000"/>
          <w:kern w:val="2"/>
          <w:sz w:val="24"/>
          <w:u w:val="single"/>
          <w:lang w:val="zh-CN" w:bidi="zh-CN"/>
        </w:rPr>
        <w:t>Lm</w:t>
      </w:r>
      <w:r>
        <w:rPr>
          <w:rFonts w:hint="eastAsia" w:cs="宋体"/>
          <w:color w:val="000000"/>
          <w:kern w:val="2"/>
          <w:sz w:val="24"/>
          <w:u w:val="single"/>
          <w:lang w:val="zh-CN" w:bidi="zh-CN"/>
        </w:rPr>
        <w:t>—— L为污水与河水混合过程污染带长度，</w:t>
      </w:r>
      <w:r>
        <w:rPr>
          <w:rFonts w:cs="宋体"/>
          <w:color w:val="000000"/>
          <w:kern w:val="2"/>
          <w:sz w:val="24"/>
          <w:u w:val="single"/>
          <w:lang w:val="zh-CN" w:bidi="zh-CN"/>
        </w:rPr>
        <w:t>m</w:t>
      </w:r>
      <w:r>
        <w:rPr>
          <w:rFonts w:hint="eastAsia" w:cs="宋体"/>
          <w:color w:val="000000"/>
          <w:kern w:val="2"/>
          <w:sz w:val="24"/>
          <w:u w:val="single"/>
          <w:lang w:val="zh-CN" w:bidi="zh-CN"/>
        </w:rPr>
        <w:t>；</w:t>
      </w:r>
    </w:p>
    <w:p w14:paraId="2775B575">
      <w:pPr>
        <w:keepNext w:val="0"/>
        <w:keepLines w:val="0"/>
        <w:pageBreakBefore w:val="0"/>
        <w:widowControl w:val="0"/>
        <w:kinsoku/>
        <w:wordWrap/>
        <w:overflowPunct w:val="0"/>
        <w:topLinePunct w:val="0"/>
        <w:autoSpaceDE w:val="0"/>
        <w:autoSpaceDN w:val="0"/>
        <w:bidi w:val="0"/>
        <w:spacing w:before="0" w:after="0" w:line="348" w:lineRule="auto"/>
        <w:ind w:left="0" w:right="0" w:firstLine="960" w:firstLineChars="400"/>
        <w:jc w:val="left"/>
        <w:rPr>
          <w:rFonts w:cs="宋体"/>
          <w:color w:val="000000"/>
          <w:kern w:val="2"/>
          <w:sz w:val="24"/>
          <w:u w:val="single"/>
          <w:lang w:val="zh-CN" w:bidi="zh-CN"/>
        </w:rPr>
      </w:pPr>
      <w:r>
        <w:rPr>
          <w:rFonts w:cs="宋体"/>
          <w:color w:val="000000"/>
          <w:kern w:val="2"/>
          <w:sz w:val="24"/>
          <w:u w:val="single"/>
          <w:lang w:val="zh-CN" w:bidi="zh-CN"/>
        </w:rPr>
        <w:t>B</w:t>
      </w:r>
      <w:r>
        <w:rPr>
          <w:rFonts w:hint="eastAsia" w:cs="宋体"/>
          <w:color w:val="000000"/>
          <w:kern w:val="2"/>
          <w:sz w:val="24"/>
          <w:u w:val="single"/>
          <w:lang w:val="zh-CN" w:bidi="zh-CN"/>
        </w:rPr>
        <w:t>——水面宽度，本项目取</w:t>
      </w:r>
      <w:r>
        <w:rPr>
          <w:rFonts w:hint="eastAsia" w:cs="宋体"/>
          <w:color w:val="000000"/>
          <w:kern w:val="2"/>
          <w:sz w:val="24"/>
          <w:u w:val="single"/>
          <w:lang w:val="en-US" w:bidi="zh-CN"/>
        </w:rPr>
        <w:t>30</w:t>
      </w:r>
      <w:r>
        <w:rPr>
          <w:rFonts w:cs="宋体"/>
          <w:color w:val="000000"/>
          <w:kern w:val="2"/>
          <w:sz w:val="24"/>
          <w:u w:val="single"/>
          <w:lang w:val="zh-CN" w:bidi="zh-CN"/>
        </w:rPr>
        <w:t>m</w:t>
      </w:r>
      <w:r>
        <w:rPr>
          <w:rFonts w:hint="eastAsia" w:cs="宋体"/>
          <w:color w:val="000000"/>
          <w:kern w:val="2"/>
          <w:sz w:val="24"/>
          <w:u w:val="single"/>
          <w:lang w:val="zh-CN" w:bidi="zh-CN"/>
        </w:rPr>
        <w:t>；</w:t>
      </w:r>
    </w:p>
    <w:p w14:paraId="6E63AA14">
      <w:pPr>
        <w:keepNext w:val="0"/>
        <w:keepLines w:val="0"/>
        <w:pageBreakBefore w:val="0"/>
        <w:widowControl w:val="0"/>
        <w:kinsoku/>
        <w:wordWrap/>
        <w:overflowPunct w:val="0"/>
        <w:topLinePunct w:val="0"/>
        <w:autoSpaceDE w:val="0"/>
        <w:autoSpaceDN w:val="0"/>
        <w:bidi w:val="0"/>
        <w:spacing w:before="0" w:after="0" w:line="348" w:lineRule="auto"/>
        <w:ind w:left="0" w:right="0" w:firstLine="960" w:firstLineChars="400"/>
        <w:jc w:val="left"/>
        <w:rPr>
          <w:rFonts w:cs="宋体"/>
          <w:color w:val="000000"/>
          <w:kern w:val="2"/>
          <w:sz w:val="24"/>
          <w:u w:val="single"/>
          <w:lang w:val="zh-CN" w:bidi="zh-CN"/>
        </w:rPr>
      </w:pPr>
      <w:r>
        <w:rPr>
          <w:rFonts w:cs="宋体"/>
          <w:color w:val="000000"/>
          <w:kern w:val="2"/>
          <w:sz w:val="24"/>
          <w:u w:val="single"/>
          <w:lang w:val="zh-CN" w:bidi="zh-CN"/>
        </w:rPr>
        <w:t>a</w:t>
      </w:r>
      <w:r>
        <w:rPr>
          <w:rFonts w:hint="eastAsia" w:cs="宋体"/>
          <w:color w:val="000000"/>
          <w:kern w:val="2"/>
          <w:sz w:val="24"/>
          <w:u w:val="single"/>
          <w:lang w:val="zh-CN" w:bidi="zh-CN"/>
        </w:rPr>
        <w:t>——排放口到岸边的距离，本项目为岸边排放，取</w:t>
      </w:r>
      <w:r>
        <w:rPr>
          <w:rFonts w:cs="宋体"/>
          <w:color w:val="000000"/>
          <w:kern w:val="2"/>
          <w:sz w:val="24"/>
          <w:u w:val="single"/>
          <w:lang w:val="zh-CN" w:bidi="zh-CN"/>
        </w:rPr>
        <w:t>0m</w:t>
      </w:r>
      <w:r>
        <w:rPr>
          <w:rFonts w:hint="eastAsia" w:cs="宋体"/>
          <w:color w:val="000000"/>
          <w:kern w:val="2"/>
          <w:sz w:val="24"/>
          <w:u w:val="single"/>
          <w:lang w:val="zh-CN" w:bidi="zh-CN"/>
        </w:rPr>
        <w:t>；</w:t>
      </w:r>
    </w:p>
    <w:p w14:paraId="297BA1D9">
      <w:pPr>
        <w:keepNext w:val="0"/>
        <w:keepLines w:val="0"/>
        <w:pageBreakBefore w:val="0"/>
        <w:widowControl w:val="0"/>
        <w:kinsoku/>
        <w:wordWrap/>
        <w:overflowPunct w:val="0"/>
        <w:topLinePunct w:val="0"/>
        <w:autoSpaceDE w:val="0"/>
        <w:autoSpaceDN w:val="0"/>
        <w:bidi w:val="0"/>
        <w:spacing w:before="0" w:after="0" w:line="348" w:lineRule="auto"/>
        <w:ind w:left="0" w:right="0" w:firstLine="960" w:firstLineChars="400"/>
        <w:jc w:val="left"/>
        <w:rPr>
          <w:rFonts w:cs="宋体"/>
          <w:color w:val="000000"/>
          <w:kern w:val="2"/>
          <w:sz w:val="24"/>
          <w:u w:val="single"/>
          <w:lang w:val="zh-CN" w:bidi="zh-CN"/>
        </w:rPr>
      </w:pPr>
      <w:r>
        <w:rPr>
          <w:rFonts w:cs="宋体"/>
          <w:color w:val="000000"/>
          <w:kern w:val="2"/>
          <w:sz w:val="24"/>
          <w:u w:val="single"/>
          <w:lang w:val="zh-CN" w:bidi="zh-CN"/>
        </w:rPr>
        <w:t>u</w:t>
      </w:r>
      <w:r>
        <w:rPr>
          <w:rFonts w:hint="eastAsia" w:cs="宋体"/>
          <w:color w:val="000000"/>
          <w:kern w:val="2"/>
          <w:sz w:val="24"/>
          <w:u w:val="single"/>
          <w:lang w:val="zh-CN" w:bidi="zh-CN"/>
        </w:rPr>
        <w:t>——断面流速，枯水期</w:t>
      </w:r>
      <w:r>
        <w:rPr>
          <w:rFonts w:hint="eastAsia" w:cs="宋体"/>
          <w:color w:val="000000"/>
          <w:kern w:val="0"/>
          <w:sz w:val="24"/>
          <w:szCs w:val="21"/>
          <w:u w:val="single"/>
          <w:lang w:val="zh-CN" w:eastAsia="zh-CN" w:bidi="zh-CN"/>
        </w:rPr>
        <w:t>果利河</w:t>
      </w:r>
      <w:r>
        <w:rPr>
          <w:rFonts w:hint="eastAsia" w:cs="宋体"/>
          <w:color w:val="000000"/>
          <w:kern w:val="2"/>
          <w:sz w:val="24"/>
          <w:u w:val="single"/>
          <w:lang w:val="zh-CN" w:bidi="zh-CN"/>
        </w:rPr>
        <w:t>取</w:t>
      </w:r>
      <w:r>
        <w:rPr>
          <w:rFonts w:hint="eastAsia" w:cs="宋体"/>
          <w:color w:val="000000"/>
          <w:kern w:val="2"/>
          <w:sz w:val="24"/>
          <w:u w:val="single"/>
          <w:lang w:val="en-US" w:eastAsia="zh-CN" w:bidi="zh-CN"/>
        </w:rPr>
        <w:t>0.1</w:t>
      </w:r>
      <w:r>
        <w:rPr>
          <w:rFonts w:cs="宋体"/>
          <w:color w:val="000000"/>
          <w:kern w:val="2"/>
          <w:sz w:val="24"/>
          <w:u w:val="single"/>
          <w:lang w:val="zh-CN" w:bidi="zh-CN"/>
        </w:rPr>
        <w:t>m/s</w:t>
      </w:r>
      <w:r>
        <w:rPr>
          <w:rFonts w:hint="eastAsia" w:cs="宋体"/>
          <w:color w:val="000000"/>
          <w:kern w:val="2"/>
          <w:sz w:val="24"/>
          <w:u w:val="single"/>
          <w:lang w:val="zh-CN" w:bidi="zh-CN"/>
        </w:rPr>
        <w:t>；</w:t>
      </w:r>
    </w:p>
    <w:p w14:paraId="4B8D52B3">
      <w:pPr>
        <w:keepNext w:val="0"/>
        <w:keepLines w:val="0"/>
        <w:pageBreakBefore w:val="0"/>
        <w:widowControl w:val="0"/>
        <w:kinsoku/>
        <w:wordWrap/>
        <w:overflowPunct w:val="0"/>
        <w:topLinePunct w:val="0"/>
        <w:autoSpaceDE w:val="0"/>
        <w:autoSpaceDN w:val="0"/>
        <w:bidi w:val="0"/>
        <w:spacing w:before="0" w:after="0" w:line="348" w:lineRule="auto"/>
        <w:ind w:left="0" w:right="0" w:firstLine="960" w:firstLineChars="400"/>
        <w:jc w:val="left"/>
        <w:rPr>
          <w:rFonts w:cs="宋体"/>
          <w:color w:val="000000"/>
          <w:kern w:val="2"/>
          <w:sz w:val="24"/>
          <w:u w:val="single"/>
          <w:vertAlign w:val="subscript"/>
          <w:lang w:val="zh-CN" w:bidi="zh-CN"/>
        </w:rPr>
      </w:pPr>
      <w:r>
        <w:rPr>
          <w:rFonts w:cs="宋体"/>
          <w:color w:val="000000"/>
          <w:kern w:val="2"/>
          <w:sz w:val="24"/>
          <w:u w:val="single"/>
          <w:lang w:val="zh-CN" w:bidi="zh-CN"/>
        </w:rPr>
        <w:t>E</w:t>
      </w:r>
      <w:r>
        <w:rPr>
          <w:rFonts w:cs="宋体"/>
          <w:color w:val="000000"/>
          <w:kern w:val="2"/>
          <w:sz w:val="24"/>
          <w:u w:val="single"/>
          <w:vertAlign w:val="subscript"/>
          <w:lang w:val="zh-CN" w:bidi="zh-CN"/>
        </w:rPr>
        <w:t>y</w:t>
      </w:r>
      <w:r>
        <w:rPr>
          <w:rFonts w:hint="eastAsia" w:cs="宋体"/>
          <w:color w:val="000000"/>
          <w:kern w:val="2"/>
          <w:sz w:val="24"/>
          <w:u w:val="single"/>
          <w:lang w:val="zh-CN" w:bidi="zh-CN"/>
        </w:rPr>
        <w:t>——污染物横向扩散系数，</w:t>
      </w:r>
      <w:r>
        <w:rPr>
          <w:rFonts w:cs="宋体"/>
          <w:color w:val="000000"/>
          <w:kern w:val="2"/>
          <w:sz w:val="24"/>
          <w:u w:val="single"/>
          <w:lang w:val="zh-CN" w:bidi="zh-CN"/>
        </w:rPr>
        <w:t>m</w:t>
      </w:r>
      <w:r>
        <w:rPr>
          <w:rFonts w:cs="宋体"/>
          <w:color w:val="000000"/>
          <w:kern w:val="2"/>
          <w:sz w:val="24"/>
          <w:u w:val="single"/>
          <w:vertAlign w:val="superscript"/>
          <w:lang w:val="zh-CN" w:bidi="zh-CN"/>
        </w:rPr>
        <w:t>2</w:t>
      </w:r>
      <w:r>
        <w:rPr>
          <w:rFonts w:cs="宋体"/>
          <w:color w:val="000000"/>
          <w:kern w:val="2"/>
          <w:sz w:val="24"/>
          <w:u w:val="single"/>
          <w:lang w:val="zh-CN" w:bidi="zh-CN"/>
        </w:rPr>
        <w:t>/s</w:t>
      </w:r>
      <w:r>
        <w:rPr>
          <w:rFonts w:hint="eastAsia" w:cs="宋体"/>
          <w:color w:val="000000"/>
          <w:kern w:val="2"/>
          <w:sz w:val="24"/>
          <w:u w:val="single"/>
          <w:lang w:val="zh-CN" w:bidi="zh-CN"/>
        </w:rPr>
        <w:t>，用泰勒（</w:t>
      </w:r>
      <w:r>
        <w:rPr>
          <w:rFonts w:cs="宋体"/>
          <w:color w:val="000000"/>
          <w:kern w:val="2"/>
          <w:sz w:val="24"/>
          <w:u w:val="single"/>
          <w:lang w:val="zh-CN" w:bidi="zh-CN"/>
        </w:rPr>
        <w:t>Taylor</w:t>
      </w:r>
      <w:r>
        <w:rPr>
          <w:rFonts w:hint="eastAsia" w:cs="宋体"/>
          <w:color w:val="000000"/>
          <w:kern w:val="2"/>
          <w:sz w:val="24"/>
          <w:u w:val="single"/>
          <w:lang w:val="zh-CN" w:bidi="zh-CN"/>
        </w:rPr>
        <w:t>）法求</w:t>
      </w:r>
      <w:r>
        <w:rPr>
          <w:rFonts w:cs="宋体"/>
          <w:color w:val="000000"/>
          <w:kern w:val="2"/>
          <w:sz w:val="24"/>
          <w:u w:val="single"/>
          <w:lang w:val="zh-CN" w:bidi="zh-CN"/>
        </w:rPr>
        <w:t>E</w:t>
      </w:r>
      <w:r>
        <w:rPr>
          <w:rFonts w:cs="宋体"/>
          <w:color w:val="000000"/>
          <w:kern w:val="2"/>
          <w:sz w:val="24"/>
          <w:u w:val="single"/>
          <w:vertAlign w:val="subscript"/>
          <w:lang w:val="zh-CN" w:bidi="zh-CN"/>
        </w:rPr>
        <w:t>y</w:t>
      </w:r>
    </w:p>
    <w:p w14:paraId="133352A4">
      <w:pPr>
        <w:keepNext w:val="0"/>
        <w:keepLines w:val="0"/>
        <w:pageBreakBefore w:val="0"/>
        <w:widowControl w:val="0"/>
        <w:kinsoku/>
        <w:wordWrap/>
        <w:overflowPunct w:val="0"/>
        <w:topLinePunct w:val="0"/>
        <w:autoSpaceDE w:val="0"/>
        <w:autoSpaceDN w:val="0"/>
        <w:bidi w:val="0"/>
        <w:spacing w:before="0" w:after="0" w:line="348" w:lineRule="auto"/>
        <w:ind w:left="0" w:right="0" w:firstLine="480" w:firstLineChars="200"/>
        <w:jc w:val="center"/>
        <w:rPr>
          <w:rFonts w:hint="eastAsia" w:cs="宋体"/>
          <w:color w:val="000000"/>
          <w:kern w:val="2"/>
          <w:sz w:val="24"/>
          <w:u w:val="single"/>
          <w:lang w:val="zh-CN" w:bidi="zh-CN"/>
        </w:rPr>
      </w:pPr>
      <w:r>
        <w:rPr>
          <w:rFonts w:cs="宋体"/>
          <w:color w:val="000000"/>
          <w:kern w:val="2"/>
          <w:sz w:val="24"/>
          <w:u w:val="single"/>
          <w:lang w:val="zh-CN" w:bidi="zh-CN"/>
        </w:rPr>
        <w:t>E</w:t>
      </w:r>
      <w:r>
        <w:rPr>
          <w:rFonts w:cs="宋体"/>
          <w:color w:val="000000"/>
          <w:kern w:val="2"/>
          <w:sz w:val="24"/>
          <w:u w:val="single"/>
          <w:vertAlign w:val="subscript"/>
          <w:lang w:val="zh-CN" w:bidi="zh-CN"/>
        </w:rPr>
        <w:t>y</w:t>
      </w:r>
      <w:r>
        <w:rPr>
          <w:rFonts w:cs="宋体"/>
          <w:color w:val="000000"/>
          <w:kern w:val="2"/>
          <w:sz w:val="24"/>
          <w:u w:val="single"/>
          <w:lang w:val="zh-CN" w:bidi="zh-CN"/>
        </w:rPr>
        <w:t>=(0.058H+0.0065B)(gH</w:t>
      </w:r>
      <w:r>
        <w:rPr>
          <w:rFonts w:hint="eastAsia" w:cs="宋体"/>
          <w:color w:val="000000"/>
          <w:kern w:val="2"/>
          <w:sz w:val="24"/>
          <w:u w:val="single"/>
          <w:lang w:val="en-US" w:bidi="zh-CN"/>
        </w:rPr>
        <w:t>J</w:t>
      </w:r>
      <w:r>
        <w:rPr>
          <w:rFonts w:cs="宋体"/>
          <w:color w:val="000000"/>
          <w:kern w:val="2"/>
          <w:sz w:val="24"/>
          <w:u w:val="single"/>
          <w:lang w:val="zh-CN" w:bidi="zh-CN"/>
        </w:rPr>
        <w:t>)</w:t>
      </w:r>
      <w:r>
        <w:rPr>
          <w:rFonts w:cs="宋体"/>
          <w:color w:val="000000"/>
          <w:kern w:val="2"/>
          <w:sz w:val="24"/>
          <w:u w:val="single"/>
          <w:vertAlign w:val="superscript"/>
          <w:lang w:val="zh-CN" w:bidi="zh-CN"/>
        </w:rPr>
        <w:t>1/2</w:t>
      </w:r>
      <w:r>
        <w:rPr>
          <w:rFonts w:hint="eastAsia" w:cs="宋体"/>
          <w:color w:val="000000"/>
          <w:kern w:val="2"/>
          <w:sz w:val="24"/>
          <w:u w:val="single"/>
          <w:lang w:val="zh-CN" w:bidi="zh-CN"/>
        </w:rPr>
        <w:t>，</w:t>
      </w:r>
    </w:p>
    <w:p w14:paraId="6DCAA4F4">
      <w:pPr>
        <w:keepNext w:val="0"/>
        <w:keepLines w:val="0"/>
        <w:pageBreakBefore w:val="0"/>
        <w:widowControl w:val="0"/>
        <w:kinsoku/>
        <w:wordWrap/>
        <w:overflowPunct w:val="0"/>
        <w:topLinePunct w:val="0"/>
        <w:autoSpaceDE w:val="0"/>
        <w:autoSpaceDN w:val="0"/>
        <w:bidi w:val="0"/>
        <w:spacing w:before="0" w:after="0" w:line="348" w:lineRule="auto"/>
        <w:ind w:left="0" w:right="0" w:firstLine="480" w:firstLineChars="200"/>
        <w:jc w:val="left"/>
        <w:rPr>
          <w:rFonts w:hint="eastAsia" w:cs="宋体"/>
          <w:color w:val="000000"/>
          <w:kern w:val="2"/>
          <w:sz w:val="24"/>
          <w:u w:val="single"/>
          <w:lang w:val="zh-CN" w:bidi="zh-CN"/>
        </w:rPr>
      </w:pPr>
      <w:r>
        <w:rPr>
          <w:rFonts w:hint="eastAsia" w:cs="宋体"/>
          <w:color w:val="000000"/>
          <w:kern w:val="2"/>
          <w:sz w:val="24"/>
          <w:u w:val="single"/>
          <w:lang w:val="zh-CN" w:bidi="zh-CN"/>
        </w:rPr>
        <w:t>式中：</w:t>
      </w:r>
    </w:p>
    <w:p w14:paraId="4B241766">
      <w:pPr>
        <w:keepNext w:val="0"/>
        <w:keepLines w:val="0"/>
        <w:pageBreakBefore w:val="0"/>
        <w:widowControl w:val="0"/>
        <w:kinsoku/>
        <w:wordWrap/>
        <w:overflowPunct w:val="0"/>
        <w:topLinePunct w:val="0"/>
        <w:autoSpaceDE w:val="0"/>
        <w:autoSpaceDN w:val="0"/>
        <w:bidi w:val="0"/>
        <w:spacing w:before="0" w:after="0" w:line="348" w:lineRule="auto"/>
        <w:ind w:left="0" w:right="0" w:firstLine="960" w:firstLineChars="400"/>
        <w:jc w:val="left"/>
        <w:rPr>
          <w:rFonts w:hint="eastAsia" w:cs="宋体"/>
          <w:color w:val="000000"/>
          <w:kern w:val="2"/>
          <w:sz w:val="24"/>
          <w:u w:val="single"/>
          <w:lang w:val="zh-CN" w:bidi="zh-CN"/>
        </w:rPr>
      </w:pPr>
      <w:r>
        <w:rPr>
          <w:rFonts w:hint="eastAsia" w:cs="宋体"/>
          <w:color w:val="000000"/>
          <w:kern w:val="2"/>
          <w:sz w:val="24"/>
          <w:u w:val="single"/>
          <w:lang w:val="zh-CN" w:bidi="zh-CN"/>
        </w:rPr>
        <w:t>Ey—污染物横向扩散系数，m</w:t>
      </w:r>
      <w:r>
        <w:rPr>
          <w:rFonts w:hint="eastAsia" w:cs="宋体"/>
          <w:color w:val="000000"/>
          <w:kern w:val="2"/>
          <w:sz w:val="24"/>
          <w:u w:val="single"/>
          <w:vertAlign w:val="superscript"/>
          <w:lang w:val="zh-CN" w:bidi="zh-CN"/>
        </w:rPr>
        <w:t>2</w:t>
      </w:r>
      <w:r>
        <w:rPr>
          <w:rFonts w:hint="eastAsia" w:cs="宋体"/>
          <w:color w:val="000000"/>
          <w:kern w:val="2"/>
          <w:sz w:val="24"/>
          <w:u w:val="single"/>
          <w:lang w:val="zh-CN" w:bidi="zh-CN"/>
        </w:rPr>
        <w:t>/s；</w:t>
      </w:r>
    </w:p>
    <w:p w14:paraId="3ECED740">
      <w:pPr>
        <w:keepNext w:val="0"/>
        <w:keepLines w:val="0"/>
        <w:pageBreakBefore w:val="0"/>
        <w:widowControl w:val="0"/>
        <w:kinsoku/>
        <w:wordWrap/>
        <w:overflowPunct w:val="0"/>
        <w:topLinePunct w:val="0"/>
        <w:autoSpaceDE w:val="0"/>
        <w:autoSpaceDN w:val="0"/>
        <w:bidi w:val="0"/>
        <w:spacing w:before="0" w:after="0" w:line="348" w:lineRule="auto"/>
        <w:ind w:left="0" w:right="0" w:firstLine="960" w:firstLineChars="400"/>
        <w:jc w:val="left"/>
        <w:rPr>
          <w:rFonts w:hint="eastAsia" w:cs="宋体"/>
          <w:color w:val="000000"/>
          <w:kern w:val="2"/>
          <w:sz w:val="24"/>
          <w:u w:val="single"/>
          <w:lang w:val="zh-CN" w:bidi="zh-CN"/>
        </w:rPr>
      </w:pPr>
      <w:r>
        <w:rPr>
          <w:rFonts w:hint="eastAsia" w:cs="宋体"/>
          <w:color w:val="000000"/>
          <w:kern w:val="2"/>
          <w:sz w:val="24"/>
          <w:u w:val="single"/>
          <w:lang w:val="zh-CN" w:bidi="zh-CN"/>
        </w:rPr>
        <w:t>H—河道断面平均水深，m；</w:t>
      </w:r>
    </w:p>
    <w:p w14:paraId="4E64455A">
      <w:pPr>
        <w:keepNext w:val="0"/>
        <w:keepLines w:val="0"/>
        <w:pageBreakBefore w:val="0"/>
        <w:widowControl w:val="0"/>
        <w:kinsoku/>
        <w:wordWrap/>
        <w:overflowPunct w:val="0"/>
        <w:topLinePunct w:val="0"/>
        <w:autoSpaceDE w:val="0"/>
        <w:autoSpaceDN w:val="0"/>
        <w:bidi w:val="0"/>
        <w:spacing w:before="0" w:after="0" w:line="348" w:lineRule="auto"/>
        <w:ind w:left="0" w:right="0" w:firstLine="960" w:firstLineChars="400"/>
        <w:jc w:val="left"/>
        <w:rPr>
          <w:rFonts w:hint="eastAsia" w:cs="宋体"/>
          <w:color w:val="000000"/>
          <w:kern w:val="2"/>
          <w:sz w:val="24"/>
          <w:u w:val="single"/>
          <w:lang w:val="zh-CN" w:bidi="zh-CN"/>
        </w:rPr>
      </w:pPr>
      <w:r>
        <w:rPr>
          <w:rFonts w:hint="eastAsia" w:cs="宋体"/>
          <w:color w:val="000000"/>
          <w:kern w:val="2"/>
          <w:sz w:val="24"/>
          <w:u w:val="single"/>
          <w:lang w:val="zh-CN" w:bidi="zh-CN"/>
        </w:rPr>
        <w:t>B—河流平均宽度，m；</w:t>
      </w:r>
    </w:p>
    <w:p w14:paraId="0504AFC0">
      <w:pPr>
        <w:keepNext w:val="0"/>
        <w:keepLines w:val="0"/>
        <w:pageBreakBefore w:val="0"/>
        <w:widowControl w:val="0"/>
        <w:kinsoku/>
        <w:wordWrap/>
        <w:overflowPunct w:val="0"/>
        <w:topLinePunct w:val="0"/>
        <w:autoSpaceDE w:val="0"/>
        <w:autoSpaceDN w:val="0"/>
        <w:bidi w:val="0"/>
        <w:spacing w:before="0" w:after="0" w:line="348" w:lineRule="auto"/>
        <w:ind w:left="0" w:right="0" w:firstLine="960" w:firstLineChars="400"/>
        <w:jc w:val="left"/>
        <w:rPr>
          <w:rFonts w:hint="eastAsia" w:cs="宋体"/>
          <w:color w:val="000000"/>
          <w:kern w:val="2"/>
          <w:sz w:val="24"/>
          <w:u w:val="single"/>
          <w:lang w:val="zh-CN" w:bidi="zh-CN"/>
        </w:rPr>
      </w:pPr>
      <w:r>
        <w:rPr>
          <w:rFonts w:hint="eastAsia" w:cs="宋体"/>
          <w:color w:val="000000"/>
          <w:kern w:val="2"/>
          <w:sz w:val="24"/>
          <w:u w:val="single"/>
          <w:lang w:val="zh-CN" w:bidi="zh-CN"/>
        </w:rPr>
        <w:t>g—重力加速度，m/s2；</w:t>
      </w:r>
    </w:p>
    <w:p w14:paraId="18B37B3F">
      <w:pPr>
        <w:keepNext w:val="0"/>
        <w:keepLines w:val="0"/>
        <w:pageBreakBefore w:val="0"/>
        <w:widowControl w:val="0"/>
        <w:kinsoku/>
        <w:wordWrap/>
        <w:overflowPunct w:val="0"/>
        <w:topLinePunct w:val="0"/>
        <w:autoSpaceDE w:val="0"/>
        <w:autoSpaceDN w:val="0"/>
        <w:bidi w:val="0"/>
        <w:spacing w:before="0" w:after="0" w:line="348" w:lineRule="auto"/>
        <w:ind w:left="0" w:right="0" w:firstLine="960" w:firstLineChars="400"/>
        <w:jc w:val="left"/>
        <w:rPr>
          <w:rFonts w:hint="eastAsia" w:cs="宋体"/>
          <w:color w:val="000000"/>
          <w:kern w:val="2"/>
          <w:sz w:val="24"/>
          <w:u w:val="single"/>
          <w:lang w:val="zh-CN" w:bidi="zh-CN"/>
        </w:rPr>
      </w:pPr>
      <w:r>
        <w:rPr>
          <w:rFonts w:hint="eastAsia" w:cs="宋体"/>
          <w:color w:val="000000"/>
          <w:kern w:val="2"/>
          <w:sz w:val="24"/>
          <w:u w:val="single"/>
          <w:lang w:val="zh-CN" w:bidi="zh-CN"/>
        </w:rPr>
        <w:t>J—河流水力比降，‰；</w:t>
      </w:r>
    </w:p>
    <w:p w14:paraId="722BD2CB">
      <w:pPr>
        <w:keepNext w:val="0"/>
        <w:keepLines w:val="0"/>
        <w:pageBreakBefore w:val="0"/>
        <w:widowControl w:val="0"/>
        <w:kinsoku/>
        <w:wordWrap/>
        <w:overflowPunct w:val="0"/>
        <w:topLinePunct w:val="0"/>
        <w:autoSpaceDE w:val="0"/>
        <w:autoSpaceDN w:val="0"/>
        <w:bidi w:val="0"/>
        <w:spacing w:before="0" w:after="0" w:line="348" w:lineRule="auto"/>
        <w:ind w:left="0" w:right="0" w:firstLine="960" w:firstLineChars="400"/>
        <w:jc w:val="left"/>
        <w:rPr>
          <w:rFonts w:hint="eastAsia" w:cs="宋体"/>
          <w:color w:val="000000"/>
          <w:kern w:val="0"/>
          <w:sz w:val="24"/>
          <w:u w:val="single"/>
          <w:lang w:val="zh-CN" w:bidi="zh-CN"/>
        </w:rPr>
      </w:pPr>
      <w:r>
        <w:rPr>
          <w:rFonts w:hint="eastAsia" w:cs="宋体"/>
          <w:color w:val="000000"/>
          <w:kern w:val="2"/>
          <w:sz w:val="24"/>
          <w:u w:val="single"/>
          <w:lang w:val="zh-CN" w:bidi="zh-CN"/>
        </w:rPr>
        <w:t>求得</w:t>
      </w:r>
      <w:r>
        <w:rPr>
          <w:rFonts w:hint="eastAsia" w:cs="宋体"/>
          <w:color w:val="000000"/>
          <w:kern w:val="2"/>
          <w:sz w:val="24"/>
          <w:u w:val="single"/>
          <w:lang w:val="zh-CN" w:eastAsia="zh-CN" w:bidi="zh-CN"/>
        </w:rPr>
        <w:t>果利河</w:t>
      </w:r>
      <w:r>
        <w:rPr>
          <w:rFonts w:cs="宋体"/>
          <w:color w:val="000000"/>
          <w:kern w:val="2"/>
          <w:sz w:val="24"/>
          <w:u w:val="single"/>
          <w:lang w:val="zh-CN" w:bidi="zh-CN"/>
        </w:rPr>
        <w:t>E</w:t>
      </w:r>
      <w:r>
        <w:rPr>
          <w:rFonts w:cs="宋体"/>
          <w:color w:val="000000"/>
          <w:kern w:val="2"/>
          <w:sz w:val="24"/>
          <w:u w:val="single"/>
          <w:vertAlign w:val="subscript"/>
          <w:lang w:val="zh-CN" w:bidi="zh-CN"/>
        </w:rPr>
        <w:t>y</w:t>
      </w:r>
      <w:r>
        <w:rPr>
          <w:rFonts w:hint="eastAsia" w:cs="宋体"/>
          <w:color w:val="000000"/>
          <w:kern w:val="2"/>
          <w:sz w:val="24"/>
          <w:u w:val="single"/>
          <w:lang w:val="zh-CN" w:bidi="zh-CN"/>
        </w:rPr>
        <w:t>为</w:t>
      </w:r>
      <w:r>
        <w:rPr>
          <w:rFonts w:hint="eastAsia" w:cs="宋体"/>
          <w:color w:val="000000"/>
          <w:kern w:val="2"/>
          <w:sz w:val="24"/>
          <w:u w:val="single"/>
          <w:lang w:val="en-US" w:bidi="zh-CN"/>
        </w:rPr>
        <w:t>0.463</w:t>
      </w:r>
      <w:r>
        <w:rPr>
          <w:rFonts w:hint="eastAsia" w:cs="宋体"/>
          <w:color w:val="000000"/>
          <w:kern w:val="2"/>
          <w:sz w:val="24"/>
          <w:u w:val="single"/>
          <w:lang w:val="zh-CN" w:bidi="zh-CN"/>
        </w:rPr>
        <w:t>m</w:t>
      </w:r>
      <w:r>
        <w:rPr>
          <w:rFonts w:hint="eastAsia" w:cs="宋体"/>
          <w:color w:val="000000"/>
          <w:kern w:val="2"/>
          <w:sz w:val="24"/>
          <w:u w:val="single"/>
          <w:vertAlign w:val="superscript"/>
          <w:lang w:val="zh-CN" w:bidi="zh-CN"/>
        </w:rPr>
        <w:t>2</w:t>
      </w:r>
      <w:r>
        <w:rPr>
          <w:rFonts w:hint="eastAsia" w:cs="宋体"/>
          <w:color w:val="000000"/>
          <w:kern w:val="2"/>
          <w:sz w:val="24"/>
          <w:u w:val="single"/>
          <w:lang w:val="zh-CN" w:bidi="zh-CN"/>
        </w:rPr>
        <w:t>/s；</w:t>
      </w:r>
    </w:p>
    <w:p w14:paraId="31ED8BA3">
      <w:pPr>
        <w:keepNext w:val="0"/>
        <w:keepLines w:val="0"/>
        <w:pageBreakBefore w:val="0"/>
        <w:widowControl w:val="0"/>
        <w:kinsoku/>
        <w:wordWrap/>
        <w:overflowPunct w:val="0"/>
        <w:topLinePunct w:val="0"/>
        <w:autoSpaceDE w:val="0"/>
        <w:autoSpaceDN w:val="0"/>
        <w:bidi w:val="0"/>
        <w:spacing w:before="0" w:after="0" w:line="360" w:lineRule="auto"/>
        <w:ind w:left="0" w:right="0" w:firstLine="480" w:firstLineChars="200"/>
        <w:jc w:val="left"/>
        <w:rPr>
          <w:rFonts w:cs="宋体"/>
          <w:color w:val="000000"/>
          <w:kern w:val="0"/>
          <w:sz w:val="24"/>
          <w:highlight w:val="none"/>
          <w:u w:val="single"/>
          <w:lang w:val="zh-CN" w:bidi="zh-CN"/>
        </w:rPr>
      </w:pPr>
      <w:r>
        <w:rPr>
          <w:rFonts w:hint="eastAsia" w:cs="宋体"/>
          <w:color w:val="000000"/>
          <w:kern w:val="0"/>
          <w:sz w:val="24"/>
          <w:u w:val="single"/>
          <w:lang w:val="zh-CN" w:bidi="zh-CN"/>
        </w:rPr>
        <w:t>由上述公式计算出，</w:t>
      </w:r>
      <w:r>
        <w:rPr>
          <w:rFonts w:hint="eastAsia" w:cs="宋体"/>
          <w:color w:val="000000"/>
          <w:kern w:val="0"/>
          <w:sz w:val="24"/>
          <w:szCs w:val="21"/>
          <w:u w:val="single"/>
          <w:lang w:val="zh-CN" w:eastAsia="zh-CN" w:bidi="zh-CN"/>
        </w:rPr>
        <w:t>果利河</w:t>
      </w:r>
      <w:r>
        <w:rPr>
          <w:rFonts w:hint="eastAsia" w:cs="宋体"/>
          <w:color w:val="000000"/>
          <w:kern w:val="0"/>
          <w:sz w:val="24"/>
          <w:u w:val="single"/>
          <w:lang w:val="zh-CN" w:bidi="zh-CN"/>
        </w:rPr>
        <w:t>枯水期混合过</w:t>
      </w:r>
      <w:r>
        <w:rPr>
          <w:rFonts w:hint="eastAsia" w:cs="宋体"/>
          <w:color w:val="000000"/>
          <w:kern w:val="0"/>
          <w:sz w:val="24"/>
          <w:highlight w:val="none"/>
          <w:u w:val="single"/>
          <w:lang w:val="zh-CN" w:bidi="zh-CN"/>
        </w:rPr>
        <w:t>程段</w:t>
      </w:r>
      <w:r>
        <w:rPr>
          <w:rFonts w:hint="eastAsia" w:cs="宋体"/>
          <w:color w:val="000000"/>
          <w:kern w:val="2"/>
          <w:sz w:val="24"/>
          <w:highlight w:val="none"/>
          <w:u w:val="single"/>
          <w:lang w:val="zh-CN" w:bidi="zh-CN"/>
        </w:rPr>
        <w:t>污染带长度</w:t>
      </w:r>
      <w:r>
        <w:rPr>
          <w:rFonts w:hint="eastAsia" w:cs="宋体"/>
          <w:kern w:val="0"/>
          <w:sz w:val="24"/>
          <w:highlight w:val="none"/>
          <w:u w:val="single"/>
          <w:lang w:val="zh-CN" w:eastAsia="zh-CN" w:bidi="zh-CN"/>
        </w:rPr>
        <w:t>约</w:t>
      </w:r>
      <w:r>
        <w:rPr>
          <w:rFonts w:hint="eastAsia" w:cs="宋体"/>
          <w:color w:val="000000"/>
          <w:kern w:val="0"/>
          <w:sz w:val="24"/>
          <w:highlight w:val="none"/>
          <w:u w:val="single"/>
          <w:lang w:val="zh-CN" w:bidi="zh-CN"/>
        </w:rPr>
        <w:t>为</w:t>
      </w:r>
      <w:r>
        <w:rPr>
          <w:rFonts w:hint="eastAsia" w:cs="宋体"/>
          <w:color w:val="000000"/>
          <w:kern w:val="0"/>
          <w:sz w:val="24"/>
          <w:highlight w:val="none"/>
          <w:u w:val="single"/>
          <w:lang w:val="en-US" w:eastAsia="zh-CN" w:bidi="zh-CN"/>
        </w:rPr>
        <w:t>85.87</w:t>
      </w:r>
      <w:r>
        <w:rPr>
          <w:rFonts w:hint="eastAsia" w:cs="宋体"/>
          <w:color w:val="000000"/>
          <w:kern w:val="0"/>
          <w:sz w:val="24"/>
          <w:highlight w:val="none"/>
          <w:u w:val="single"/>
          <w:lang w:val="zh-CN" w:bidi="zh-CN"/>
        </w:rPr>
        <w:t>m，因此污水排放入</w:t>
      </w:r>
      <w:r>
        <w:rPr>
          <w:rFonts w:hint="eastAsia" w:cs="宋体"/>
          <w:color w:val="000000"/>
          <w:kern w:val="0"/>
          <w:sz w:val="24"/>
          <w:szCs w:val="21"/>
          <w:highlight w:val="none"/>
          <w:u w:val="single"/>
          <w:lang w:val="zh-CN" w:eastAsia="zh-CN" w:bidi="zh-CN"/>
        </w:rPr>
        <w:t>果利河</w:t>
      </w:r>
      <w:r>
        <w:rPr>
          <w:rFonts w:hint="eastAsia" w:cs="宋体"/>
          <w:color w:val="000000"/>
          <w:kern w:val="0"/>
          <w:sz w:val="24"/>
          <w:highlight w:val="none"/>
          <w:u w:val="single"/>
          <w:lang w:val="zh-CN" w:eastAsia="zh-CN" w:bidi="zh-CN"/>
        </w:rPr>
        <w:t>后</w:t>
      </w:r>
      <w:r>
        <w:rPr>
          <w:rFonts w:hint="eastAsia" w:cs="宋体"/>
          <w:color w:val="000000"/>
          <w:kern w:val="0"/>
          <w:sz w:val="24"/>
          <w:highlight w:val="none"/>
          <w:u w:val="single"/>
          <w:lang w:val="zh-CN" w:bidi="zh-CN"/>
        </w:rPr>
        <w:t>，不可能马上混合均匀，会形成一污染带。</w:t>
      </w:r>
    </w:p>
    <w:p w14:paraId="275B10CE">
      <w:pPr>
        <w:spacing w:line="360" w:lineRule="auto"/>
        <w:ind w:firstLine="482" w:firstLineChars="200"/>
        <w:rPr>
          <w:rFonts w:hint="eastAsia" w:ascii="Times New Roman" w:hAnsi="Times New Roman" w:eastAsia="宋体"/>
          <w:b/>
          <w:bCs/>
          <w:color w:val="auto"/>
          <w:kern w:val="0"/>
          <w:sz w:val="24"/>
          <w:szCs w:val="24"/>
          <w:lang w:val="en-US" w:eastAsia="zh-CN"/>
        </w:rPr>
      </w:pPr>
      <w:r>
        <w:rPr>
          <w:rFonts w:hint="eastAsia" w:ascii="宋体" w:hAnsi="宋体" w:eastAsia="宋体" w:cs="宋体"/>
          <w:b/>
          <w:bCs/>
          <w:color w:val="auto"/>
          <w:kern w:val="0"/>
          <w:sz w:val="24"/>
          <w:szCs w:val="24"/>
          <w:lang w:val="en-US" w:eastAsia="zh-CN"/>
        </w:rPr>
        <w:t>②</w:t>
      </w:r>
      <w:r>
        <w:rPr>
          <w:rFonts w:hint="eastAsia" w:ascii="Times New Roman" w:hAnsi="Times New Roman" w:eastAsia="宋体"/>
          <w:b/>
          <w:bCs/>
          <w:color w:val="auto"/>
          <w:kern w:val="0"/>
          <w:sz w:val="24"/>
          <w:szCs w:val="24"/>
          <w:lang w:val="en-US" w:eastAsia="zh-CN"/>
        </w:rPr>
        <w:t>、预测模型</w:t>
      </w:r>
    </w:p>
    <w:p w14:paraId="6C01ED8A">
      <w:pPr>
        <w:widowControl/>
        <w:kinsoku w:val="0"/>
        <w:wordWrap w:val="0"/>
        <w:overflowPunct w:val="0"/>
        <w:topLinePunct/>
        <w:autoSpaceDE/>
        <w:autoSpaceDN/>
        <w:spacing w:before="0" w:after="0" w:line="360" w:lineRule="auto"/>
        <w:ind w:left="0" w:right="0" w:firstLine="480" w:firstLineChars="200"/>
        <w:jc w:val="left"/>
        <w:rPr>
          <w:rFonts w:cs="宋体"/>
          <w:color w:val="000000"/>
          <w:kern w:val="2"/>
          <w:sz w:val="24"/>
          <w:u w:val="none"/>
          <w:lang w:val="zh-CN" w:bidi="zh-CN"/>
        </w:rPr>
      </w:pPr>
      <w:r>
        <w:rPr>
          <w:rFonts w:hint="eastAsia" w:cs="Times New Roman"/>
          <w:color w:val="auto"/>
          <w:kern w:val="0"/>
          <w:sz w:val="24"/>
          <w:szCs w:val="24"/>
          <w:highlight w:val="none"/>
          <w:lang w:val="en-US" w:eastAsia="zh-CN"/>
        </w:rPr>
        <w:t xml:space="preserve"> </w:t>
      </w:r>
      <w:r>
        <w:rPr>
          <w:rFonts w:hint="eastAsia" w:cs="宋体"/>
          <w:color w:val="000000"/>
          <w:kern w:val="2"/>
          <w:sz w:val="24"/>
          <w:u w:val="none"/>
          <w:lang w:val="zh-CN" w:bidi="zh-CN"/>
        </w:rPr>
        <w:t>根据河流纵向一维模型方程的简化</w:t>
      </w:r>
      <w:r>
        <w:rPr>
          <w:rFonts w:hint="eastAsia" w:cs="宋体"/>
          <w:color w:val="000000"/>
          <w:kern w:val="2"/>
          <w:sz w:val="24"/>
          <w:u w:val="none"/>
          <w:lang w:val="zh-CN" w:eastAsia="zh-CN" w:bidi="zh-CN"/>
        </w:rPr>
        <w:t xml:space="preserve"> </w:t>
      </w:r>
      <w:r>
        <w:rPr>
          <w:rFonts w:hint="eastAsia" w:cs="宋体"/>
          <w:color w:val="000000"/>
          <w:kern w:val="2"/>
          <w:sz w:val="24"/>
          <w:u w:val="none"/>
          <w:lang w:val="zh-CN" w:bidi="zh-CN"/>
        </w:rPr>
        <w:t>分类判别条件（即</w:t>
      </w:r>
      <w:r>
        <w:rPr>
          <w:rFonts w:cs="宋体"/>
          <w:color w:val="000000"/>
          <w:kern w:val="2"/>
          <w:sz w:val="24"/>
          <w:u w:val="none"/>
          <w:lang w:val="zh-CN" w:bidi="zh-CN"/>
        </w:rPr>
        <w:t>O</w:t>
      </w:r>
      <w:r>
        <w:rPr>
          <w:rFonts w:hint="eastAsia" w:cs="宋体"/>
          <w:color w:val="000000"/>
          <w:kern w:val="2"/>
          <w:sz w:val="24"/>
          <w:u w:val="none"/>
          <w:lang w:val="zh-CN" w:bidi="zh-CN"/>
        </w:rPr>
        <w:t>’</w:t>
      </w:r>
      <w:r>
        <w:rPr>
          <w:rFonts w:cs="宋体"/>
          <w:color w:val="000000"/>
          <w:kern w:val="2"/>
          <w:sz w:val="24"/>
          <w:u w:val="none"/>
          <w:lang w:val="zh-CN" w:bidi="zh-CN"/>
        </w:rPr>
        <w:t>Connor</w:t>
      </w:r>
      <w:r>
        <w:rPr>
          <w:rFonts w:hint="eastAsia" w:cs="宋体"/>
          <w:color w:val="000000"/>
          <w:kern w:val="2"/>
          <w:sz w:val="24"/>
          <w:u w:val="none"/>
          <w:lang w:val="zh-CN" w:bidi="zh-CN"/>
        </w:rPr>
        <w:t>数α和贝克来数</w:t>
      </w:r>
      <w:r>
        <w:rPr>
          <w:rFonts w:cs="宋体"/>
          <w:color w:val="000000"/>
          <w:kern w:val="2"/>
          <w:sz w:val="24"/>
          <w:u w:val="none"/>
          <w:lang w:val="zh-CN" w:bidi="zh-CN"/>
        </w:rPr>
        <w:t>Pe</w:t>
      </w:r>
      <w:r>
        <w:rPr>
          <w:rFonts w:hint="eastAsia" w:cs="宋体"/>
          <w:color w:val="000000"/>
          <w:kern w:val="2"/>
          <w:sz w:val="24"/>
          <w:u w:val="none"/>
          <w:lang w:val="zh-CN" w:bidi="zh-CN"/>
        </w:rPr>
        <w:t>的临界值），选择相应的解析解公式。</w:t>
      </w:r>
    </w:p>
    <w:p w14:paraId="21CAE1E3">
      <w:pPr>
        <w:widowControl/>
        <w:kinsoku w:val="0"/>
        <w:wordWrap w:val="0"/>
        <w:overflowPunct w:val="0"/>
        <w:topLinePunct/>
        <w:autoSpaceDE/>
        <w:autoSpaceDN/>
        <w:spacing w:before="0" w:after="0" w:line="360" w:lineRule="auto"/>
        <w:ind w:left="0" w:right="0" w:firstLine="0" w:firstLineChars="0"/>
        <w:jc w:val="center"/>
        <w:rPr>
          <w:rFonts w:cs="宋体"/>
          <w:color w:val="000000"/>
          <w:kern w:val="2"/>
          <w:sz w:val="24"/>
          <w:u w:val="none"/>
          <w:lang w:val="zh-CN" w:bidi="zh-CN"/>
        </w:rPr>
      </w:pPr>
      <w:r>
        <w:rPr>
          <w:rFonts w:cs="宋体"/>
          <w:color w:val="000000"/>
          <w:kern w:val="2"/>
          <w:sz w:val="24"/>
          <w:u w:val="none"/>
          <w:lang w:val="zh-CN" w:bidi="zh-CN"/>
        </w:rPr>
        <w:drawing>
          <wp:inline distT="0" distB="0" distL="0" distR="0">
            <wp:extent cx="561975" cy="390525"/>
            <wp:effectExtent l="0" t="0" r="0" b="889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61975" cy="390525"/>
                    </a:xfrm>
                    <a:prstGeom prst="rect">
                      <a:avLst/>
                    </a:prstGeom>
                    <a:noFill/>
                    <a:ln>
                      <a:noFill/>
                    </a:ln>
                  </pic:spPr>
                </pic:pic>
              </a:graphicData>
            </a:graphic>
          </wp:inline>
        </w:drawing>
      </w:r>
    </w:p>
    <w:p w14:paraId="20B14183">
      <w:pPr>
        <w:widowControl/>
        <w:kinsoku w:val="0"/>
        <w:wordWrap w:val="0"/>
        <w:overflowPunct w:val="0"/>
        <w:topLinePunct/>
        <w:autoSpaceDE/>
        <w:autoSpaceDN/>
        <w:spacing w:before="0" w:after="0" w:line="360" w:lineRule="auto"/>
        <w:ind w:left="0" w:right="0" w:firstLine="0" w:firstLineChars="0"/>
        <w:jc w:val="center"/>
        <w:rPr>
          <w:rFonts w:cs="宋体"/>
          <w:color w:val="000000"/>
          <w:kern w:val="2"/>
          <w:sz w:val="24"/>
          <w:u w:val="none"/>
          <w:lang w:val="zh-CN" w:bidi="zh-CN"/>
        </w:rPr>
      </w:pPr>
      <w:r>
        <w:rPr>
          <w:rFonts w:cs="宋体"/>
          <w:color w:val="000000"/>
          <w:kern w:val="2"/>
          <w:sz w:val="24"/>
          <w:u w:val="none"/>
          <w:lang w:val="zh-CN" w:bidi="zh-CN"/>
        </w:rPr>
        <w:drawing>
          <wp:inline distT="0" distB="0" distL="0" distR="0">
            <wp:extent cx="571500" cy="428625"/>
            <wp:effectExtent l="0" t="0" r="0" b="825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71500" cy="428625"/>
                    </a:xfrm>
                    <a:prstGeom prst="rect">
                      <a:avLst/>
                    </a:prstGeom>
                    <a:noFill/>
                    <a:ln>
                      <a:noFill/>
                    </a:ln>
                  </pic:spPr>
                </pic:pic>
              </a:graphicData>
            </a:graphic>
          </wp:inline>
        </w:drawing>
      </w:r>
    </w:p>
    <w:p w14:paraId="15582508">
      <w:pPr>
        <w:widowControl/>
        <w:kinsoku w:val="0"/>
        <w:wordWrap w:val="0"/>
        <w:overflowPunct w:val="0"/>
        <w:topLinePunct/>
        <w:autoSpaceDE/>
        <w:autoSpaceDN/>
        <w:spacing w:before="0" w:after="0" w:line="360" w:lineRule="auto"/>
        <w:ind w:left="0" w:right="0" w:firstLine="480" w:firstLineChars="200"/>
        <w:jc w:val="left"/>
        <w:rPr>
          <w:rFonts w:cs="宋体"/>
          <w:color w:val="000000"/>
          <w:kern w:val="2"/>
          <w:sz w:val="24"/>
          <w:u w:val="none"/>
          <w:lang w:val="zh-CN" w:bidi="zh-CN"/>
        </w:rPr>
      </w:pPr>
      <w:r>
        <w:rPr>
          <w:rFonts w:hint="eastAsia" w:cs="宋体"/>
          <w:color w:val="000000"/>
          <w:kern w:val="2"/>
          <w:sz w:val="24"/>
          <w:u w:val="none"/>
          <w:lang w:val="zh-CN" w:bidi="zh-CN"/>
        </w:rPr>
        <w:t>式中</w:t>
      </w:r>
    </w:p>
    <w:p w14:paraId="38196E8C">
      <w:pPr>
        <w:widowControl/>
        <w:kinsoku w:val="0"/>
        <w:wordWrap w:val="0"/>
        <w:overflowPunct w:val="0"/>
        <w:topLinePunct/>
        <w:autoSpaceDE/>
        <w:autoSpaceDN/>
        <w:spacing w:before="0" w:after="0" w:line="360" w:lineRule="auto"/>
        <w:ind w:left="0" w:right="0" w:firstLine="480" w:firstLineChars="200"/>
        <w:jc w:val="left"/>
        <w:rPr>
          <w:rFonts w:cs="宋体"/>
          <w:color w:val="000000"/>
          <w:kern w:val="2"/>
          <w:sz w:val="24"/>
          <w:u w:val="none"/>
          <w:lang w:val="zh-CN" w:bidi="zh-CN"/>
        </w:rPr>
      </w:pPr>
      <w:r>
        <w:rPr>
          <w:rFonts w:hint="eastAsia" w:cs="宋体"/>
          <w:color w:val="000000"/>
          <w:kern w:val="2"/>
          <w:sz w:val="24"/>
          <w:u w:val="none"/>
          <w:lang w:val="zh-CN" w:bidi="zh-CN"/>
        </w:rPr>
        <w:t>α——</w:t>
      </w:r>
      <w:r>
        <w:rPr>
          <w:rFonts w:cs="宋体"/>
          <w:color w:val="000000"/>
          <w:kern w:val="2"/>
          <w:sz w:val="24"/>
          <w:u w:val="none"/>
          <w:lang w:val="zh-CN" w:bidi="zh-CN"/>
        </w:rPr>
        <w:t>O</w:t>
      </w:r>
      <w:r>
        <w:rPr>
          <w:rFonts w:hint="eastAsia" w:cs="宋体"/>
          <w:color w:val="000000"/>
          <w:kern w:val="2"/>
          <w:sz w:val="24"/>
          <w:u w:val="none"/>
          <w:lang w:val="zh-CN" w:bidi="zh-CN"/>
        </w:rPr>
        <w:t>’</w:t>
      </w:r>
      <w:r>
        <w:rPr>
          <w:rFonts w:cs="宋体"/>
          <w:color w:val="000000"/>
          <w:kern w:val="2"/>
          <w:sz w:val="24"/>
          <w:u w:val="none"/>
          <w:lang w:val="zh-CN" w:bidi="zh-CN"/>
        </w:rPr>
        <w:t>Connor</w:t>
      </w:r>
      <w:r>
        <w:rPr>
          <w:rFonts w:hint="eastAsia" w:cs="宋体"/>
          <w:color w:val="000000"/>
          <w:kern w:val="2"/>
          <w:sz w:val="24"/>
          <w:u w:val="none"/>
          <w:lang w:val="zh-CN" w:bidi="zh-CN"/>
        </w:rPr>
        <w:t>数，量纲一，表征物质离散降解通量与移流通量比值；</w:t>
      </w:r>
    </w:p>
    <w:p w14:paraId="6D4EC245">
      <w:pPr>
        <w:widowControl/>
        <w:kinsoku w:val="0"/>
        <w:wordWrap w:val="0"/>
        <w:overflowPunct w:val="0"/>
        <w:topLinePunct/>
        <w:autoSpaceDE/>
        <w:autoSpaceDN/>
        <w:spacing w:before="0" w:after="0" w:line="360" w:lineRule="auto"/>
        <w:ind w:left="0" w:right="0" w:firstLine="480" w:firstLineChars="200"/>
        <w:jc w:val="left"/>
        <w:rPr>
          <w:rFonts w:cs="宋体"/>
          <w:color w:val="000000"/>
          <w:kern w:val="2"/>
          <w:sz w:val="24"/>
          <w:u w:val="none"/>
          <w:lang w:val="zh-CN" w:bidi="zh-CN"/>
        </w:rPr>
      </w:pPr>
      <w:r>
        <w:rPr>
          <w:rFonts w:cs="宋体"/>
          <w:color w:val="000000"/>
          <w:kern w:val="2"/>
          <w:sz w:val="24"/>
          <w:u w:val="none"/>
          <w:lang w:val="zh-CN" w:bidi="zh-CN"/>
        </w:rPr>
        <w:t>k</w:t>
      </w:r>
      <w:r>
        <w:rPr>
          <w:rFonts w:hint="eastAsia" w:cs="宋体"/>
          <w:color w:val="000000"/>
          <w:kern w:val="2"/>
          <w:sz w:val="24"/>
          <w:u w:val="none"/>
          <w:lang w:val="zh-CN" w:bidi="zh-CN"/>
        </w:rPr>
        <w:t>——污染物综合衰减系数，</w:t>
      </w:r>
      <w:r>
        <w:rPr>
          <w:rFonts w:cs="宋体"/>
          <w:color w:val="000000"/>
          <w:kern w:val="2"/>
          <w:sz w:val="24"/>
          <w:u w:val="none"/>
          <w:lang w:val="zh-CN" w:bidi="zh-CN"/>
        </w:rPr>
        <w:t>S</w:t>
      </w:r>
      <w:r>
        <w:rPr>
          <w:rFonts w:cs="宋体"/>
          <w:color w:val="000000"/>
          <w:kern w:val="2"/>
          <w:sz w:val="24"/>
          <w:u w:val="none"/>
          <w:vertAlign w:val="superscript"/>
          <w:lang w:val="zh-CN" w:bidi="zh-CN"/>
        </w:rPr>
        <w:t>-1</w:t>
      </w:r>
      <w:r>
        <w:rPr>
          <w:rFonts w:hint="eastAsia" w:cs="宋体"/>
          <w:color w:val="000000"/>
          <w:kern w:val="2"/>
          <w:sz w:val="24"/>
          <w:u w:val="none"/>
          <w:lang w:val="zh-CN" w:bidi="zh-CN"/>
        </w:rPr>
        <w:t>；</w:t>
      </w:r>
    </w:p>
    <w:p w14:paraId="2BF2532A">
      <w:pPr>
        <w:widowControl/>
        <w:kinsoku w:val="0"/>
        <w:wordWrap w:val="0"/>
        <w:overflowPunct w:val="0"/>
        <w:topLinePunct/>
        <w:autoSpaceDE/>
        <w:autoSpaceDN/>
        <w:spacing w:before="0" w:after="0" w:line="360" w:lineRule="auto"/>
        <w:ind w:left="0" w:right="0" w:firstLine="480" w:firstLineChars="200"/>
        <w:jc w:val="left"/>
        <w:rPr>
          <w:rFonts w:hint="eastAsia" w:cs="宋体"/>
          <w:color w:val="000000"/>
          <w:kern w:val="2"/>
          <w:sz w:val="24"/>
          <w:u w:val="none"/>
          <w:lang w:val="zh-CN" w:bidi="zh-CN"/>
        </w:rPr>
      </w:pPr>
      <w:r>
        <w:rPr>
          <w:rFonts w:cs="宋体"/>
          <w:color w:val="000000"/>
          <w:kern w:val="2"/>
          <w:sz w:val="24"/>
          <w:u w:val="none"/>
          <w:lang w:val="zh-CN" w:bidi="zh-CN"/>
        </w:rPr>
        <w:t>Pe</w:t>
      </w:r>
      <w:r>
        <w:rPr>
          <w:rFonts w:hint="eastAsia" w:cs="宋体"/>
          <w:color w:val="000000"/>
          <w:kern w:val="2"/>
          <w:sz w:val="24"/>
          <w:u w:val="none"/>
          <w:lang w:val="zh-CN" w:bidi="zh-CN"/>
        </w:rPr>
        <w:t>——贝克来数，量纲一，表征物质移流通量与离散通量比值；</w:t>
      </w:r>
    </w:p>
    <w:p w14:paraId="59834CE2">
      <w:pPr>
        <w:widowControl/>
        <w:kinsoku w:val="0"/>
        <w:wordWrap w:val="0"/>
        <w:overflowPunct w:val="0"/>
        <w:topLinePunct/>
        <w:autoSpaceDE/>
        <w:autoSpaceDN/>
        <w:spacing w:before="0" w:after="0" w:line="360" w:lineRule="auto"/>
        <w:ind w:left="0" w:right="0" w:firstLine="480" w:firstLineChars="200"/>
        <w:jc w:val="left"/>
        <w:rPr>
          <w:rFonts w:cs="宋体"/>
          <w:color w:val="000000"/>
          <w:kern w:val="2"/>
          <w:sz w:val="24"/>
          <w:u w:val="none"/>
          <w:lang w:val="zh-CN" w:bidi="zh-CN"/>
        </w:rPr>
      </w:pPr>
      <w:r>
        <w:rPr>
          <w:rFonts w:cs="宋体"/>
          <w:color w:val="000000"/>
          <w:kern w:val="2"/>
          <w:sz w:val="24"/>
          <w:u w:val="none"/>
          <w:lang w:val="zh-CN" w:bidi="zh-CN"/>
        </w:rPr>
        <w:t>U</w:t>
      </w:r>
      <w:r>
        <w:rPr>
          <w:rFonts w:hint="eastAsia" w:cs="宋体"/>
          <w:color w:val="000000"/>
          <w:kern w:val="2"/>
          <w:sz w:val="24"/>
          <w:u w:val="none"/>
          <w:lang w:val="zh-CN" w:bidi="zh-CN"/>
        </w:rPr>
        <w:t>——断面流速，</w:t>
      </w:r>
      <w:r>
        <w:rPr>
          <w:rFonts w:cs="宋体"/>
          <w:color w:val="000000"/>
          <w:kern w:val="2"/>
          <w:sz w:val="24"/>
          <w:u w:val="none"/>
          <w:lang w:val="zh-CN" w:bidi="zh-CN"/>
        </w:rPr>
        <w:t>m/s</w:t>
      </w:r>
      <w:r>
        <w:rPr>
          <w:rFonts w:hint="eastAsia" w:cs="宋体"/>
          <w:color w:val="000000"/>
          <w:kern w:val="2"/>
          <w:sz w:val="24"/>
          <w:u w:val="none"/>
          <w:lang w:val="zh-CN" w:bidi="zh-CN"/>
        </w:rPr>
        <w:t>，</w:t>
      </w:r>
      <w:r>
        <w:rPr>
          <w:rFonts w:hint="eastAsia" w:cs="宋体"/>
          <w:color w:val="000000"/>
          <w:kern w:val="2"/>
          <w:sz w:val="24"/>
          <w:u w:val="none"/>
          <w:lang w:val="en-US" w:eastAsia="zh-CN" w:bidi="zh-CN"/>
        </w:rPr>
        <w:t>果利河</w:t>
      </w:r>
      <w:r>
        <w:rPr>
          <w:rFonts w:hint="eastAsia" w:cs="宋体"/>
          <w:color w:val="000000"/>
          <w:kern w:val="2"/>
          <w:sz w:val="24"/>
          <w:u w:val="none"/>
          <w:lang w:val="zh-CN" w:bidi="zh-CN"/>
        </w:rPr>
        <w:t>取</w:t>
      </w:r>
      <w:r>
        <w:rPr>
          <w:rFonts w:cs="宋体"/>
          <w:color w:val="000000"/>
          <w:kern w:val="2"/>
          <w:sz w:val="24"/>
          <w:u w:val="none"/>
          <w:lang w:val="zh-CN" w:bidi="zh-CN"/>
        </w:rPr>
        <w:t>0.</w:t>
      </w:r>
      <w:r>
        <w:rPr>
          <w:rFonts w:hint="eastAsia" w:cs="宋体"/>
          <w:color w:val="000000"/>
          <w:kern w:val="2"/>
          <w:sz w:val="24"/>
          <w:u w:val="none"/>
          <w:lang w:val="en-US" w:bidi="zh-CN"/>
        </w:rPr>
        <w:t>1</w:t>
      </w:r>
      <w:r>
        <w:rPr>
          <w:rFonts w:cs="宋体"/>
          <w:color w:val="000000"/>
          <w:kern w:val="2"/>
          <w:sz w:val="24"/>
          <w:u w:val="none"/>
          <w:lang w:val="zh-CN" w:bidi="zh-CN"/>
        </w:rPr>
        <w:t>m/s</w:t>
      </w:r>
      <w:r>
        <w:rPr>
          <w:rFonts w:hint="eastAsia" w:cs="宋体"/>
          <w:color w:val="000000"/>
          <w:kern w:val="2"/>
          <w:sz w:val="24"/>
          <w:u w:val="none"/>
          <w:lang w:val="zh-CN" w:bidi="zh-CN"/>
        </w:rPr>
        <w:t>；</w:t>
      </w:r>
    </w:p>
    <w:p w14:paraId="23CD32A9">
      <w:pPr>
        <w:widowControl/>
        <w:kinsoku w:val="0"/>
        <w:wordWrap w:val="0"/>
        <w:overflowPunct w:val="0"/>
        <w:topLinePunct/>
        <w:autoSpaceDE/>
        <w:autoSpaceDN/>
        <w:spacing w:before="0" w:after="0" w:line="360" w:lineRule="auto"/>
        <w:ind w:left="0" w:right="0" w:firstLine="480" w:firstLineChars="200"/>
        <w:jc w:val="left"/>
        <w:rPr>
          <w:rFonts w:hint="eastAsia" w:cs="宋体"/>
          <w:color w:val="000000"/>
          <w:kern w:val="2"/>
          <w:sz w:val="24"/>
          <w:highlight w:val="none"/>
          <w:u w:val="none"/>
          <w:lang w:val="zh-CN" w:bidi="zh-CN"/>
        </w:rPr>
      </w:pPr>
      <w:r>
        <w:rPr>
          <w:rFonts w:cs="宋体"/>
          <w:color w:val="000000"/>
          <w:kern w:val="2"/>
          <w:sz w:val="24"/>
          <w:u w:val="none"/>
          <w:lang w:val="zh-CN" w:bidi="zh-CN"/>
        </w:rPr>
        <w:t>Ex</w:t>
      </w:r>
      <w:r>
        <w:rPr>
          <w:rFonts w:hint="eastAsia" w:cs="宋体"/>
          <w:color w:val="000000"/>
          <w:kern w:val="2"/>
          <w:sz w:val="24"/>
          <w:u w:val="none"/>
          <w:lang w:val="zh-CN" w:bidi="zh-CN"/>
        </w:rPr>
        <w:t>——污染物纵向扩散系数，</w:t>
      </w:r>
      <w:r>
        <w:rPr>
          <w:rFonts w:cs="宋体"/>
          <w:color w:val="000000"/>
          <w:kern w:val="2"/>
          <w:sz w:val="24"/>
          <w:u w:val="none"/>
          <w:lang w:val="zh-CN" w:bidi="zh-CN"/>
        </w:rPr>
        <w:t>m</w:t>
      </w:r>
      <w:r>
        <w:rPr>
          <w:rFonts w:cs="宋体"/>
          <w:color w:val="000000"/>
          <w:kern w:val="2"/>
          <w:sz w:val="24"/>
          <w:u w:val="none"/>
          <w:vertAlign w:val="superscript"/>
          <w:lang w:val="zh-CN" w:bidi="zh-CN"/>
        </w:rPr>
        <w:t>2</w:t>
      </w:r>
      <w:r>
        <w:rPr>
          <w:rFonts w:cs="宋体"/>
          <w:color w:val="000000"/>
          <w:kern w:val="2"/>
          <w:sz w:val="24"/>
          <w:u w:val="none"/>
          <w:lang w:val="zh-CN" w:bidi="zh-CN"/>
        </w:rPr>
        <w:t>/s</w:t>
      </w:r>
      <w:r>
        <w:rPr>
          <w:rFonts w:hint="eastAsia" w:cs="宋体"/>
          <w:color w:val="000000"/>
          <w:kern w:val="2"/>
          <w:sz w:val="24"/>
          <w:u w:val="none"/>
          <w:lang w:val="zh-CN" w:bidi="zh-CN"/>
        </w:rPr>
        <w:t>，用爱尔德（</w:t>
      </w:r>
      <w:r>
        <w:rPr>
          <w:rFonts w:cs="宋体"/>
          <w:color w:val="000000"/>
          <w:kern w:val="2"/>
          <w:sz w:val="24"/>
          <w:u w:val="none"/>
          <w:lang w:val="zh-CN" w:bidi="zh-CN"/>
        </w:rPr>
        <w:t>Elder</w:t>
      </w:r>
      <w:r>
        <w:rPr>
          <w:rFonts w:hint="eastAsia" w:cs="宋体"/>
          <w:color w:val="000000"/>
          <w:kern w:val="2"/>
          <w:sz w:val="24"/>
          <w:u w:val="none"/>
          <w:lang w:val="zh-CN" w:bidi="zh-CN"/>
        </w:rPr>
        <w:t>）法求</w:t>
      </w:r>
      <w:r>
        <w:rPr>
          <w:rFonts w:cs="宋体"/>
          <w:color w:val="000000"/>
          <w:kern w:val="2"/>
          <w:sz w:val="24"/>
          <w:highlight w:val="none"/>
          <w:u w:val="none"/>
          <w:lang w:val="zh-CN" w:bidi="zh-CN"/>
        </w:rPr>
        <w:t>E</w:t>
      </w:r>
      <w:r>
        <w:rPr>
          <w:rFonts w:cs="宋体"/>
          <w:color w:val="000000"/>
          <w:kern w:val="2"/>
          <w:sz w:val="24"/>
          <w:highlight w:val="none"/>
          <w:u w:val="none"/>
          <w:vertAlign w:val="subscript"/>
          <w:lang w:val="zh-CN" w:bidi="zh-CN"/>
        </w:rPr>
        <w:t>x</w:t>
      </w:r>
      <w:r>
        <w:rPr>
          <w:rFonts w:hint="eastAsia" w:cs="宋体"/>
          <w:color w:val="000000"/>
          <w:kern w:val="2"/>
          <w:sz w:val="24"/>
          <w:highlight w:val="none"/>
          <w:u w:val="none"/>
          <w:lang w:val="zh-CN" w:bidi="zh-CN"/>
        </w:rPr>
        <w:t>，</w:t>
      </w:r>
    </w:p>
    <w:p w14:paraId="63B16127">
      <w:pPr>
        <w:widowControl/>
        <w:kinsoku w:val="0"/>
        <w:wordWrap w:val="0"/>
        <w:overflowPunct w:val="0"/>
        <w:topLinePunct/>
        <w:autoSpaceDE/>
        <w:autoSpaceDN/>
        <w:spacing w:before="0" w:after="0" w:line="360" w:lineRule="auto"/>
        <w:ind w:left="0" w:right="0" w:firstLine="560" w:firstLineChars="200"/>
        <w:jc w:val="center"/>
        <w:rPr>
          <w:rFonts w:hint="eastAsia" w:cs="宋体"/>
          <w:color w:val="000000"/>
          <w:kern w:val="2"/>
          <w:sz w:val="28"/>
          <w:szCs w:val="28"/>
          <w:highlight w:val="none"/>
          <w:u w:val="none"/>
          <w:lang w:val="zh-CN" w:bidi="zh-CN"/>
        </w:rPr>
      </w:pPr>
      <w:r>
        <w:rPr>
          <w:rFonts w:cs="宋体"/>
          <w:color w:val="000000"/>
          <w:kern w:val="2"/>
          <w:sz w:val="28"/>
          <w:szCs w:val="28"/>
          <w:highlight w:val="none"/>
          <w:u w:val="none"/>
          <w:lang w:val="zh-CN" w:bidi="zh-CN"/>
        </w:rPr>
        <w:t>E</w:t>
      </w:r>
      <w:r>
        <w:rPr>
          <w:rFonts w:cs="宋体"/>
          <w:color w:val="000000"/>
          <w:kern w:val="2"/>
          <w:sz w:val="28"/>
          <w:szCs w:val="28"/>
          <w:highlight w:val="none"/>
          <w:u w:val="none"/>
          <w:vertAlign w:val="subscript"/>
          <w:lang w:val="zh-CN" w:bidi="zh-CN"/>
        </w:rPr>
        <w:t>x</w:t>
      </w:r>
      <w:r>
        <w:rPr>
          <w:rFonts w:cs="宋体"/>
          <w:color w:val="000000"/>
          <w:kern w:val="2"/>
          <w:sz w:val="28"/>
          <w:szCs w:val="28"/>
          <w:highlight w:val="none"/>
          <w:u w:val="none"/>
          <w:lang w:val="zh-CN" w:bidi="zh-CN"/>
        </w:rPr>
        <w:t>=5.93H(gH</w:t>
      </w:r>
      <w:r>
        <w:rPr>
          <w:rFonts w:hint="eastAsia" w:cs="宋体"/>
          <w:color w:val="000000"/>
          <w:kern w:val="2"/>
          <w:sz w:val="28"/>
          <w:szCs w:val="28"/>
          <w:highlight w:val="none"/>
          <w:u w:val="none"/>
          <w:lang w:val="en-US" w:bidi="zh-CN"/>
        </w:rPr>
        <w:t>J</w:t>
      </w:r>
      <w:r>
        <w:rPr>
          <w:rFonts w:cs="宋体"/>
          <w:color w:val="000000"/>
          <w:kern w:val="2"/>
          <w:sz w:val="28"/>
          <w:szCs w:val="28"/>
          <w:highlight w:val="none"/>
          <w:u w:val="none"/>
          <w:lang w:val="zh-CN" w:bidi="zh-CN"/>
        </w:rPr>
        <w:t>)</w:t>
      </w:r>
      <w:r>
        <w:rPr>
          <w:rFonts w:cs="宋体"/>
          <w:color w:val="000000"/>
          <w:kern w:val="2"/>
          <w:sz w:val="28"/>
          <w:szCs w:val="28"/>
          <w:highlight w:val="none"/>
          <w:u w:val="none"/>
          <w:vertAlign w:val="superscript"/>
          <w:lang w:val="zh-CN" w:bidi="zh-CN"/>
        </w:rPr>
        <w:t>1/2</w:t>
      </w:r>
      <w:r>
        <w:rPr>
          <w:rFonts w:hint="eastAsia" w:cs="宋体"/>
          <w:color w:val="000000"/>
          <w:kern w:val="2"/>
          <w:sz w:val="28"/>
          <w:szCs w:val="28"/>
          <w:highlight w:val="none"/>
          <w:u w:val="none"/>
          <w:lang w:val="zh-CN" w:bidi="zh-CN"/>
        </w:rPr>
        <w:t>，</w:t>
      </w:r>
    </w:p>
    <w:p w14:paraId="3466D0BB">
      <w:pPr>
        <w:widowControl/>
        <w:kinsoku w:val="0"/>
        <w:wordWrap w:val="0"/>
        <w:overflowPunct w:val="0"/>
        <w:topLinePunct/>
        <w:autoSpaceDE/>
        <w:autoSpaceDN/>
        <w:spacing w:before="0" w:after="0" w:line="360" w:lineRule="auto"/>
        <w:ind w:left="0" w:right="0" w:firstLine="480" w:firstLineChars="200"/>
        <w:jc w:val="left"/>
        <w:rPr>
          <w:rFonts w:hint="eastAsia" w:cs="宋体"/>
          <w:color w:val="000000"/>
          <w:kern w:val="2"/>
          <w:sz w:val="24"/>
          <w:highlight w:val="none"/>
          <w:u w:val="none"/>
          <w:lang w:val="zh-CN" w:bidi="zh-CN"/>
        </w:rPr>
      </w:pPr>
      <w:r>
        <w:rPr>
          <w:rFonts w:hint="eastAsia" w:cs="宋体"/>
          <w:color w:val="000000"/>
          <w:kern w:val="2"/>
          <w:sz w:val="24"/>
          <w:highlight w:val="none"/>
          <w:u w:val="none"/>
          <w:lang w:val="zh-CN" w:bidi="zh-CN"/>
        </w:rPr>
        <w:t>式中：</w:t>
      </w:r>
    </w:p>
    <w:p w14:paraId="282EF193">
      <w:pPr>
        <w:widowControl/>
        <w:kinsoku w:val="0"/>
        <w:wordWrap w:val="0"/>
        <w:overflowPunct w:val="0"/>
        <w:topLinePunct/>
        <w:autoSpaceDE/>
        <w:autoSpaceDN/>
        <w:spacing w:before="0" w:after="0" w:line="360" w:lineRule="auto"/>
        <w:ind w:left="0" w:right="0" w:firstLine="960" w:firstLineChars="400"/>
        <w:jc w:val="left"/>
        <w:rPr>
          <w:rFonts w:hint="eastAsia" w:cs="宋体"/>
          <w:color w:val="000000"/>
          <w:kern w:val="2"/>
          <w:sz w:val="24"/>
          <w:highlight w:val="none"/>
          <w:u w:val="none"/>
          <w:lang w:val="zh-CN" w:bidi="zh-CN"/>
        </w:rPr>
      </w:pPr>
      <w:r>
        <w:rPr>
          <w:rFonts w:hint="eastAsia" w:cs="宋体"/>
          <w:color w:val="000000"/>
          <w:kern w:val="2"/>
          <w:sz w:val="24"/>
          <w:highlight w:val="none"/>
          <w:u w:val="none"/>
          <w:lang w:val="zh-CN" w:bidi="zh-CN"/>
        </w:rPr>
        <w:t>Ex—污染物纵向扩散系数，m</w:t>
      </w:r>
      <w:r>
        <w:rPr>
          <w:rFonts w:hint="eastAsia" w:cs="宋体"/>
          <w:color w:val="000000"/>
          <w:kern w:val="2"/>
          <w:sz w:val="24"/>
          <w:highlight w:val="none"/>
          <w:u w:val="none"/>
          <w:vertAlign w:val="superscript"/>
          <w:lang w:val="zh-CN" w:bidi="zh-CN"/>
        </w:rPr>
        <w:t>2</w:t>
      </w:r>
      <w:r>
        <w:rPr>
          <w:rFonts w:hint="eastAsia" w:cs="宋体"/>
          <w:color w:val="000000"/>
          <w:kern w:val="2"/>
          <w:sz w:val="24"/>
          <w:highlight w:val="none"/>
          <w:u w:val="none"/>
          <w:lang w:val="zh-CN" w:bidi="zh-CN"/>
        </w:rPr>
        <w:t>/s；</w:t>
      </w:r>
    </w:p>
    <w:p w14:paraId="31EF2E10">
      <w:pPr>
        <w:widowControl/>
        <w:kinsoku w:val="0"/>
        <w:wordWrap w:val="0"/>
        <w:overflowPunct w:val="0"/>
        <w:topLinePunct/>
        <w:autoSpaceDE/>
        <w:autoSpaceDN/>
        <w:spacing w:before="0" w:after="0" w:line="360" w:lineRule="auto"/>
        <w:ind w:left="0" w:right="0" w:firstLine="960" w:firstLineChars="400"/>
        <w:jc w:val="left"/>
        <w:rPr>
          <w:rFonts w:hint="eastAsia" w:cs="宋体"/>
          <w:color w:val="000000"/>
          <w:kern w:val="2"/>
          <w:sz w:val="24"/>
          <w:highlight w:val="none"/>
          <w:u w:val="none"/>
          <w:lang w:val="zh-CN" w:bidi="zh-CN"/>
        </w:rPr>
      </w:pPr>
      <w:r>
        <w:rPr>
          <w:rFonts w:hint="eastAsia" w:cs="宋体"/>
          <w:color w:val="000000"/>
          <w:kern w:val="2"/>
          <w:sz w:val="24"/>
          <w:highlight w:val="none"/>
          <w:u w:val="none"/>
          <w:lang w:val="zh-CN" w:bidi="zh-CN"/>
        </w:rPr>
        <w:t>H—河道断面平均水深，m；</w:t>
      </w:r>
    </w:p>
    <w:p w14:paraId="6845D3A7">
      <w:pPr>
        <w:widowControl/>
        <w:kinsoku w:val="0"/>
        <w:wordWrap w:val="0"/>
        <w:overflowPunct w:val="0"/>
        <w:topLinePunct/>
        <w:autoSpaceDE/>
        <w:autoSpaceDN/>
        <w:spacing w:before="0" w:after="0" w:line="360" w:lineRule="auto"/>
        <w:ind w:left="0" w:right="0" w:firstLine="960" w:firstLineChars="400"/>
        <w:jc w:val="left"/>
        <w:rPr>
          <w:rFonts w:hint="eastAsia" w:cs="宋体"/>
          <w:color w:val="000000"/>
          <w:kern w:val="2"/>
          <w:sz w:val="24"/>
          <w:highlight w:val="none"/>
          <w:u w:val="none"/>
          <w:lang w:val="zh-CN" w:bidi="zh-CN"/>
        </w:rPr>
      </w:pPr>
      <w:r>
        <w:rPr>
          <w:rFonts w:hint="eastAsia" w:cs="宋体"/>
          <w:color w:val="000000"/>
          <w:kern w:val="2"/>
          <w:sz w:val="24"/>
          <w:highlight w:val="none"/>
          <w:u w:val="none"/>
          <w:lang w:val="zh-CN" w:bidi="zh-CN"/>
        </w:rPr>
        <w:t>g—重力加速度，m/s</w:t>
      </w:r>
      <w:r>
        <w:rPr>
          <w:rFonts w:hint="eastAsia" w:cs="宋体"/>
          <w:color w:val="000000"/>
          <w:kern w:val="2"/>
          <w:sz w:val="24"/>
          <w:highlight w:val="none"/>
          <w:u w:val="none"/>
          <w:vertAlign w:val="superscript"/>
          <w:lang w:val="zh-CN" w:bidi="zh-CN"/>
        </w:rPr>
        <w:t>2</w:t>
      </w:r>
      <w:r>
        <w:rPr>
          <w:rFonts w:hint="eastAsia" w:cs="宋体"/>
          <w:color w:val="000000"/>
          <w:kern w:val="2"/>
          <w:sz w:val="24"/>
          <w:highlight w:val="none"/>
          <w:u w:val="none"/>
          <w:lang w:val="zh-CN" w:bidi="zh-CN"/>
        </w:rPr>
        <w:t>；</w:t>
      </w:r>
    </w:p>
    <w:p w14:paraId="4D30A6D4">
      <w:pPr>
        <w:widowControl/>
        <w:kinsoku w:val="0"/>
        <w:wordWrap w:val="0"/>
        <w:overflowPunct w:val="0"/>
        <w:topLinePunct/>
        <w:autoSpaceDE/>
        <w:autoSpaceDN/>
        <w:spacing w:before="0" w:after="0" w:line="360" w:lineRule="auto"/>
        <w:ind w:left="0" w:right="0" w:firstLine="960" w:firstLineChars="400"/>
        <w:jc w:val="left"/>
        <w:rPr>
          <w:rFonts w:hint="eastAsia" w:cs="宋体"/>
          <w:color w:val="000000"/>
          <w:kern w:val="2"/>
          <w:sz w:val="24"/>
          <w:highlight w:val="none"/>
          <w:u w:val="none"/>
          <w:lang w:val="zh-CN" w:bidi="zh-CN"/>
        </w:rPr>
      </w:pPr>
      <w:r>
        <w:rPr>
          <w:rFonts w:hint="eastAsia" w:cs="宋体"/>
          <w:color w:val="000000"/>
          <w:kern w:val="2"/>
          <w:sz w:val="24"/>
          <w:highlight w:val="none"/>
          <w:u w:val="none"/>
          <w:lang w:val="zh-CN" w:bidi="zh-CN"/>
        </w:rPr>
        <w:t>J—河流水力比降，‰；</w:t>
      </w:r>
    </w:p>
    <w:p w14:paraId="42582A5C">
      <w:pPr>
        <w:widowControl/>
        <w:kinsoku w:val="0"/>
        <w:wordWrap w:val="0"/>
        <w:overflowPunct w:val="0"/>
        <w:topLinePunct/>
        <w:autoSpaceDE/>
        <w:autoSpaceDN/>
        <w:spacing w:before="0" w:after="0" w:line="360" w:lineRule="auto"/>
        <w:ind w:left="0" w:right="0" w:firstLine="960" w:firstLineChars="400"/>
        <w:jc w:val="left"/>
        <w:rPr>
          <w:rFonts w:cs="宋体"/>
          <w:color w:val="000000"/>
          <w:kern w:val="2"/>
          <w:sz w:val="24"/>
          <w:highlight w:val="none"/>
          <w:u w:val="none"/>
          <w:lang w:val="zh-CN" w:bidi="zh-CN"/>
        </w:rPr>
      </w:pPr>
      <w:r>
        <w:rPr>
          <w:rFonts w:hint="eastAsia" w:cs="宋体"/>
          <w:color w:val="000000"/>
          <w:kern w:val="2"/>
          <w:sz w:val="24"/>
          <w:highlight w:val="none"/>
          <w:u w:val="none"/>
          <w:lang w:val="zh-CN" w:bidi="zh-CN"/>
        </w:rPr>
        <w:t>求得</w:t>
      </w:r>
      <w:r>
        <w:rPr>
          <w:rFonts w:hint="eastAsia" w:cs="宋体"/>
          <w:color w:val="000000"/>
          <w:kern w:val="2"/>
          <w:sz w:val="24"/>
          <w:highlight w:val="none"/>
          <w:u w:val="none"/>
          <w:lang w:val="en-US" w:bidi="zh-CN"/>
        </w:rPr>
        <w:t>果利河</w:t>
      </w:r>
      <w:r>
        <w:rPr>
          <w:rFonts w:cs="宋体"/>
          <w:color w:val="000000"/>
          <w:kern w:val="2"/>
          <w:sz w:val="28"/>
          <w:szCs w:val="28"/>
          <w:highlight w:val="none"/>
          <w:u w:val="none"/>
          <w:lang w:val="zh-CN" w:bidi="zh-CN"/>
        </w:rPr>
        <w:t>E</w:t>
      </w:r>
      <w:r>
        <w:rPr>
          <w:rFonts w:cs="宋体"/>
          <w:color w:val="000000"/>
          <w:kern w:val="2"/>
          <w:sz w:val="28"/>
          <w:szCs w:val="28"/>
          <w:highlight w:val="none"/>
          <w:u w:val="none"/>
          <w:vertAlign w:val="subscript"/>
          <w:lang w:val="zh-CN" w:bidi="zh-CN"/>
        </w:rPr>
        <w:t>x</w:t>
      </w:r>
      <w:r>
        <w:rPr>
          <w:rFonts w:hint="eastAsia" w:cs="宋体"/>
          <w:color w:val="000000"/>
          <w:kern w:val="2"/>
          <w:sz w:val="24"/>
          <w:highlight w:val="none"/>
          <w:u w:val="none"/>
          <w:lang w:val="zh-CN" w:bidi="zh-CN"/>
        </w:rPr>
        <w:t>为</w:t>
      </w:r>
      <w:r>
        <w:rPr>
          <w:rFonts w:hint="eastAsia" w:cs="宋体"/>
          <w:color w:val="000000"/>
          <w:kern w:val="2"/>
          <w:sz w:val="24"/>
          <w:highlight w:val="none"/>
          <w:u w:val="none"/>
          <w:lang w:val="en-US" w:eastAsia="zh-CN" w:bidi="zh-CN"/>
        </w:rPr>
        <w:t>1.24</w:t>
      </w:r>
      <w:r>
        <w:rPr>
          <w:rFonts w:cs="宋体"/>
          <w:color w:val="000000"/>
          <w:kern w:val="2"/>
          <w:sz w:val="24"/>
          <w:highlight w:val="none"/>
          <w:u w:val="none"/>
          <w:lang w:val="zh-CN" w:bidi="zh-CN"/>
        </w:rPr>
        <w:t>m</w:t>
      </w:r>
      <w:r>
        <w:rPr>
          <w:rFonts w:cs="宋体"/>
          <w:color w:val="000000"/>
          <w:kern w:val="2"/>
          <w:sz w:val="24"/>
          <w:highlight w:val="none"/>
          <w:u w:val="none"/>
          <w:vertAlign w:val="superscript"/>
          <w:lang w:val="zh-CN" w:bidi="zh-CN"/>
        </w:rPr>
        <w:t>2</w:t>
      </w:r>
      <w:r>
        <w:rPr>
          <w:rFonts w:cs="宋体"/>
          <w:color w:val="000000"/>
          <w:kern w:val="2"/>
          <w:sz w:val="24"/>
          <w:highlight w:val="none"/>
          <w:u w:val="none"/>
          <w:lang w:val="zh-CN" w:bidi="zh-CN"/>
        </w:rPr>
        <w:t>/s</w:t>
      </w:r>
      <w:r>
        <w:rPr>
          <w:rFonts w:hint="eastAsia" w:cs="宋体"/>
          <w:color w:val="000000"/>
          <w:kern w:val="2"/>
          <w:sz w:val="24"/>
          <w:highlight w:val="none"/>
          <w:u w:val="none"/>
          <w:lang w:val="zh-CN" w:bidi="zh-CN"/>
        </w:rPr>
        <w:t>。</w:t>
      </w:r>
    </w:p>
    <w:p w14:paraId="5907E728">
      <w:pPr>
        <w:widowControl/>
        <w:kinsoku w:val="0"/>
        <w:wordWrap w:val="0"/>
        <w:overflowPunct w:val="0"/>
        <w:topLinePunct/>
        <w:autoSpaceDE/>
        <w:autoSpaceDN/>
        <w:spacing w:before="0" w:after="0" w:line="360" w:lineRule="auto"/>
        <w:ind w:left="0" w:right="0" w:firstLine="480" w:firstLineChars="200"/>
        <w:jc w:val="left"/>
        <w:rPr>
          <w:rFonts w:hint="eastAsia" w:ascii="Times New Roman" w:hAnsi="Times New Roman" w:eastAsia="宋体" w:cs="Times New Roman"/>
          <w:kern w:val="2"/>
          <w:sz w:val="24"/>
          <w:szCs w:val="24"/>
          <w:u w:val="single"/>
          <w:lang w:val="en-US" w:eastAsia="zh-CN" w:bidi="zh-CN"/>
        </w:rPr>
      </w:pPr>
      <w:r>
        <w:rPr>
          <w:rFonts w:hint="default" w:ascii="Times New Roman" w:hAnsi="Times New Roman" w:eastAsia="宋体" w:cs="Times New Roman"/>
          <w:kern w:val="2"/>
          <w:sz w:val="24"/>
          <w:szCs w:val="24"/>
          <w:u w:val="single"/>
          <w:lang w:val="en-US" w:eastAsia="zh-CN" w:bidi="zh-CN"/>
        </w:rPr>
        <w:t>COD、NH</w:t>
      </w:r>
      <w:r>
        <w:rPr>
          <w:rFonts w:hint="default" w:ascii="Times New Roman" w:hAnsi="Times New Roman" w:eastAsia="宋体" w:cs="Times New Roman"/>
          <w:kern w:val="2"/>
          <w:sz w:val="24"/>
          <w:szCs w:val="24"/>
          <w:u w:val="single"/>
          <w:vertAlign w:val="subscript"/>
          <w:lang w:val="en-US" w:eastAsia="zh-CN" w:bidi="zh-CN"/>
        </w:rPr>
        <w:t>3</w:t>
      </w:r>
      <w:r>
        <w:rPr>
          <w:rFonts w:hint="default" w:ascii="Times New Roman" w:hAnsi="Times New Roman" w:eastAsia="宋体" w:cs="Times New Roman"/>
          <w:kern w:val="2"/>
          <w:sz w:val="24"/>
          <w:szCs w:val="24"/>
          <w:u w:val="single"/>
          <w:lang w:val="en-US" w:eastAsia="zh-CN" w:bidi="zh-CN"/>
        </w:rPr>
        <w:t>-N</w:t>
      </w:r>
      <w:r>
        <w:rPr>
          <w:rFonts w:hint="eastAsia" w:cs="Times New Roman"/>
          <w:kern w:val="2"/>
          <w:sz w:val="24"/>
          <w:szCs w:val="24"/>
          <w:u w:val="single"/>
          <w:lang w:val="en-US" w:eastAsia="zh-CN" w:bidi="zh-CN"/>
        </w:rPr>
        <w:t>、TP</w:t>
      </w:r>
      <w:r>
        <w:rPr>
          <w:rFonts w:hint="default" w:ascii="Times New Roman" w:hAnsi="Times New Roman" w:eastAsia="宋体" w:cs="Times New Roman"/>
          <w:kern w:val="2"/>
          <w:sz w:val="24"/>
          <w:szCs w:val="24"/>
          <w:u w:val="single"/>
          <w:lang w:val="en-US" w:eastAsia="zh-CN" w:bidi="zh-CN"/>
        </w:rPr>
        <w:t>的污染物综合衰减系数，根据《水域纳污能力计算规程》（GB/T25173-2010）5.6.2章节采用“分析借用法”，参照中国环境规划院的《全国地表水水环境容量核定技术复核要点》（2004年）提出的“一般河道水质降解系数参考值”，根据项目入河排污口所在河道规模及水质及水生态环境状况</w:t>
      </w:r>
      <w:r>
        <w:rPr>
          <w:rFonts w:hint="eastAsia" w:ascii="Times New Roman" w:hAnsi="Times New Roman" w:eastAsia="宋体" w:cs="Times New Roman"/>
          <w:kern w:val="2"/>
          <w:sz w:val="24"/>
          <w:szCs w:val="24"/>
          <w:u w:val="single"/>
          <w:lang w:val="en-US" w:eastAsia="zh-CN" w:bidi="zh-CN"/>
        </w:rPr>
        <w:t>，</w:t>
      </w:r>
      <w:r>
        <w:rPr>
          <w:rFonts w:hint="default" w:ascii="Times New Roman" w:hAnsi="Times New Roman" w:eastAsia="宋体" w:cs="Times New Roman"/>
          <w:kern w:val="2"/>
          <w:sz w:val="24"/>
          <w:szCs w:val="24"/>
          <w:u w:val="single"/>
          <w:lang w:val="en-US" w:eastAsia="zh-CN" w:bidi="zh-CN"/>
        </w:rPr>
        <w:t>河流污染物综合衰减系数COD</w:t>
      </w:r>
      <w:r>
        <w:rPr>
          <w:rFonts w:hint="default" w:ascii="Times New Roman" w:hAnsi="Times New Roman" w:eastAsia="宋体" w:cs="Times New Roman"/>
          <w:kern w:val="2"/>
          <w:sz w:val="24"/>
          <w:szCs w:val="24"/>
          <w:u w:val="single"/>
          <w:vertAlign w:val="subscript"/>
          <w:lang w:val="en-US" w:eastAsia="zh-CN" w:bidi="zh-CN"/>
        </w:rPr>
        <w:t>Cr</w:t>
      </w:r>
      <w:r>
        <w:rPr>
          <w:rFonts w:hint="default" w:ascii="Times New Roman" w:hAnsi="Times New Roman" w:eastAsia="宋体" w:cs="Times New Roman"/>
          <w:kern w:val="2"/>
          <w:sz w:val="24"/>
          <w:szCs w:val="24"/>
          <w:u w:val="single"/>
          <w:lang w:val="en-US" w:eastAsia="zh-CN" w:bidi="zh-CN"/>
        </w:rPr>
        <w:t>、NH</w:t>
      </w:r>
      <w:r>
        <w:rPr>
          <w:rFonts w:hint="default" w:ascii="Times New Roman" w:hAnsi="Times New Roman" w:eastAsia="宋体" w:cs="Times New Roman"/>
          <w:kern w:val="2"/>
          <w:sz w:val="24"/>
          <w:szCs w:val="24"/>
          <w:u w:val="single"/>
          <w:vertAlign w:val="subscript"/>
          <w:lang w:val="en-US" w:eastAsia="zh-CN" w:bidi="zh-CN"/>
        </w:rPr>
        <w:t>3</w:t>
      </w:r>
      <w:r>
        <w:rPr>
          <w:rFonts w:hint="default" w:ascii="Times New Roman" w:hAnsi="Times New Roman" w:eastAsia="宋体" w:cs="Times New Roman"/>
          <w:kern w:val="2"/>
          <w:sz w:val="24"/>
          <w:szCs w:val="24"/>
          <w:u w:val="single"/>
          <w:lang w:val="en-US" w:eastAsia="zh-CN" w:bidi="zh-CN"/>
        </w:rPr>
        <w:t>-N的k值分别取0.18</w:t>
      </w:r>
      <w:r>
        <w:rPr>
          <w:rFonts w:hint="eastAsia" w:ascii="Times New Roman" w:hAnsi="Times New Roman" w:eastAsia="宋体" w:cs="Times New Roman"/>
          <w:kern w:val="2"/>
          <w:sz w:val="24"/>
          <w:szCs w:val="24"/>
          <w:u w:val="single"/>
          <w:lang w:val="en-US" w:eastAsia="zh-CN" w:bidi="zh-CN"/>
        </w:rPr>
        <w:t>（1/d）</w:t>
      </w:r>
      <w:r>
        <w:rPr>
          <w:rFonts w:hint="default" w:ascii="Times New Roman" w:hAnsi="Times New Roman" w:eastAsia="宋体" w:cs="Times New Roman"/>
          <w:kern w:val="2"/>
          <w:sz w:val="24"/>
          <w:szCs w:val="24"/>
          <w:u w:val="single"/>
          <w:lang w:val="en-US" w:eastAsia="zh-CN" w:bidi="zh-CN"/>
        </w:rPr>
        <w:t>、0.1</w:t>
      </w:r>
      <w:r>
        <w:rPr>
          <w:rFonts w:hint="eastAsia" w:ascii="Times New Roman" w:hAnsi="Times New Roman" w:eastAsia="宋体" w:cs="Times New Roman"/>
          <w:kern w:val="2"/>
          <w:sz w:val="24"/>
          <w:szCs w:val="24"/>
          <w:u w:val="single"/>
          <w:lang w:val="en-US" w:eastAsia="zh-CN" w:bidi="zh-CN"/>
        </w:rPr>
        <w:t>5（1/d）。TP的污染物综合衰减系数，根据《水域纳污能力计算规程》（GB/T 25173-2010）5.6.2章节采用“实测法”计算。</w:t>
      </w:r>
    </w:p>
    <w:p w14:paraId="0846D875">
      <w:pPr>
        <w:pStyle w:val="122"/>
        <w:bidi w:val="0"/>
        <w:ind w:firstLine="4080" w:firstLineChars="1700"/>
        <w:rPr>
          <w:rFonts w:hint="default"/>
          <w:lang w:val="en-US" w:eastAsia="zh-CN"/>
        </w:rPr>
      </w:pPr>
      <w:r>
        <w:rPr>
          <w:rFonts w:hint="default" w:ascii="Times New Roman" w:hAnsi="Times New Roman" w:cs="Times New Roman"/>
          <w:position w:val="-30"/>
          <w:lang w:val="en-US" w:eastAsia="zh-CN"/>
        </w:rPr>
        <w:object>
          <v:shape id="_x0000_i1025" o:spt="75" type="#_x0000_t75" style="height:51.15pt;width:99.25pt;" o:ole="t" filled="f" o:preferrelative="t" stroked="f" coordsize="21600,21600">
            <v:path/>
            <v:fill on="f" focussize="0,0"/>
            <v:stroke on="f"/>
            <v:imagedata r:id="rId34" o:title=""/>
            <o:lock v:ext="edit" aspectratio="t"/>
            <w10:wrap type="none"/>
            <w10:anchorlock/>
          </v:shape>
          <o:OLEObject Type="Embed" ProgID="Equation.KSEE3" ShapeID="_x0000_i1025" DrawAspect="Content" ObjectID="_1468075725" r:id="rId33">
            <o:LockedField>false</o:LockedField>
          </o:OLEObject>
        </w:object>
      </w:r>
    </w:p>
    <w:p w14:paraId="7C0D51CF">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snapToGrid w:val="0"/>
          <w:color w:val="000000"/>
          <w:kern w:val="0"/>
          <w:sz w:val="24"/>
          <w:szCs w:val="24"/>
          <w:lang w:val="en-US" w:eastAsia="zh-CN" w:bidi="ar"/>
        </w:rPr>
      </w:pPr>
      <w:r>
        <w:rPr>
          <w:rFonts w:hint="eastAsia" w:ascii="Times New Roman" w:hAnsi="Times New Roman" w:eastAsia="宋体" w:cs="Times New Roman"/>
          <w:snapToGrid w:val="0"/>
          <w:color w:val="000000"/>
          <w:kern w:val="0"/>
          <w:sz w:val="24"/>
          <w:szCs w:val="24"/>
          <w:lang w:val="en-US" w:eastAsia="zh-CN" w:bidi="ar"/>
        </w:rPr>
        <w:t>式中：</w:t>
      </w:r>
    </w:p>
    <w:p w14:paraId="1B4CA63E">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pPr>
      <w:r>
        <w:rPr>
          <w:rFonts w:hint="default" w:ascii="Times New Roman" w:hAnsi="Times New Roman" w:eastAsia="宋体" w:cs="Times New Roman"/>
          <w:i/>
          <w:iCs/>
          <w:snapToGrid w:val="0"/>
          <w:color w:val="000000"/>
          <w:kern w:val="0"/>
          <w:sz w:val="24"/>
          <w:szCs w:val="24"/>
          <w:lang w:val="en-US" w:eastAsia="zh-CN" w:bidi="ar"/>
        </w:rPr>
        <w:t>K</w:t>
      </w:r>
      <w:r>
        <w:rPr>
          <w:rFonts w:hint="default" w:ascii="Times New Roman" w:hAnsi="Times New Roman" w:eastAsia="宋体" w:cs="Times New Roman"/>
          <w:snapToGrid w:val="0"/>
          <w:color w:val="000000"/>
          <w:kern w:val="0"/>
          <w:sz w:val="24"/>
          <w:szCs w:val="24"/>
          <w:lang w:val="en-US" w:eastAsia="zh-CN" w:bidi="ar"/>
        </w:rPr>
        <w:t>—</w:t>
      </w:r>
      <w:r>
        <w:rPr>
          <w:rFonts w:hint="eastAsia" w:ascii="宋体" w:hAnsi="宋体" w:eastAsia="宋体" w:cs="宋体"/>
          <w:snapToGrid w:val="0"/>
          <w:color w:val="000000"/>
          <w:kern w:val="0"/>
          <w:sz w:val="24"/>
          <w:szCs w:val="24"/>
          <w:lang w:val="en-US" w:eastAsia="zh-CN" w:bidi="ar"/>
        </w:rPr>
        <w:t>污染物综合衰减系数，单位为负一次方秒（</w:t>
      </w:r>
      <w:r>
        <w:rPr>
          <w:rFonts w:hint="default" w:ascii="Times New Roman" w:hAnsi="Times New Roman" w:eastAsia="宋体" w:cs="Times New Roman"/>
          <w:snapToGrid w:val="0"/>
          <w:color w:val="000000"/>
          <w:kern w:val="0"/>
          <w:sz w:val="24"/>
          <w:szCs w:val="24"/>
          <w:lang w:val="en-US" w:eastAsia="zh-CN" w:bidi="ar"/>
        </w:rPr>
        <w:t>1/s</w:t>
      </w:r>
      <w:r>
        <w:rPr>
          <w:rFonts w:hint="eastAsia" w:ascii="宋体" w:hAnsi="宋体" w:eastAsia="宋体" w:cs="宋体"/>
          <w:snapToGrid w:val="0"/>
          <w:color w:val="000000"/>
          <w:kern w:val="0"/>
          <w:sz w:val="24"/>
          <w:szCs w:val="24"/>
          <w:lang w:val="en-US" w:eastAsia="zh-CN" w:bidi="ar"/>
        </w:rPr>
        <w:t xml:space="preserve">）； </w:t>
      </w:r>
    </w:p>
    <w:p w14:paraId="14C4A1E7">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pPr>
      <w:r>
        <w:rPr>
          <w:rFonts w:hint="eastAsia" w:cs="Times New Roman"/>
          <w:i/>
          <w:iCs/>
          <w:snapToGrid w:val="0"/>
          <w:color w:val="000000"/>
          <w:kern w:val="0"/>
          <w:sz w:val="24"/>
          <w:szCs w:val="24"/>
          <w:lang w:val="en-US" w:eastAsia="zh-CN" w:bidi="ar"/>
        </w:rPr>
        <w:t>u</w:t>
      </w:r>
      <w:r>
        <w:rPr>
          <w:rFonts w:hint="eastAsia" w:ascii="宋体" w:hAnsi="宋体" w:eastAsia="宋体" w:cs="宋体"/>
          <w:snapToGrid w:val="0"/>
          <w:color w:val="000000"/>
          <w:kern w:val="0"/>
          <w:sz w:val="24"/>
          <w:szCs w:val="24"/>
          <w:lang w:val="en-US" w:eastAsia="zh-CN" w:bidi="ar"/>
        </w:rPr>
        <w:t>一设计流量下河道断面的平均流速，单位为米每秒（</w:t>
      </w:r>
      <w:r>
        <w:rPr>
          <w:rFonts w:hint="default" w:ascii="Times New Roman" w:hAnsi="Times New Roman" w:eastAsia="宋体" w:cs="Times New Roman"/>
          <w:snapToGrid w:val="0"/>
          <w:color w:val="000000"/>
          <w:kern w:val="0"/>
          <w:sz w:val="24"/>
          <w:szCs w:val="24"/>
          <w:lang w:val="en-US" w:eastAsia="zh-CN" w:bidi="ar"/>
        </w:rPr>
        <w:t>m/s</w:t>
      </w:r>
      <w:r>
        <w:rPr>
          <w:rFonts w:hint="eastAsia" w:ascii="宋体" w:hAnsi="宋体" w:eastAsia="宋体" w:cs="宋体"/>
          <w:snapToGrid w:val="0"/>
          <w:color w:val="000000"/>
          <w:kern w:val="0"/>
          <w:sz w:val="24"/>
          <w:szCs w:val="24"/>
          <w:lang w:val="en-US" w:eastAsia="zh-CN" w:bidi="ar"/>
        </w:rPr>
        <w:t xml:space="preserve">）； </w:t>
      </w:r>
    </w:p>
    <w:p w14:paraId="4FAB0B36">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pPr>
      <w:r>
        <w:rPr>
          <w:rFonts w:hint="eastAsia" w:ascii="宋体" w:hAnsi="宋体" w:eastAsia="宋体" w:cs="宋体"/>
          <w:snapToGrid w:val="0"/>
          <w:color w:val="000000"/>
          <w:kern w:val="0"/>
          <w:sz w:val="24"/>
          <w:szCs w:val="24"/>
          <w:lang w:val="en-US" w:eastAsia="zh-CN" w:bidi="ar"/>
        </w:rPr>
        <w:t>△</w:t>
      </w:r>
      <w:r>
        <w:rPr>
          <w:rFonts w:hint="default" w:ascii="Times New Roman" w:hAnsi="Times New Roman" w:eastAsia="宋体" w:cs="Times New Roman"/>
          <w:i/>
          <w:iCs/>
          <w:snapToGrid w:val="0"/>
          <w:color w:val="000000"/>
          <w:kern w:val="0"/>
          <w:sz w:val="24"/>
          <w:szCs w:val="24"/>
          <w:lang w:val="en-US" w:eastAsia="zh-CN" w:bidi="ar"/>
        </w:rPr>
        <w:t>X</w:t>
      </w:r>
      <w:r>
        <w:rPr>
          <w:rFonts w:hint="default" w:ascii="Times New Roman" w:hAnsi="Times New Roman" w:eastAsia="宋体" w:cs="Times New Roman"/>
          <w:snapToGrid w:val="0"/>
          <w:color w:val="000000"/>
          <w:kern w:val="0"/>
          <w:sz w:val="24"/>
          <w:szCs w:val="24"/>
          <w:lang w:val="en-US" w:eastAsia="zh-CN" w:bidi="ar"/>
        </w:rPr>
        <w:t>—</w:t>
      </w:r>
      <w:r>
        <w:rPr>
          <w:rFonts w:hint="eastAsia" w:ascii="宋体" w:hAnsi="宋体" w:eastAsia="宋体" w:cs="宋体"/>
          <w:snapToGrid w:val="0"/>
          <w:color w:val="000000"/>
          <w:kern w:val="0"/>
          <w:sz w:val="24"/>
          <w:szCs w:val="24"/>
          <w:lang w:val="en-US" w:eastAsia="zh-CN" w:bidi="ar"/>
        </w:rPr>
        <w:t>上下断面之间的距离，单位为米（</w:t>
      </w:r>
      <w:r>
        <w:rPr>
          <w:rFonts w:hint="default" w:ascii="Times New Roman" w:hAnsi="Times New Roman" w:eastAsia="宋体" w:cs="Times New Roman"/>
          <w:snapToGrid w:val="0"/>
          <w:color w:val="000000"/>
          <w:kern w:val="0"/>
          <w:sz w:val="24"/>
          <w:szCs w:val="24"/>
          <w:lang w:val="en-US" w:eastAsia="zh-CN" w:bidi="ar"/>
        </w:rPr>
        <w:t>m</w:t>
      </w:r>
      <w:r>
        <w:rPr>
          <w:rFonts w:hint="eastAsia" w:ascii="宋体" w:hAnsi="宋体" w:eastAsia="宋体" w:cs="宋体"/>
          <w:snapToGrid w:val="0"/>
          <w:color w:val="000000"/>
          <w:kern w:val="0"/>
          <w:sz w:val="24"/>
          <w:szCs w:val="24"/>
          <w:lang w:val="en-US" w:eastAsia="zh-CN" w:bidi="ar"/>
        </w:rPr>
        <w:t xml:space="preserve">）； </w:t>
      </w:r>
    </w:p>
    <w:p w14:paraId="4EEE1894">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pPr>
      <w:r>
        <w:rPr>
          <w:rFonts w:hint="default" w:ascii="Times New Roman" w:hAnsi="Times New Roman" w:eastAsia="宋体" w:cs="Times New Roman"/>
          <w:i/>
          <w:iCs/>
          <w:snapToGrid w:val="0"/>
          <w:color w:val="000000"/>
          <w:kern w:val="0"/>
          <w:sz w:val="24"/>
          <w:szCs w:val="24"/>
          <w:lang w:val="en-US" w:eastAsia="zh-CN" w:bidi="ar"/>
        </w:rPr>
        <w:t>C</w:t>
      </w:r>
      <w:r>
        <w:rPr>
          <w:rFonts w:hint="default" w:ascii="Times New Roman" w:hAnsi="Times New Roman" w:eastAsia="宋体" w:cs="Times New Roman"/>
          <w:i/>
          <w:iCs/>
          <w:snapToGrid w:val="0"/>
          <w:color w:val="000000"/>
          <w:kern w:val="0"/>
          <w:sz w:val="15"/>
          <w:szCs w:val="15"/>
          <w:lang w:val="en-US" w:eastAsia="zh-CN" w:bidi="ar"/>
        </w:rPr>
        <w:t>A</w:t>
      </w:r>
      <w:r>
        <w:rPr>
          <w:rFonts w:hint="eastAsia" w:ascii="宋体" w:hAnsi="宋体" w:eastAsia="宋体" w:cs="宋体"/>
          <w:snapToGrid w:val="0"/>
          <w:color w:val="000000"/>
          <w:kern w:val="0"/>
          <w:sz w:val="24"/>
          <w:szCs w:val="24"/>
          <w:lang w:val="en-US" w:eastAsia="zh-CN" w:bidi="ar"/>
        </w:rPr>
        <w:t>—上断面污染物浓度，单位为毫克每升（</w:t>
      </w:r>
      <w:r>
        <w:rPr>
          <w:rFonts w:hint="default" w:ascii="Times New Roman" w:hAnsi="Times New Roman" w:eastAsia="宋体" w:cs="Times New Roman"/>
          <w:snapToGrid w:val="0"/>
          <w:color w:val="000000"/>
          <w:kern w:val="0"/>
          <w:sz w:val="24"/>
          <w:szCs w:val="24"/>
          <w:lang w:val="en-US" w:eastAsia="zh-CN" w:bidi="ar"/>
        </w:rPr>
        <w:t>mg/L</w:t>
      </w:r>
      <w:r>
        <w:rPr>
          <w:rFonts w:hint="eastAsia" w:ascii="宋体" w:hAnsi="宋体" w:eastAsia="宋体" w:cs="宋体"/>
          <w:snapToGrid w:val="0"/>
          <w:color w:val="000000"/>
          <w:kern w:val="0"/>
          <w:sz w:val="24"/>
          <w:szCs w:val="24"/>
          <w:lang w:val="en-US" w:eastAsia="zh-CN" w:bidi="ar"/>
        </w:rPr>
        <w:t>） ；</w:t>
      </w:r>
    </w:p>
    <w:p w14:paraId="26AE324D">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lang w:val="en-US" w:eastAsia="zh-CN"/>
        </w:rPr>
      </w:pPr>
      <w:r>
        <w:rPr>
          <w:rFonts w:hint="default" w:ascii="Times New Roman" w:hAnsi="Times New Roman" w:eastAsia="宋体" w:cs="Times New Roman"/>
          <w:i/>
          <w:iCs/>
          <w:snapToGrid w:val="0"/>
          <w:color w:val="000000"/>
          <w:kern w:val="0"/>
          <w:sz w:val="24"/>
          <w:szCs w:val="24"/>
          <w:lang w:val="en-US" w:eastAsia="zh-CN" w:bidi="ar"/>
        </w:rPr>
        <w:t>C</w:t>
      </w:r>
      <w:r>
        <w:rPr>
          <w:rFonts w:hint="default" w:ascii="Times New Roman" w:hAnsi="Times New Roman" w:eastAsia="宋体" w:cs="Times New Roman"/>
          <w:i/>
          <w:iCs/>
          <w:snapToGrid w:val="0"/>
          <w:color w:val="000000"/>
          <w:kern w:val="0"/>
          <w:sz w:val="15"/>
          <w:szCs w:val="15"/>
          <w:lang w:val="en-US" w:eastAsia="zh-CN" w:bidi="ar"/>
        </w:rPr>
        <w:t>B</w:t>
      </w:r>
      <w:r>
        <w:rPr>
          <w:rFonts w:hint="eastAsia" w:ascii="宋体" w:hAnsi="宋体" w:eastAsia="宋体" w:cs="宋体"/>
          <w:snapToGrid w:val="0"/>
          <w:color w:val="000000"/>
          <w:kern w:val="0"/>
          <w:sz w:val="24"/>
          <w:szCs w:val="24"/>
          <w:lang w:val="en-US" w:eastAsia="zh-CN" w:bidi="ar"/>
        </w:rPr>
        <w:t>—下断面污染物浓度，单位为毫克每升（</w:t>
      </w:r>
      <w:r>
        <w:rPr>
          <w:rFonts w:hint="default" w:ascii="Times New Roman" w:hAnsi="Times New Roman" w:eastAsia="宋体" w:cs="Times New Roman"/>
          <w:snapToGrid w:val="0"/>
          <w:color w:val="000000"/>
          <w:kern w:val="0"/>
          <w:sz w:val="24"/>
          <w:szCs w:val="24"/>
          <w:lang w:val="en-US" w:eastAsia="zh-CN" w:bidi="ar"/>
        </w:rPr>
        <w:t>mg/L</w:t>
      </w:r>
      <w:r>
        <w:rPr>
          <w:rFonts w:hint="eastAsia" w:ascii="宋体" w:hAnsi="宋体" w:eastAsia="宋体" w:cs="宋体"/>
          <w:snapToGrid w:val="0"/>
          <w:color w:val="000000"/>
          <w:kern w:val="0"/>
          <w:sz w:val="24"/>
          <w:szCs w:val="24"/>
          <w:lang w:val="en-US" w:eastAsia="zh-CN" w:bidi="ar"/>
        </w:rPr>
        <w:t>）；</w:t>
      </w:r>
    </w:p>
    <w:p w14:paraId="7599D507">
      <w:pPr>
        <w:pStyle w:val="122"/>
        <w:keepNext w:val="0"/>
        <w:keepLines w:val="0"/>
        <w:pageBreakBefore w:val="0"/>
        <w:kinsoku/>
        <w:wordWrap/>
        <w:overflowPunct/>
        <w:topLinePunct w:val="0"/>
        <w:autoSpaceDE/>
        <w:autoSpaceDN/>
        <w:bidi w:val="0"/>
        <w:spacing w:line="360" w:lineRule="auto"/>
        <w:ind w:firstLine="480" w:firstLineChars="200"/>
        <w:textAlignment w:val="auto"/>
        <w:rPr>
          <w:rFonts w:hint="default"/>
          <w:sz w:val="24"/>
          <w:szCs w:val="24"/>
          <w:lang w:val="en-US" w:eastAsia="zh-CN"/>
        </w:rPr>
      </w:pPr>
      <w:r>
        <w:rPr>
          <w:rFonts w:hint="eastAsia"/>
          <w:lang w:val="en-US" w:eastAsia="zh-CN"/>
        </w:rPr>
        <w:t>TP的污染物综合衰减系统计算参数见下表5-5。</w:t>
      </w:r>
    </w:p>
    <w:p w14:paraId="1C21FD62">
      <w:pPr>
        <w:pStyle w:val="92"/>
        <w:bidi w:val="0"/>
        <w:spacing w:line="240" w:lineRule="auto"/>
        <w:rPr>
          <w:rFonts w:hint="default"/>
          <w:sz w:val="24"/>
          <w:szCs w:val="24"/>
          <w:lang w:val="en-US" w:eastAsia="zh-CN"/>
        </w:rPr>
      </w:pPr>
      <w:r>
        <w:rPr>
          <w:rFonts w:hint="default"/>
          <w:sz w:val="24"/>
          <w:szCs w:val="24"/>
          <w:lang w:val="en-US" w:eastAsia="zh-CN"/>
        </w:rPr>
        <w:t>表</w:t>
      </w:r>
      <w:r>
        <w:rPr>
          <w:rFonts w:hint="eastAsia"/>
          <w:sz w:val="24"/>
          <w:szCs w:val="24"/>
          <w:lang w:val="en-US" w:eastAsia="zh-CN"/>
        </w:rPr>
        <w:t>5-5</w:t>
      </w:r>
      <w:r>
        <w:rPr>
          <w:rFonts w:hint="default"/>
          <w:sz w:val="24"/>
          <w:szCs w:val="24"/>
          <w:lang w:val="en-US" w:eastAsia="zh-CN"/>
        </w:rPr>
        <w:t xml:space="preserve"> </w:t>
      </w:r>
      <w:r>
        <w:rPr>
          <w:rFonts w:hint="eastAsia"/>
          <w:sz w:val="24"/>
          <w:szCs w:val="24"/>
          <w:lang w:val="en-US" w:eastAsia="zh-CN"/>
        </w:rPr>
        <w:t>TP污染物综合衰减系数</w:t>
      </w:r>
      <w:r>
        <w:rPr>
          <w:rFonts w:hint="eastAsia"/>
          <w:i/>
          <w:iCs/>
          <w:sz w:val="24"/>
          <w:szCs w:val="24"/>
          <w:lang w:val="en-US" w:eastAsia="zh-CN"/>
        </w:rPr>
        <w:t>K</w:t>
      </w:r>
      <w:r>
        <w:rPr>
          <w:rFonts w:hint="eastAsia"/>
          <w:sz w:val="24"/>
          <w:szCs w:val="24"/>
          <w:lang w:val="en-US" w:eastAsia="zh-CN"/>
        </w:rPr>
        <w:t>计算参数</w:t>
      </w:r>
      <w:r>
        <w:rPr>
          <w:rFonts w:hint="default"/>
          <w:sz w:val="24"/>
          <w:szCs w:val="24"/>
          <w:lang w:val="en-US" w:eastAsia="zh-CN"/>
        </w:rPr>
        <w:t>一览表</w:t>
      </w:r>
    </w:p>
    <w:tbl>
      <w:tblPr>
        <w:tblStyle w:val="32"/>
        <w:tblW w:w="487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54"/>
        <w:gridCol w:w="1216"/>
        <w:gridCol w:w="1287"/>
        <w:gridCol w:w="2078"/>
        <w:gridCol w:w="3225"/>
      </w:tblGrid>
      <w:tr w14:paraId="0A94B5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692" w:type="pct"/>
            <w:noWrap w:val="0"/>
            <w:vAlign w:val="center"/>
          </w:tcPr>
          <w:p w14:paraId="4A57F7C3">
            <w:pPr>
              <w:bidi w:val="0"/>
              <w:spacing w:line="240" w:lineRule="auto"/>
              <w:ind w:left="0" w:leftChars="0" w:firstLine="0" w:firstLineChars="0"/>
              <w:jc w:val="center"/>
              <w:rPr>
                <w:rFonts w:hint="default" w:ascii="Times New Roman" w:hAnsi="Times New Roman" w:eastAsia="宋体" w:cs="Times New Roman"/>
                <w:b/>
                <w:bCs/>
                <w:sz w:val="21"/>
                <w:szCs w:val="21"/>
                <w:lang w:val="en-US" w:eastAsia="zh-CN"/>
              </w:rPr>
            </w:pPr>
            <w:r>
              <w:rPr>
                <w:rFonts w:hint="eastAsia" w:cs="Times New Roman"/>
                <w:b/>
                <w:bCs/>
                <w:sz w:val="21"/>
                <w:szCs w:val="21"/>
                <w:lang w:val="en-US" w:eastAsia="zh-CN"/>
              </w:rPr>
              <w:t>项目</w:t>
            </w:r>
          </w:p>
        </w:tc>
        <w:tc>
          <w:tcPr>
            <w:tcW w:w="671" w:type="pct"/>
            <w:noWrap w:val="0"/>
            <w:vAlign w:val="center"/>
          </w:tcPr>
          <w:p w14:paraId="71810948">
            <w:pPr>
              <w:bidi w:val="0"/>
              <w:spacing w:line="240" w:lineRule="auto"/>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i/>
                <w:iCs/>
                <w:sz w:val="21"/>
                <w:szCs w:val="21"/>
                <w:lang w:val="en-US" w:eastAsia="zh-CN"/>
              </w:rPr>
              <w:t>u</w:t>
            </w:r>
            <w:r>
              <w:rPr>
                <w:rFonts w:hint="eastAsia" w:cs="Times New Roman"/>
                <w:b/>
                <w:bCs/>
                <w:sz w:val="21"/>
                <w:szCs w:val="21"/>
                <w:lang w:val="en-US" w:eastAsia="zh-CN"/>
              </w:rPr>
              <w:t>（m/s）</w:t>
            </w:r>
          </w:p>
        </w:tc>
        <w:tc>
          <w:tcPr>
            <w:tcW w:w="710" w:type="pct"/>
            <w:noWrap w:val="0"/>
            <w:vAlign w:val="center"/>
          </w:tcPr>
          <w:p w14:paraId="0F0BB390">
            <w:pPr>
              <w:bidi w:val="0"/>
              <w:spacing w:line="240" w:lineRule="auto"/>
              <w:ind w:left="0" w:leftChars="0" w:firstLine="0" w:firstLineChars="0"/>
              <w:jc w:val="center"/>
              <w:rPr>
                <w:rFonts w:hint="default" w:ascii="Times New Roman" w:hAnsi="Times New Roman" w:eastAsia="宋体" w:cs="Times New Roman"/>
                <w:b/>
                <w:bCs/>
                <w:sz w:val="21"/>
                <w:szCs w:val="21"/>
                <w:lang w:val="en-US" w:eastAsia="zh-CN"/>
              </w:rPr>
            </w:pPr>
            <w:r>
              <w:rPr>
                <w:rFonts w:hint="eastAsia" w:ascii="宋体" w:hAnsi="宋体" w:eastAsia="宋体" w:cs="宋体"/>
                <w:b/>
                <w:bCs/>
                <w:snapToGrid w:val="0"/>
                <w:color w:val="000000"/>
                <w:kern w:val="0"/>
                <w:sz w:val="21"/>
                <w:szCs w:val="21"/>
                <w:lang w:val="en-US" w:eastAsia="zh-CN" w:bidi="ar"/>
              </w:rPr>
              <w:t>△</w:t>
            </w:r>
            <w:r>
              <w:rPr>
                <w:rFonts w:hint="default" w:ascii="Times New Roman" w:hAnsi="Times New Roman" w:eastAsia="宋体" w:cs="Times New Roman"/>
                <w:b/>
                <w:bCs/>
                <w:i/>
                <w:iCs/>
                <w:snapToGrid w:val="0"/>
                <w:color w:val="000000"/>
                <w:kern w:val="0"/>
                <w:sz w:val="21"/>
                <w:szCs w:val="21"/>
                <w:lang w:val="en-US" w:eastAsia="zh-CN" w:bidi="ar"/>
              </w:rPr>
              <w:t>X</w:t>
            </w:r>
            <w:r>
              <w:rPr>
                <w:rFonts w:hint="default" w:ascii="Times New Roman" w:hAnsi="Times New Roman" w:eastAsia="宋体" w:cs="Times New Roman"/>
                <w:b/>
                <w:bCs/>
                <w:i w:val="0"/>
                <w:iCs w:val="0"/>
                <w:snapToGrid w:val="0"/>
                <w:color w:val="000000"/>
                <w:kern w:val="0"/>
                <w:sz w:val="21"/>
                <w:szCs w:val="21"/>
                <w:lang w:val="en-US" w:eastAsia="zh-CN" w:bidi="ar"/>
              </w:rPr>
              <w:t>（m）</w:t>
            </w:r>
          </w:p>
        </w:tc>
        <w:tc>
          <w:tcPr>
            <w:tcW w:w="1147" w:type="pct"/>
            <w:noWrap w:val="0"/>
            <w:vAlign w:val="center"/>
          </w:tcPr>
          <w:p w14:paraId="4954C5FA">
            <w:pPr>
              <w:bidi w:val="0"/>
              <w:spacing w:line="240" w:lineRule="auto"/>
              <w:ind w:left="0" w:leftChars="0" w:firstLine="0" w:firstLineChars="0"/>
              <w:jc w:val="center"/>
              <w:rPr>
                <w:rFonts w:hint="default" w:ascii="Times New Roman" w:hAnsi="Times New Roman" w:eastAsia="宋体" w:cs="Times New Roman"/>
                <w:b/>
                <w:bCs/>
                <w:sz w:val="21"/>
                <w:szCs w:val="21"/>
                <w:lang w:val="en-US" w:eastAsia="zh-CN"/>
              </w:rPr>
            </w:pPr>
            <w:r>
              <w:rPr>
                <w:rFonts w:hint="eastAsia" w:cs="Times New Roman"/>
                <w:b w:val="0"/>
                <w:bCs w:val="0"/>
                <w:sz w:val="21"/>
                <w:szCs w:val="21"/>
                <w:lang w:val="en-US" w:eastAsia="zh-CN"/>
              </w:rPr>
              <w:t>监测日期</w:t>
            </w:r>
          </w:p>
        </w:tc>
        <w:tc>
          <w:tcPr>
            <w:tcW w:w="1779" w:type="pct"/>
            <w:noWrap w:val="0"/>
            <w:vAlign w:val="center"/>
          </w:tcPr>
          <w:p w14:paraId="7F11B6E0">
            <w:pPr>
              <w:bidi w:val="0"/>
              <w:spacing w:line="240" w:lineRule="auto"/>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val="0"/>
                <w:bCs w:val="0"/>
                <w:i/>
                <w:iCs/>
                <w:snapToGrid w:val="0"/>
                <w:color w:val="000000"/>
                <w:kern w:val="0"/>
                <w:sz w:val="21"/>
                <w:szCs w:val="21"/>
                <w:lang w:val="en-US" w:eastAsia="zh-CN" w:bidi="ar"/>
              </w:rPr>
              <w:t>C</w:t>
            </w:r>
            <w:r>
              <w:rPr>
                <w:rFonts w:hint="default" w:ascii="Times New Roman" w:hAnsi="Times New Roman" w:eastAsia="宋体" w:cs="Times New Roman"/>
                <w:b w:val="0"/>
                <w:bCs w:val="0"/>
                <w:i/>
                <w:iCs/>
                <w:snapToGrid w:val="0"/>
                <w:color w:val="000000"/>
                <w:kern w:val="0"/>
                <w:sz w:val="21"/>
                <w:szCs w:val="21"/>
                <w:vertAlign w:val="subscript"/>
                <w:lang w:val="en-US" w:eastAsia="zh-CN" w:bidi="ar"/>
              </w:rPr>
              <w:t>A</w:t>
            </w:r>
            <w:r>
              <w:rPr>
                <w:rFonts w:hint="eastAsia" w:cs="Times New Roman"/>
                <w:b w:val="0"/>
                <w:bCs w:val="0"/>
                <w:sz w:val="21"/>
                <w:szCs w:val="21"/>
                <w:lang w:val="en-US" w:eastAsia="zh-CN"/>
              </w:rPr>
              <w:t>（mg/L）</w:t>
            </w:r>
          </w:p>
        </w:tc>
      </w:tr>
      <w:tr w14:paraId="74C663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2" w:hRule="atLeast"/>
          <w:jc w:val="center"/>
        </w:trPr>
        <w:tc>
          <w:tcPr>
            <w:tcW w:w="692" w:type="pct"/>
            <w:vMerge w:val="restart"/>
            <w:noWrap w:val="0"/>
            <w:vAlign w:val="center"/>
          </w:tcPr>
          <w:p w14:paraId="1A3DAB4B">
            <w:pPr>
              <w:bidi w:val="0"/>
              <w:spacing w:line="240" w:lineRule="auto"/>
              <w:ind w:left="0" w:leftChars="0"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参数</w:t>
            </w:r>
          </w:p>
        </w:tc>
        <w:tc>
          <w:tcPr>
            <w:tcW w:w="671" w:type="pct"/>
            <w:vMerge w:val="restart"/>
            <w:noWrap w:val="0"/>
            <w:vAlign w:val="center"/>
          </w:tcPr>
          <w:p w14:paraId="64BD8FFD">
            <w:pPr>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w:t>
            </w:r>
          </w:p>
        </w:tc>
        <w:tc>
          <w:tcPr>
            <w:tcW w:w="710" w:type="pct"/>
            <w:vMerge w:val="restart"/>
            <w:noWrap w:val="0"/>
            <w:vAlign w:val="center"/>
          </w:tcPr>
          <w:p w14:paraId="05DB49E0">
            <w:pPr>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1500</w:t>
            </w:r>
          </w:p>
        </w:tc>
        <w:tc>
          <w:tcPr>
            <w:tcW w:w="1147" w:type="pct"/>
            <w:noWrap w:val="0"/>
            <w:vAlign w:val="center"/>
          </w:tcPr>
          <w:p w14:paraId="6E0CCA94">
            <w:pPr>
              <w:bidi w:val="0"/>
              <w:spacing w:line="240" w:lineRule="auto"/>
              <w:ind w:left="0" w:leftChars="0" w:firstLine="0" w:firstLineChars="0"/>
              <w:jc w:val="center"/>
              <w:rPr>
                <w:rFonts w:hint="default" w:ascii="Times New Roman" w:hAnsi="Times New Roman" w:eastAsia="宋体" w:cs="Times New Roman"/>
                <w:bCs/>
                <w:color w:val="000000"/>
                <w:sz w:val="21"/>
                <w:szCs w:val="21"/>
                <w:highlight w:val="none"/>
                <w:lang w:val="en-US" w:eastAsia="zh-CN"/>
              </w:rPr>
            </w:pPr>
            <w:r>
              <w:rPr>
                <w:rFonts w:hint="eastAsia" w:ascii="Times New Roman" w:hAnsi="Times New Roman" w:eastAsia="宋体" w:cs="Times New Roman"/>
                <w:bCs/>
                <w:color w:val="000000"/>
                <w:sz w:val="21"/>
                <w:szCs w:val="21"/>
                <w:highlight w:val="none"/>
                <w:lang w:val="en-US" w:eastAsia="zh-CN"/>
              </w:rPr>
              <w:t>2024.7.23</w:t>
            </w:r>
          </w:p>
        </w:tc>
        <w:tc>
          <w:tcPr>
            <w:tcW w:w="1779" w:type="pct"/>
            <w:noWrap w:val="0"/>
            <w:vAlign w:val="center"/>
          </w:tcPr>
          <w:p w14:paraId="3378F12C">
            <w:pPr>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0.07</w:t>
            </w:r>
          </w:p>
        </w:tc>
      </w:tr>
      <w:tr w14:paraId="72481D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692" w:type="pct"/>
            <w:vMerge w:val="continue"/>
            <w:noWrap w:val="0"/>
            <w:vAlign w:val="center"/>
          </w:tcPr>
          <w:p w14:paraId="0AD69468">
            <w:pPr>
              <w:bidi w:val="0"/>
              <w:spacing w:line="240" w:lineRule="auto"/>
              <w:ind w:left="0" w:leftChars="0" w:firstLine="0" w:firstLineChars="0"/>
              <w:jc w:val="center"/>
              <w:rPr>
                <w:rFonts w:hint="eastAsia" w:cs="Times New Roman"/>
                <w:sz w:val="21"/>
                <w:szCs w:val="21"/>
                <w:lang w:val="en-US" w:eastAsia="zh-CN"/>
              </w:rPr>
            </w:pPr>
          </w:p>
        </w:tc>
        <w:tc>
          <w:tcPr>
            <w:tcW w:w="671" w:type="pct"/>
            <w:vMerge w:val="continue"/>
            <w:noWrap w:val="0"/>
            <w:vAlign w:val="center"/>
          </w:tcPr>
          <w:p w14:paraId="53D74049">
            <w:pPr>
              <w:bidi w:val="0"/>
              <w:spacing w:line="240" w:lineRule="auto"/>
              <w:ind w:left="0" w:leftChars="0" w:firstLine="0" w:firstLineChars="0"/>
              <w:jc w:val="center"/>
              <w:rPr>
                <w:rFonts w:hint="eastAsia" w:cs="Times New Roman"/>
                <w:color w:val="auto"/>
                <w:sz w:val="21"/>
                <w:szCs w:val="21"/>
                <w:lang w:val="en-US" w:eastAsia="zh-CN"/>
              </w:rPr>
            </w:pPr>
          </w:p>
        </w:tc>
        <w:tc>
          <w:tcPr>
            <w:tcW w:w="710" w:type="pct"/>
            <w:vMerge w:val="continue"/>
            <w:noWrap w:val="0"/>
            <w:vAlign w:val="center"/>
          </w:tcPr>
          <w:p w14:paraId="41C21221">
            <w:pPr>
              <w:bidi w:val="0"/>
              <w:spacing w:line="240" w:lineRule="auto"/>
              <w:ind w:left="0" w:leftChars="0" w:firstLine="0" w:firstLineChars="0"/>
              <w:jc w:val="center"/>
              <w:rPr>
                <w:rFonts w:hint="eastAsia" w:cs="Times New Roman"/>
                <w:color w:val="auto"/>
                <w:sz w:val="21"/>
                <w:szCs w:val="21"/>
                <w:lang w:val="en-US" w:eastAsia="zh-CN"/>
              </w:rPr>
            </w:pPr>
          </w:p>
        </w:tc>
        <w:tc>
          <w:tcPr>
            <w:tcW w:w="1147" w:type="pct"/>
            <w:noWrap w:val="0"/>
            <w:vAlign w:val="center"/>
          </w:tcPr>
          <w:p w14:paraId="6CAFBB37">
            <w:pPr>
              <w:bidi w:val="0"/>
              <w:spacing w:line="240" w:lineRule="auto"/>
              <w:ind w:left="0" w:leftChars="0" w:firstLine="0" w:firstLineChars="0"/>
              <w:jc w:val="center"/>
              <w:rPr>
                <w:rFonts w:hint="default" w:ascii="Times New Roman" w:hAnsi="Times New Roman" w:eastAsia="宋体" w:cs="Times New Roman"/>
                <w:bCs/>
                <w:color w:val="000000"/>
                <w:sz w:val="21"/>
                <w:szCs w:val="21"/>
                <w:highlight w:val="none"/>
                <w:lang w:val="en-US" w:eastAsia="zh-CN"/>
              </w:rPr>
            </w:pPr>
            <w:r>
              <w:rPr>
                <w:rFonts w:hint="eastAsia" w:ascii="Times New Roman" w:hAnsi="Times New Roman" w:eastAsia="宋体" w:cs="Times New Roman"/>
                <w:bCs/>
                <w:color w:val="000000"/>
                <w:sz w:val="21"/>
                <w:szCs w:val="21"/>
                <w:highlight w:val="none"/>
                <w:lang w:val="en-US" w:eastAsia="zh-CN"/>
              </w:rPr>
              <w:t>2024.7.24</w:t>
            </w:r>
          </w:p>
        </w:tc>
        <w:tc>
          <w:tcPr>
            <w:tcW w:w="1779" w:type="pct"/>
            <w:noWrap w:val="0"/>
            <w:vAlign w:val="center"/>
          </w:tcPr>
          <w:p w14:paraId="06A24A7C">
            <w:pPr>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0.06</w:t>
            </w:r>
          </w:p>
        </w:tc>
      </w:tr>
      <w:tr w14:paraId="18AC14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6" w:hRule="atLeast"/>
          <w:jc w:val="center"/>
        </w:trPr>
        <w:tc>
          <w:tcPr>
            <w:tcW w:w="692" w:type="pct"/>
            <w:vMerge w:val="continue"/>
            <w:noWrap w:val="0"/>
            <w:vAlign w:val="center"/>
          </w:tcPr>
          <w:p w14:paraId="7BE61448">
            <w:pPr>
              <w:bidi w:val="0"/>
              <w:spacing w:line="240" w:lineRule="auto"/>
              <w:ind w:left="0" w:leftChars="0" w:firstLine="0" w:firstLineChars="0"/>
              <w:jc w:val="center"/>
              <w:rPr>
                <w:rFonts w:hint="eastAsia" w:cs="Times New Roman"/>
                <w:sz w:val="21"/>
                <w:szCs w:val="21"/>
                <w:lang w:val="en-US" w:eastAsia="zh-CN"/>
              </w:rPr>
            </w:pPr>
          </w:p>
        </w:tc>
        <w:tc>
          <w:tcPr>
            <w:tcW w:w="671" w:type="pct"/>
            <w:vMerge w:val="continue"/>
            <w:noWrap w:val="0"/>
            <w:vAlign w:val="center"/>
          </w:tcPr>
          <w:p w14:paraId="61121F61">
            <w:pPr>
              <w:bidi w:val="0"/>
              <w:spacing w:line="240" w:lineRule="auto"/>
              <w:ind w:left="0" w:leftChars="0" w:firstLine="0" w:firstLineChars="0"/>
              <w:jc w:val="center"/>
              <w:rPr>
                <w:rFonts w:hint="eastAsia" w:cs="Times New Roman"/>
                <w:color w:val="auto"/>
                <w:sz w:val="21"/>
                <w:szCs w:val="21"/>
                <w:lang w:val="en-US" w:eastAsia="zh-CN"/>
              </w:rPr>
            </w:pPr>
          </w:p>
        </w:tc>
        <w:tc>
          <w:tcPr>
            <w:tcW w:w="710" w:type="pct"/>
            <w:vMerge w:val="continue"/>
            <w:noWrap w:val="0"/>
            <w:vAlign w:val="center"/>
          </w:tcPr>
          <w:p w14:paraId="023A40E5">
            <w:pPr>
              <w:bidi w:val="0"/>
              <w:spacing w:line="240" w:lineRule="auto"/>
              <w:ind w:left="0" w:leftChars="0" w:firstLine="0" w:firstLineChars="0"/>
              <w:jc w:val="center"/>
              <w:rPr>
                <w:rFonts w:hint="eastAsia" w:cs="Times New Roman"/>
                <w:color w:val="auto"/>
                <w:sz w:val="21"/>
                <w:szCs w:val="21"/>
                <w:lang w:val="en-US" w:eastAsia="zh-CN"/>
              </w:rPr>
            </w:pPr>
          </w:p>
        </w:tc>
        <w:tc>
          <w:tcPr>
            <w:tcW w:w="1147" w:type="pct"/>
            <w:noWrap w:val="0"/>
            <w:vAlign w:val="center"/>
          </w:tcPr>
          <w:p w14:paraId="70D2B026">
            <w:pPr>
              <w:bidi w:val="0"/>
              <w:spacing w:line="240" w:lineRule="auto"/>
              <w:ind w:left="0" w:leftChars="0" w:firstLine="0" w:firstLineChars="0"/>
              <w:jc w:val="center"/>
              <w:rPr>
                <w:rFonts w:hint="default" w:ascii="Times New Roman" w:hAnsi="Times New Roman" w:eastAsia="宋体" w:cs="Times New Roman"/>
                <w:bCs/>
                <w:color w:val="000000"/>
                <w:sz w:val="21"/>
                <w:szCs w:val="21"/>
                <w:highlight w:val="none"/>
                <w:lang w:val="en-US" w:eastAsia="zh-CN"/>
              </w:rPr>
            </w:pPr>
            <w:r>
              <w:rPr>
                <w:rFonts w:hint="eastAsia" w:ascii="Times New Roman" w:hAnsi="Times New Roman" w:eastAsia="宋体" w:cs="Times New Roman"/>
                <w:bCs/>
                <w:color w:val="000000"/>
                <w:sz w:val="21"/>
                <w:szCs w:val="21"/>
                <w:highlight w:val="none"/>
                <w:lang w:val="en-US" w:eastAsia="zh-CN"/>
              </w:rPr>
              <w:t>2024.7.25</w:t>
            </w:r>
          </w:p>
        </w:tc>
        <w:tc>
          <w:tcPr>
            <w:tcW w:w="1779" w:type="pct"/>
            <w:noWrap w:val="0"/>
            <w:vAlign w:val="center"/>
          </w:tcPr>
          <w:p w14:paraId="143CD0EE">
            <w:pPr>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0.07</w:t>
            </w:r>
          </w:p>
        </w:tc>
      </w:tr>
      <w:tr w14:paraId="105E8D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692" w:type="pct"/>
            <w:vMerge w:val="continue"/>
            <w:noWrap w:val="0"/>
            <w:vAlign w:val="center"/>
          </w:tcPr>
          <w:p w14:paraId="5EB6B074">
            <w:pPr>
              <w:bidi w:val="0"/>
              <w:spacing w:line="240" w:lineRule="auto"/>
              <w:ind w:left="0" w:leftChars="0" w:firstLine="0" w:firstLineChars="0"/>
              <w:jc w:val="center"/>
              <w:rPr>
                <w:rFonts w:hint="eastAsia" w:cs="Times New Roman"/>
                <w:sz w:val="21"/>
                <w:szCs w:val="21"/>
                <w:lang w:val="en-US" w:eastAsia="zh-CN"/>
              </w:rPr>
            </w:pPr>
          </w:p>
        </w:tc>
        <w:tc>
          <w:tcPr>
            <w:tcW w:w="671" w:type="pct"/>
            <w:vMerge w:val="continue"/>
            <w:noWrap w:val="0"/>
            <w:vAlign w:val="center"/>
          </w:tcPr>
          <w:p w14:paraId="516B928D">
            <w:pPr>
              <w:bidi w:val="0"/>
              <w:spacing w:line="240" w:lineRule="auto"/>
              <w:ind w:left="0" w:leftChars="0" w:firstLine="0" w:firstLineChars="0"/>
              <w:jc w:val="center"/>
              <w:rPr>
                <w:rFonts w:hint="eastAsia" w:cs="Times New Roman"/>
                <w:color w:val="auto"/>
                <w:sz w:val="21"/>
                <w:szCs w:val="21"/>
                <w:lang w:val="en-US" w:eastAsia="zh-CN"/>
              </w:rPr>
            </w:pPr>
          </w:p>
        </w:tc>
        <w:tc>
          <w:tcPr>
            <w:tcW w:w="710" w:type="pct"/>
            <w:vMerge w:val="continue"/>
            <w:noWrap w:val="0"/>
            <w:vAlign w:val="center"/>
          </w:tcPr>
          <w:p w14:paraId="7C84252A">
            <w:pPr>
              <w:bidi w:val="0"/>
              <w:spacing w:line="240" w:lineRule="auto"/>
              <w:ind w:left="0" w:leftChars="0" w:firstLine="0" w:firstLineChars="0"/>
              <w:jc w:val="center"/>
              <w:rPr>
                <w:rFonts w:hint="eastAsia" w:cs="Times New Roman"/>
                <w:color w:val="auto"/>
                <w:sz w:val="21"/>
                <w:szCs w:val="21"/>
                <w:lang w:val="en-US" w:eastAsia="zh-CN"/>
              </w:rPr>
            </w:pPr>
          </w:p>
        </w:tc>
        <w:tc>
          <w:tcPr>
            <w:tcW w:w="1147" w:type="pct"/>
            <w:noWrap w:val="0"/>
            <w:vAlign w:val="center"/>
          </w:tcPr>
          <w:p w14:paraId="7DFE6E29">
            <w:pPr>
              <w:bidi w:val="0"/>
              <w:spacing w:line="240" w:lineRule="auto"/>
              <w:ind w:left="0" w:leftChars="0" w:firstLine="0" w:firstLineChars="0"/>
              <w:jc w:val="center"/>
              <w:rPr>
                <w:rFonts w:hint="eastAsia" w:eastAsia="宋体"/>
                <w:sz w:val="21"/>
                <w:szCs w:val="21"/>
                <w:lang w:val="en-US" w:eastAsia="zh-CN"/>
              </w:rPr>
            </w:pPr>
            <w:r>
              <w:rPr>
                <w:rFonts w:hint="eastAsia"/>
                <w:sz w:val="21"/>
                <w:szCs w:val="21"/>
                <w:lang w:val="en-US" w:eastAsia="zh-CN"/>
              </w:rPr>
              <w:t>平均值</w:t>
            </w:r>
          </w:p>
        </w:tc>
        <w:tc>
          <w:tcPr>
            <w:tcW w:w="1779" w:type="pct"/>
            <w:noWrap w:val="0"/>
            <w:vAlign w:val="center"/>
          </w:tcPr>
          <w:p w14:paraId="3BF76DEE">
            <w:pPr>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0.066</w:t>
            </w:r>
          </w:p>
        </w:tc>
      </w:tr>
      <w:tr w14:paraId="1027D0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2" w:type="pct"/>
            <w:vMerge w:val="continue"/>
            <w:noWrap w:val="0"/>
            <w:vAlign w:val="center"/>
          </w:tcPr>
          <w:p w14:paraId="2DDA0D85">
            <w:pPr>
              <w:bidi w:val="0"/>
              <w:spacing w:line="240" w:lineRule="auto"/>
              <w:ind w:left="0" w:leftChars="0" w:firstLine="0" w:firstLineChars="0"/>
              <w:jc w:val="center"/>
              <w:rPr>
                <w:rFonts w:hint="default" w:ascii="Times New Roman" w:hAnsi="Times New Roman" w:eastAsia="宋体" w:cs="Times New Roman"/>
                <w:sz w:val="21"/>
                <w:szCs w:val="21"/>
                <w:lang w:eastAsia="zh-CN"/>
              </w:rPr>
            </w:pPr>
          </w:p>
        </w:tc>
        <w:tc>
          <w:tcPr>
            <w:tcW w:w="671" w:type="pct"/>
            <w:vMerge w:val="continue"/>
            <w:noWrap w:val="0"/>
            <w:vAlign w:val="center"/>
          </w:tcPr>
          <w:p w14:paraId="12BA7C7D">
            <w:pPr>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710" w:type="pct"/>
            <w:vMerge w:val="continue"/>
            <w:noWrap w:val="0"/>
            <w:vAlign w:val="center"/>
          </w:tcPr>
          <w:p w14:paraId="07F0D5E9">
            <w:pPr>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1147" w:type="pct"/>
            <w:noWrap w:val="0"/>
            <w:vAlign w:val="center"/>
          </w:tcPr>
          <w:p w14:paraId="32AFD530">
            <w:pPr>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b w:val="0"/>
                <w:bCs w:val="0"/>
                <w:sz w:val="21"/>
                <w:szCs w:val="21"/>
                <w:lang w:val="en-US" w:eastAsia="zh-CN"/>
              </w:rPr>
              <w:t>监测日期</w:t>
            </w:r>
          </w:p>
        </w:tc>
        <w:tc>
          <w:tcPr>
            <w:tcW w:w="1779" w:type="pct"/>
            <w:noWrap w:val="0"/>
            <w:vAlign w:val="center"/>
          </w:tcPr>
          <w:p w14:paraId="07284143">
            <w:pPr>
              <w:bidi w:val="0"/>
              <w:spacing w:line="240" w:lineRule="auto"/>
              <w:ind w:left="0" w:leftChars="0" w:firstLine="0" w:firstLineChars="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b w:val="0"/>
                <w:bCs w:val="0"/>
                <w:i/>
                <w:iCs/>
                <w:snapToGrid w:val="0"/>
                <w:color w:val="000000"/>
                <w:kern w:val="0"/>
                <w:sz w:val="21"/>
                <w:szCs w:val="21"/>
                <w:lang w:val="en-US" w:eastAsia="zh-CN" w:bidi="ar"/>
              </w:rPr>
              <w:t>C</w:t>
            </w:r>
            <w:r>
              <w:rPr>
                <w:rFonts w:hint="default" w:ascii="Times New Roman" w:hAnsi="Times New Roman" w:eastAsia="宋体" w:cs="Times New Roman"/>
                <w:b w:val="0"/>
                <w:bCs w:val="0"/>
                <w:i/>
                <w:iCs/>
                <w:snapToGrid w:val="0"/>
                <w:color w:val="000000"/>
                <w:kern w:val="0"/>
                <w:sz w:val="21"/>
                <w:szCs w:val="21"/>
                <w:vertAlign w:val="subscript"/>
                <w:lang w:val="en-US" w:eastAsia="zh-CN" w:bidi="ar"/>
              </w:rPr>
              <w:t>B</w:t>
            </w:r>
            <w:r>
              <w:rPr>
                <w:rFonts w:hint="eastAsia" w:cs="Times New Roman"/>
                <w:b w:val="0"/>
                <w:bCs w:val="0"/>
                <w:sz w:val="21"/>
                <w:szCs w:val="21"/>
                <w:lang w:val="en-US" w:eastAsia="zh-CN"/>
              </w:rPr>
              <w:t>（mg/L）</w:t>
            </w:r>
          </w:p>
        </w:tc>
      </w:tr>
      <w:tr w14:paraId="78BAFB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2" w:type="pct"/>
            <w:vMerge w:val="continue"/>
            <w:noWrap w:val="0"/>
            <w:vAlign w:val="center"/>
          </w:tcPr>
          <w:p w14:paraId="643FF7F7">
            <w:pPr>
              <w:bidi w:val="0"/>
              <w:spacing w:line="240" w:lineRule="auto"/>
              <w:ind w:left="0" w:leftChars="0" w:firstLine="0" w:firstLineChars="0"/>
              <w:jc w:val="center"/>
              <w:rPr>
                <w:rFonts w:hint="default" w:ascii="Times New Roman" w:hAnsi="Times New Roman" w:eastAsia="宋体" w:cs="Times New Roman"/>
                <w:sz w:val="21"/>
                <w:szCs w:val="21"/>
                <w:lang w:val="en-US" w:eastAsia="zh-CN"/>
              </w:rPr>
            </w:pPr>
          </w:p>
        </w:tc>
        <w:tc>
          <w:tcPr>
            <w:tcW w:w="671" w:type="pct"/>
            <w:vMerge w:val="continue"/>
            <w:noWrap w:val="0"/>
            <w:vAlign w:val="center"/>
          </w:tcPr>
          <w:p w14:paraId="63116E72">
            <w:pPr>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710" w:type="pct"/>
            <w:vMerge w:val="continue"/>
            <w:noWrap w:val="0"/>
            <w:vAlign w:val="center"/>
          </w:tcPr>
          <w:p w14:paraId="79DBC0ED">
            <w:pPr>
              <w:bidi w:val="0"/>
              <w:spacing w:line="240" w:lineRule="auto"/>
              <w:ind w:left="0" w:leftChars="0" w:firstLine="0" w:firstLineChars="0"/>
              <w:jc w:val="center"/>
              <w:rPr>
                <w:rFonts w:hint="eastAsia" w:ascii="Times New Roman" w:hAnsi="Times New Roman" w:eastAsia="宋体" w:cs="Times New Roman"/>
                <w:color w:val="auto"/>
                <w:sz w:val="21"/>
                <w:szCs w:val="21"/>
                <w:lang w:val="en-US" w:eastAsia="zh-CN"/>
              </w:rPr>
            </w:pPr>
          </w:p>
        </w:tc>
        <w:tc>
          <w:tcPr>
            <w:tcW w:w="2205" w:type="dxa"/>
            <w:noWrap w:val="0"/>
            <w:vAlign w:val="center"/>
          </w:tcPr>
          <w:p w14:paraId="1808B84C">
            <w:pPr>
              <w:bidi w:val="0"/>
              <w:spacing w:line="240" w:lineRule="auto"/>
              <w:ind w:left="0" w:leftChars="0" w:firstLine="0" w:firstLineChars="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bCs/>
                <w:color w:val="000000"/>
                <w:sz w:val="21"/>
                <w:szCs w:val="21"/>
                <w:highlight w:val="none"/>
                <w:lang w:val="en-US" w:eastAsia="zh-CN"/>
              </w:rPr>
              <w:t>2024.7.23</w:t>
            </w:r>
          </w:p>
        </w:tc>
        <w:tc>
          <w:tcPr>
            <w:tcW w:w="1779" w:type="pct"/>
            <w:noWrap w:val="0"/>
            <w:vAlign w:val="center"/>
          </w:tcPr>
          <w:p w14:paraId="7E820890">
            <w:pPr>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0.09</w:t>
            </w:r>
          </w:p>
        </w:tc>
      </w:tr>
      <w:tr w14:paraId="63C2C6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7" w:hRule="atLeast"/>
          <w:jc w:val="center"/>
        </w:trPr>
        <w:tc>
          <w:tcPr>
            <w:tcW w:w="692" w:type="pct"/>
            <w:vMerge w:val="continue"/>
            <w:noWrap w:val="0"/>
            <w:vAlign w:val="center"/>
          </w:tcPr>
          <w:p w14:paraId="630DF873">
            <w:pPr>
              <w:bidi w:val="0"/>
              <w:spacing w:line="240" w:lineRule="auto"/>
              <w:ind w:left="0" w:leftChars="0" w:firstLine="0" w:firstLineChars="0"/>
              <w:jc w:val="center"/>
              <w:rPr>
                <w:rFonts w:hint="default" w:ascii="Times New Roman" w:hAnsi="Times New Roman" w:eastAsia="宋体" w:cs="Times New Roman"/>
                <w:sz w:val="21"/>
                <w:szCs w:val="21"/>
                <w:lang w:val="en-US" w:eastAsia="zh-CN"/>
              </w:rPr>
            </w:pPr>
          </w:p>
        </w:tc>
        <w:tc>
          <w:tcPr>
            <w:tcW w:w="671" w:type="pct"/>
            <w:vMerge w:val="continue"/>
            <w:noWrap w:val="0"/>
            <w:vAlign w:val="center"/>
          </w:tcPr>
          <w:p w14:paraId="09C2EFF3">
            <w:pPr>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710" w:type="pct"/>
            <w:vMerge w:val="continue"/>
            <w:noWrap w:val="0"/>
            <w:vAlign w:val="center"/>
          </w:tcPr>
          <w:p w14:paraId="62CC0712">
            <w:pPr>
              <w:bidi w:val="0"/>
              <w:spacing w:line="240" w:lineRule="auto"/>
              <w:ind w:left="0" w:leftChars="0" w:firstLine="0" w:firstLineChars="0"/>
              <w:jc w:val="center"/>
              <w:rPr>
                <w:rFonts w:hint="eastAsia" w:ascii="Times New Roman" w:hAnsi="Times New Roman" w:eastAsia="宋体" w:cs="Times New Roman"/>
                <w:color w:val="auto"/>
                <w:sz w:val="21"/>
                <w:szCs w:val="21"/>
                <w:lang w:val="en-US" w:eastAsia="zh-CN"/>
              </w:rPr>
            </w:pPr>
          </w:p>
        </w:tc>
        <w:tc>
          <w:tcPr>
            <w:tcW w:w="2205" w:type="dxa"/>
            <w:noWrap w:val="0"/>
            <w:vAlign w:val="center"/>
          </w:tcPr>
          <w:p w14:paraId="03B4AB70">
            <w:pPr>
              <w:bidi w:val="0"/>
              <w:spacing w:line="240" w:lineRule="auto"/>
              <w:ind w:left="0" w:leftChars="0" w:firstLine="0" w:firstLineChars="0"/>
              <w:jc w:val="center"/>
              <w:rPr>
                <w:sz w:val="21"/>
                <w:szCs w:val="21"/>
              </w:rPr>
            </w:pPr>
            <w:r>
              <w:rPr>
                <w:rFonts w:hint="eastAsia" w:ascii="Times New Roman" w:hAnsi="Times New Roman" w:eastAsia="宋体" w:cs="Times New Roman"/>
                <w:bCs/>
                <w:color w:val="000000"/>
                <w:sz w:val="21"/>
                <w:szCs w:val="21"/>
                <w:highlight w:val="none"/>
                <w:lang w:val="en-US" w:eastAsia="zh-CN"/>
              </w:rPr>
              <w:t>2024.7.24</w:t>
            </w:r>
          </w:p>
        </w:tc>
        <w:tc>
          <w:tcPr>
            <w:tcW w:w="1779" w:type="pct"/>
            <w:noWrap w:val="0"/>
            <w:vAlign w:val="center"/>
          </w:tcPr>
          <w:p w14:paraId="2B6F1321">
            <w:pPr>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0.1</w:t>
            </w:r>
          </w:p>
        </w:tc>
      </w:tr>
      <w:tr w14:paraId="1328CF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6" w:hRule="atLeast"/>
          <w:jc w:val="center"/>
        </w:trPr>
        <w:tc>
          <w:tcPr>
            <w:tcW w:w="692" w:type="pct"/>
            <w:vMerge w:val="continue"/>
            <w:noWrap w:val="0"/>
            <w:vAlign w:val="center"/>
          </w:tcPr>
          <w:p w14:paraId="0D93ED97">
            <w:pPr>
              <w:bidi w:val="0"/>
              <w:spacing w:line="240" w:lineRule="auto"/>
              <w:ind w:left="0" w:leftChars="0" w:firstLine="0" w:firstLineChars="0"/>
              <w:jc w:val="center"/>
              <w:rPr>
                <w:rFonts w:hint="default" w:ascii="Times New Roman" w:hAnsi="Times New Roman" w:eastAsia="宋体" w:cs="Times New Roman"/>
                <w:sz w:val="21"/>
                <w:szCs w:val="21"/>
                <w:lang w:val="en-US" w:eastAsia="zh-CN"/>
              </w:rPr>
            </w:pPr>
          </w:p>
        </w:tc>
        <w:tc>
          <w:tcPr>
            <w:tcW w:w="671" w:type="pct"/>
            <w:vMerge w:val="continue"/>
            <w:noWrap w:val="0"/>
            <w:vAlign w:val="center"/>
          </w:tcPr>
          <w:p w14:paraId="15B99C52">
            <w:pPr>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710" w:type="pct"/>
            <w:vMerge w:val="continue"/>
            <w:noWrap w:val="0"/>
            <w:vAlign w:val="center"/>
          </w:tcPr>
          <w:p w14:paraId="25F393B7">
            <w:pPr>
              <w:bidi w:val="0"/>
              <w:spacing w:line="240" w:lineRule="auto"/>
              <w:ind w:left="0" w:leftChars="0" w:firstLine="0" w:firstLineChars="0"/>
              <w:jc w:val="center"/>
              <w:rPr>
                <w:rFonts w:hint="eastAsia" w:ascii="Times New Roman" w:hAnsi="Times New Roman" w:eastAsia="宋体" w:cs="Times New Roman"/>
                <w:color w:val="auto"/>
                <w:sz w:val="21"/>
                <w:szCs w:val="21"/>
                <w:lang w:val="en-US" w:eastAsia="zh-CN"/>
              </w:rPr>
            </w:pPr>
          </w:p>
        </w:tc>
        <w:tc>
          <w:tcPr>
            <w:tcW w:w="2205" w:type="dxa"/>
            <w:noWrap w:val="0"/>
            <w:vAlign w:val="center"/>
          </w:tcPr>
          <w:p w14:paraId="500BA561">
            <w:pPr>
              <w:bidi w:val="0"/>
              <w:spacing w:line="240" w:lineRule="auto"/>
              <w:ind w:left="0" w:leftChars="0" w:firstLine="0" w:firstLineChars="0"/>
              <w:jc w:val="center"/>
              <w:rPr>
                <w:sz w:val="21"/>
                <w:szCs w:val="21"/>
              </w:rPr>
            </w:pPr>
            <w:r>
              <w:rPr>
                <w:rFonts w:hint="eastAsia" w:ascii="Times New Roman" w:hAnsi="Times New Roman" w:eastAsia="宋体" w:cs="Times New Roman"/>
                <w:bCs/>
                <w:color w:val="000000"/>
                <w:sz w:val="21"/>
                <w:szCs w:val="21"/>
                <w:highlight w:val="none"/>
                <w:lang w:val="en-US" w:eastAsia="zh-CN"/>
              </w:rPr>
              <w:t>2024.7.25</w:t>
            </w:r>
          </w:p>
        </w:tc>
        <w:tc>
          <w:tcPr>
            <w:tcW w:w="1779" w:type="pct"/>
            <w:noWrap w:val="0"/>
            <w:vAlign w:val="center"/>
          </w:tcPr>
          <w:p w14:paraId="5A7A4B20">
            <w:pPr>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012</w:t>
            </w:r>
          </w:p>
        </w:tc>
      </w:tr>
      <w:tr w14:paraId="4B1358A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692" w:type="pct"/>
            <w:vMerge w:val="continue"/>
            <w:noWrap w:val="0"/>
            <w:vAlign w:val="center"/>
          </w:tcPr>
          <w:p w14:paraId="111F3398">
            <w:pPr>
              <w:bidi w:val="0"/>
              <w:spacing w:line="240" w:lineRule="auto"/>
              <w:ind w:left="0" w:leftChars="0" w:firstLine="0" w:firstLineChars="0"/>
              <w:jc w:val="center"/>
              <w:rPr>
                <w:rFonts w:hint="default" w:ascii="Times New Roman" w:hAnsi="Times New Roman" w:eastAsia="宋体" w:cs="Times New Roman"/>
                <w:sz w:val="21"/>
                <w:szCs w:val="21"/>
                <w:lang w:val="en-US" w:eastAsia="zh-CN"/>
              </w:rPr>
            </w:pPr>
          </w:p>
        </w:tc>
        <w:tc>
          <w:tcPr>
            <w:tcW w:w="671" w:type="pct"/>
            <w:vMerge w:val="continue"/>
            <w:noWrap w:val="0"/>
            <w:vAlign w:val="center"/>
          </w:tcPr>
          <w:p w14:paraId="0B61474C">
            <w:pPr>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p>
        </w:tc>
        <w:tc>
          <w:tcPr>
            <w:tcW w:w="710" w:type="pct"/>
            <w:vMerge w:val="continue"/>
            <w:noWrap w:val="0"/>
            <w:vAlign w:val="center"/>
          </w:tcPr>
          <w:p w14:paraId="6301E5C5">
            <w:pPr>
              <w:bidi w:val="0"/>
              <w:spacing w:line="240" w:lineRule="auto"/>
              <w:ind w:left="0" w:leftChars="0" w:firstLine="0" w:firstLineChars="0"/>
              <w:jc w:val="center"/>
              <w:rPr>
                <w:rFonts w:hint="eastAsia" w:ascii="Times New Roman" w:hAnsi="Times New Roman" w:eastAsia="宋体" w:cs="Times New Roman"/>
                <w:color w:val="auto"/>
                <w:sz w:val="21"/>
                <w:szCs w:val="21"/>
                <w:lang w:val="en-US" w:eastAsia="zh-CN"/>
              </w:rPr>
            </w:pPr>
          </w:p>
        </w:tc>
        <w:tc>
          <w:tcPr>
            <w:tcW w:w="1147" w:type="pct"/>
            <w:noWrap w:val="0"/>
            <w:vAlign w:val="center"/>
          </w:tcPr>
          <w:p w14:paraId="16838A33">
            <w:pPr>
              <w:bidi w:val="0"/>
              <w:spacing w:line="240" w:lineRule="auto"/>
              <w:ind w:left="0" w:leftChars="0" w:firstLine="0" w:firstLineChars="0"/>
              <w:jc w:val="center"/>
              <w:rPr>
                <w:rFonts w:hint="eastAsia" w:eastAsia="宋体"/>
                <w:sz w:val="21"/>
                <w:szCs w:val="21"/>
                <w:lang w:val="en-US" w:eastAsia="zh-CN"/>
              </w:rPr>
            </w:pPr>
            <w:r>
              <w:rPr>
                <w:rFonts w:hint="eastAsia"/>
                <w:sz w:val="21"/>
                <w:szCs w:val="21"/>
                <w:lang w:val="en-US" w:eastAsia="zh-CN"/>
              </w:rPr>
              <w:t>平均值</w:t>
            </w:r>
          </w:p>
        </w:tc>
        <w:tc>
          <w:tcPr>
            <w:tcW w:w="1779" w:type="pct"/>
            <w:noWrap w:val="0"/>
            <w:vAlign w:val="center"/>
          </w:tcPr>
          <w:p w14:paraId="2D677435">
            <w:pPr>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0.103</w:t>
            </w:r>
          </w:p>
        </w:tc>
      </w:tr>
    </w:tbl>
    <w:p w14:paraId="77BC8C34">
      <w:pPr>
        <w:pStyle w:val="92"/>
        <w:bidi w:val="0"/>
        <w:spacing w:line="240" w:lineRule="auto"/>
        <w:ind w:firstLine="480" w:firstLineChars="200"/>
        <w:jc w:val="left"/>
        <w:rPr>
          <w:rFonts w:hint="default" w:ascii="Times New Roman" w:hAnsi="Times New Roman" w:cs="Times New Roman"/>
          <w:b w:val="0"/>
          <w:bCs w:val="0"/>
          <w:sz w:val="24"/>
          <w:szCs w:val="24"/>
          <w:lang w:val="en-US" w:eastAsia="zh-CN"/>
        </w:rPr>
      </w:pPr>
      <w:r>
        <w:rPr>
          <w:rFonts w:hint="default" w:ascii="Times New Roman" w:hAnsi="Times New Roman" w:cs="Times New Roman"/>
          <w:b w:val="0"/>
          <w:bCs w:val="0"/>
          <w:sz w:val="24"/>
          <w:szCs w:val="24"/>
          <w:lang w:val="en-US" w:eastAsia="zh-CN"/>
        </w:rPr>
        <w:t>确定最终参与计算的</w:t>
      </w:r>
      <w:r>
        <w:rPr>
          <w:rFonts w:hint="default" w:ascii="Times New Roman" w:hAnsi="Times New Roman" w:cs="Times New Roman"/>
          <w:b w:val="0"/>
          <w:bCs w:val="0"/>
          <w:i/>
          <w:iCs/>
          <w:sz w:val="24"/>
          <w:szCs w:val="24"/>
          <w:lang w:val="en-US" w:eastAsia="zh-CN"/>
        </w:rPr>
        <w:t>K</w:t>
      </w:r>
      <w:r>
        <w:rPr>
          <w:rFonts w:hint="default" w:ascii="Times New Roman" w:hAnsi="Times New Roman" w:cs="Times New Roman"/>
          <w:b w:val="0"/>
          <w:bCs w:val="0"/>
          <w:sz w:val="24"/>
          <w:szCs w:val="24"/>
          <w:lang w:val="en-US" w:eastAsia="zh-CN"/>
        </w:rPr>
        <w:t>值见下表5-</w:t>
      </w:r>
      <w:r>
        <w:rPr>
          <w:rFonts w:hint="eastAsia" w:ascii="Times New Roman" w:hAnsi="Times New Roman" w:cs="Times New Roman"/>
          <w:b w:val="0"/>
          <w:bCs w:val="0"/>
          <w:sz w:val="24"/>
          <w:szCs w:val="24"/>
          <w:lang w:val="en-US" w:eastAsia="zh-CN"/>
        </w:rPr>
        <w:t>6</w:t>
      </w:r>
      <w:r>
        <w:rPr>
          <w:rFonts w:hint="default" w:ascii="Times New Roman" w:hAnsi="Times New Roman" w:cs="Times New Roman"/>
          <w:b w:val="0"/>
          <w:bCs w:val="0"/>
          <w:sz w:val="24"/>
          <w:szCs w:val="24"/>
          <w:lang w:val="en-US" w:eastAsia="zh-CN"/>
        </w:rPr>
        <w:t>。</w:t>
      </w:r>
    </w:p>
    <w:p w14:paraId="685B36C8">
      <w:pPr>
        <w:pStyle w:val="92"/>
        <w:bidi w:val="0"/>
        <w:spacing w:line="240" w:lineRule="auto"/>
        <w:rPr>
          <w:rFonts w:hint="default"/>
          <w:sz w:val="24"/>
          <w:szCs w:val="24"/>
          <w:lang w:val="en-US" w:eastAsia="zh-CN"/>
        </w:rPr>
      </w:pPr>
      <w:r>
        <w:rPr>
          <w:rFonts w:hint="default"/>
          <w:sz w:val="24"/>
          <w:szCs w:val="24"/>
          <w:lang w:val="en-US" w:eastAsia="zh-CN"/>
        </w:rPr>
        <w:t>表</w:t>
      </w:r>
      <w:r>
        <w:rPr>
          <w:rFonts w:hint="eastAsia"/>
          <w:sz w:val="24"/>
          <w:szCs w:val="24"/>
          <w:lang w:val="en-US" w:eastAsia="zh-CN"/>
        </w:rPr>
        <w:t>5-6</w:t>
      </w:r>
      <w:r>
        <w:rPr>
          <w:rFonts w:hint="default"/>
          <w:sz w:val="24"/>
          <w:szCs w:val="24"/>
          <w:lang w:val="en-US" w:eastAsia="zh-CN"/>
        </w:rPr>
        <w:t xml:space="preserve"> </w:t>
      </w:r>
      <w:r>
        <w:rPr>
          <w:rFonts w:hint="eastAsia"/>
          <w:sz w:val="24"/>
          <w:szCs w:val="24"/>
          <w:lang w:val="en-US" w:eastAsia="zh-CN"/>
        </w:rPr>
        <w:t>果利河污染物综合衰减系数</w:t>
      </w:r>
      <w:r>
        <w:rPr>
          <w:rFonts w:hint="default"/>
          <w:i/>
          <w:iCs/>
          <w:sz w:val="24"/>
          <w:szCs w:val="24"/>
          <w:lang w:val="en-US" w:eastAsia="zh-CN"/>
        </w:rPr>
        <w:t>K</w:t>
      </w:r>
      <w:r>
        <w:rPr>
          <w:rFonts w:hint="default"/>
          <w:sz w:val="24"/>
          <w:szCs w:val="24"/>
          <w:lang w:val="en-US" w:eastAsia="zh-CN"/>
        </w:rPr>
        <w:t>值一览表</w:t>
      </w:r>
    </w:p>
    <w:tbl>
      <w:tblPr>
        <w:tblStyle w:val="32"/>
        <w:tblW w:w="487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40"/>
        <w:gridCol w:w="1230"/>
        <w:gridCol w:w="1273"/>
        <w:gridCol w:w="1923"/>
        <w:gridCol w:w="1810"/>
        <w:gridCol w:w="1585"/>
      </w:tblGrid>
      <w:tr w14:paraId="5649A1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4" w:type="pct"/>
            <w:noWrap w:val="0"/>
            <w:vAlign w:val="center"/>
          </w:tcPr>
          <w:p w14:paraId="1F0281A8">
            <w:pPr>
              <w:bidi w:val="0"/>
              <w:spacing w:line="240" w:lineRule="auto"/>
              <w:ind w:left="0" w:leftChars="0" w:firstLine="0" w:firstLineChars="0"/>
              <w:jc w:val="center"/>
              <w:rPr>
                <w:rFonts w:hint="default" w:ascii="Times New Roman" w:hAnsi="Times New Roman" w:eastAsia="宋体" w:cs="Times New Roman"/>
                <w:b/>
                <w:bCs/>
                <w:sz w:val="21"/>
                <w:szCs w:val="21"/>
              </w:rPr>
            </w:pPr>
            <w:r>
              <w:rPr>
                <w:rFonts w:hint="default"/>
                <w:b/>
                <w:bCs/>
                <w:sz w:val="21"/>
                <w:szCs w:val="21"/>
              </w:rPr>
              <w:t>河流</w:t>
            </w:r>
          </w:p>
        </w:tc>
        <w:tc>
          <w:tcPr>
            <w:tcW w:w="678" w:type="pct"/>
            <w:noWrap w:val="0"/>
            <w:vAlign w:val="center"/>
          </w:tcPr>
          <w:p w14:paraId="1DC53562">
            <w:pPr>
              <w:bidi w:val="0"/>
              <w:spacing w:line="240" w:lineRule="auto"/>
              <w:ind w:left="0" w:leftChars="0" w:firstLine="0" w:firstLineChars="0"/>
              <w:jc w:val="center"/>
              <w:rPr>
                <w:rFonts w:hint="default" w:eastAsia="宋体"/>
                <w:b/>
                <w:bCs/>
                <w:sz w:val="21"/>
                <w:szCs w:val="21"/>
                <w:lang w:val="en-US" w:eastAsia="zh-CN"/>
              </w:rPr>
            </w:pPr>
            <w:r>
              <w:rPr>
                <w:rFonts w:hint="eastAsia"/>
                <w:b/>
                <w:bCs/>
                <w:sz w:val="21"/>
                <w:szCs w:val="21"/>
                <w:lang w:val="en-US" w:eastAsia="zh-CN"/>
              </w:rPr>
              <w:t>水质状况</w:t>
            </w:r>
          </w:p>
        </w:tc>
        <w:tc>
          <w:tcPr>
            <w:tcW w:w="702" w:type="pct"/>
            <w:noWrap w:val="0"/>
            <w:vAlign w:val="center"/>
          </w:tcPr>
          <w:p w14:paraId="2CF8234D">
            <w:pPr>
              <w:bidi w:val="0"/>
              <w:spacing w:line="240" w:lineRule="auto"/>
              <w:ind w:left="0" w:leftChars="0" w:firstLine="0" w:firstLineChars="0"/>
              <w:jc w:val="center"/>
              <w:rPr>
                <w:rFonts w:hint="default"/>
                <w:b/>
                <w:bCs/>
                <w:sz w:val="21"/>
                <w:szCs w:val="21"/>
                <w:lang w:val="en-US" w:eastAsia="zh-CN"/>
              </w:rPr>
            </w:pPr>
            <w:r>
              <w:rPr>
                <w:rFonts w:hint="eastAsia"/>
                <w:b/>
                <w:bCs/>
                <w:sz w:val="21"/>
                <w:szCs w:val="21"/>
                <w:lang w:val="en-US" w:eastAsia="zh-CN"/>
              </w:rPr>
              <w:t>河道</w:t>
            </w:r>
          </w:p>
        </w:tc>
        <w:tc>
          <w:tcPr>
            <w:tcW w:w="1061" w:type="pct"/>
            <w:noWrap w:val="0"/>
            <w:vAlign w:val="center"/>
          </w:tcPr>
          <w:p w14:paraId="7015D02C">
            <w:pPr>
              <w:bidi w:val="0"/>
              <w:spacing w:line="240" w:lineRule="auto"/>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i/>
                <w:iCs/>
                <w:sz w:val="21"/>
                <w:szCs w:val="21"/>
                <w:lang w:val="en-US" w:eastAsia="zh-CN"/>
              </w:rPr>
              <w:t>K</w:t>
            </w:r>
            <w:r>
              <w:rPr>
                <w:rFonts w:hint="default" w:ascii="Times New Roman" w:hAnsi="Times New Roman" w:eastAsia="宋体" w:cs="Times New Roman"/>
                <w:b/>
                <w:bCs/>
                <w:sz w:val="21"/>
                <w:szCs w:val="21"/>
                <w:vertAlign w:val="subscript"/>
                <w:lang w:val="en-US" w:eastAsia="zh-CN"/>
              </w:rPr>
              <w:t>COD</w:t>
            </w:r>
            <w:r>
              <w:rPr>
                <w:rFonts w:hint="eastAsia" w:ascii="Times New Roman" w:hAnsi="Times New Roman" w:eastAsia="宋体" w:cs="Times New Roman"/>
                <w:b/>
                <w:bCs/>
                <w:sz w:val="21"/>
                <w:szCs w:val="21"/>
                <w:vertAlign w:val="baseline"/>
                <w:lang w:val="en-US" w:eastAsia="zh-CN"/>
              </w:rPr>
              <w:t>（1/s）</w:t>
            </w:r>
          </w:p>
        </w:tc>
        <w:tc>
          <w:tcPr>
            <w:tcW w:w="998" w:type="pct"/>
            <w:noWrap w:val="0"/>
            <w:vAlign w:val="center"/>
          </w:tcPr>
          <w:p w14:paraId="517532AE">
            <w:pPr>
              <w:bidi w:val="0"/>
              <w:spacing w:line="240" w:lineRule="auto"/>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i/>
                <w:iCs/>
                <w:sz w:val="21"/>
                <w:szCs w:val="21"/>
                <w:lang w:val="en-US" w:eastAsia="zh-CN"/>
              </w:rPr>
              <w:t>K</w:t>
            </w:r>
            <w:r>
              <w:rPr>
                <w:rFonts w:hint="default" w:ascii="Times New Roman" w:hAnsi="Times New Roman" w:eastAsia="宋体" w:cs="Times New Roman"/>
                <w:b/>
                <w:bCs/>
                <w:sz w:val="21"/>
                <w:szCs w:val="21"/>
                <w:vertAlign w:val="subscript"/>
                <w:lang w:val="en-US" w:eastAsia="zh-CN"/>
              </w:rPr>
              <w:t>NH3－N</w:t>
            </w:r>
            <w:r>
              <w:rPr>
                <w:rFonts w:hint="eastAsia" w:ascii="Times New Roman" w:hAnsi="Times New Roman" w:eastAsia="宋体" w:cs="Times New Roman"/>
                <w:b/>
                <w:bCs/>
                <w:sz w:val="21"/>
                <w:szCs w:val="21"/>
                <w:vertAlign w:val="baseline"/>
                <w:lang w:val="en-US" w:eastAsia="zh-CN"/>
              </w:rPr>
              <w:t>（1/s）</w:t>
            </w:r>
          </w:p>
        </w:tc>
        <w:tc>
          <w:tcPr>
            <w:tcW w:w="874" w:type="pct"/>
            <w:noWrap w:val="0"/>
            <w:vAlign w:val="center"/>
          </w:tcPr>
          <w:p w14:paraId="1FDDF3C5">
            <w:pPr>
              <w:bidi w:val="0"/>
              <w:spacing w:line="240" w:lineRule="auto"/>
              <w:ind w:left="0" w:leftChars="0" w:firstLine="0" w:firstLineChars="0"/>
              <w:jc w:val="center"/>
              <w:rPr>
                <w:rFonts w:hint="eastAsia" w:cs="Times New Roman"/>
                <w:b/>
                <w:bCs/>
                <w:sz w:val="21"/>
                <w:szCs w:val="21"/>
                <w:lang w:val="en-US" w:eastAsia="zh-CN"/>
              </w:rPr>
            </w:pPr>
            <w:r>
              <w:rPr>
                <w:rFonts w:hint="eastAsia" w:cs="Times New Roman"/>
                <w:b/>
                <w:bCs/>
                <w:i/>
                <w:iCs/>
                <w:sz w:val="21"/>
                <w:szCs w:val="21"/>
                <w:lang w:val="en-US" w:eastAsia="zh-CN"/>
              </w:rPr>
              <w:t>K</w:t>
            </w:r>
            <w:r>
              <w:rPr>
                <w:rFonts w:hint="eastAsia" w:cs="Times New Roman"/>
                <w:b/>
                <w:bCs/>
                <w:sz w:val="21"/>
                <w:szCs w:val="21"/>
                <w:vertAlign w:val="subscript"/>
                <w:lang w:val="en-US" w:eastAsia="zh-CN"/>
              </w:rPr>
              <w:t>TP</w:t>
            </w:r>
            <w:r>
              <w:rPr>
                <w:rFonts w:hint="eastAsia" w:ascii="Times New Roman" w:hAnsi="Times New Roman" w:eastAsia="宋体" w:cs="Times New Roman"/>
                <w:b/>
                <w:bCs/>
                <w:sz w:val="21"/>
                <w:szCs w:val="21"/>
                <w:vertAlign w:val="baseline"/>
                <w:lang w:val="en-US" w:eastAsia="zh-CN"/>
              </w:rPr>
              <w:t>（1/s）</w:t>
            </w:r>
          </w:p>
        </w:tc>
      </w:tr>
      <w:tr w14:paraId="1973DB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4" w:type="pct"/>
            <w:noWrap w:val="0"/>
            <w:vAlign w:val="center"/>
          </w:tcPr>
          <w:p w14:paraId="42C5550C">
            <w:pPr>
              <w:bidi w:val="0"/>
              <w:spacing w:line="240" w:lineRule="auto"/>
              <w:ind w:left="0" w:leftChars="0" w:firstLine="0" w:firstLineChars="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果利河</w:t>
            </w:r>
          </w:p>
        </w:tc>
        <w:tc>
          <w:tcPr>
            <w:tcW w:w="678" w:type="pct"/>
            <w:noWrap w:val="0"/>
            <w:vAlign w:val="center"/>
          </w:tcPr>
          <w:p w14:paraId="2CCA32C9">
            <w:pPr>
              <w:bidi w:val="0"/>
              <w:spacing w:line="240" w:lineRule="auto"/>
              <w:ind w:left="0" w:leftChars="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Ⅲ类</w:t>
            </w:r>
          </w:p>
        </w:tc>
        <w:tc>
          <w:tcPr>
            <w:tcW w:w="702" w:type="pct"/>
            <w:noWrap w:val="0"/>
            <w:vAlign w:val="center"/>
          </w:tcPr>
          <w:p w14:paraId="60AAEC3A">
            <w:pPr>
              <w:bidi w:val="0"/>
              <w:spacing w:line="240" w:lineRule="auto"/>
              <w:ind w:left="0" w:leftChars="0"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一般</w:t>
            </w:r>
          </w:p>
        </w:tc>
        <w:tc>
          <w:tcPr>
            <w:tcW w:w="1061" w:type="pct"/>
            <w:noWrap w:val="0"/>
            <w:vAlign w:val="center"/>
          </w:tcPr>
          <w:p w14:paraId="41D50DA6">
            <w:pPr>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0.00000208</w:t>
            </w:r>
          </w:p>
        </w:tc>
        <w:tc>
          <w:tcPr>
            <w:tcW w:w="998" w:type="pct"/>
            <w:noWrap w:val="0"/>
            <w:vAlign w:val="center"/>
          </w:tcPr>
          <w:p w14:paraId="41017A9C">
            <w:pPr>
              <w:bidi w:val="0"/>
              <w:spacing w:line="240" w:lineRule="auto"/>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0.00000174</w:t>
            </w:r>
          </w:p>
        </w:tc>
        <w:tc>
          <w:tcPr>
            <w:tcW w:w="874" w:type="pct"/>
            <w:noWrap w:val="0"/>
            <w:vAlign w:val="center"/>
          </w:tcPr>
          <w:p w14:paraId="43B0C749">
            <w:pPr>
              <w:bidi w:val="0"/>
              <w:spacing w:line="240" w:lineRule="auto"/>
              <w:ind w:left="0" w:leftChars="0" w:firstLine="0" w:firstLineChars="0"/>
              <w:jc w:val="center"/>
              <w:rPr>
                <w:rFonts w:hint="default" w:cs="Times New Roman"/>
                <w:color w:val="auto"/>
                <w:sz w:val="21"/>
                <w:szCs w:val="21"/>
                <w:lang w:val="en-US" w:eastAsia="zh-CN"/>
              </w:rPr>
            </w:pPr>
            <w:r>
              <w:rPr>
                <w:rFonts w:hint="eastAsia" w:cs="Times New Roman"/>
                <w:color w:val="auto"/>
                <w:sz w:val="21"/>
                <w:szCs w:val="21"/>
                <w:lang w:val="en-US" w:eastAsia="zh-CN"/>
              </w:rPr>
              <w:t>0.000297</w:t>
            </w:r>
          </w:p>
        </w:tc>
      </w:tr>
    </w:tbl>
    <w:p w14:paraId="3FB27E89">
      <w:pPr>
        <w:widowControl/>
        <w:kinsoku w:val="0"/>
        <w:wordWrap w:val="0"/>
        <w:overflowPunct w:val="0"/>
        <w:topLinePunct/>
        <w:autoSpaceDE/>
        <w:autoSpaceDN/>
        <w:spacing w:before="0" w:after="0" w:line="360" w:lineRule="auto"/>
        <w:ind w:left="0" w:right="0" w:firstLine="480" w:firstLineChars="200"/>
        <w:jc w:val="left"/>
        <w:rPr>
          <w:rFonts w:cs="宋体"/>
          <w:color w:val="000000"/>
          <w:kern w:val="2"/>
          <w:sz w:val="24"/>
          <w:u w:val="none"/>
          <w:lang w:val="zh-CN" w:bidi="zh-CN"/>
        </w:rPr>
      </w:pPr>
      <w:r>
        <w:rPr>
          <w:rFonts w:hint="eastAsia" w:ascii="Times New Roman" w:hAnsi="Times New Roman" w:eastAsia="宋体" w:cs="Times New Roman"/>
          <w:kern w:val="2"/>
          <w:sz w:val="24"/>
          <w:szCs w:val="24"/>
          <w:u w:val="single"/>
          <w:lang w:val="en-US" w:eastAsia="zh-CN" w:bidi="zh-CN"/>
        </w:rPr>
        <w:t>经计算，本项目α Pe值如下表</w:t>
      </w:r>
    </w:p>
    <w:p w14:paraId="66ECD4D7">
      <w:pPr>
        <w:widowControl/>
        <w:kinsoku w:val="0"/>
        <w:wordWrap w:val="0"/>
        <w:overflowPunct w:val="0"/>
        <w:topLinePunct/>
        <w:autoSpaceDE/>
        <w:autoSpaceDN/>
        <w:spacing w:before="0" w:after="0" w:line="240" w:lineRule="auto"/>
        <w:ind w:left="0" w:right="0" w:firstLine="0" w:firstLineChars="0"/>
        <w:jc w:val="center"/>
        <w:rPr>
          <w:rFonts w:cs="宋体"/>
          <w:b/>
          <w:bCs/>
          <w:color w:val="000000"/>
          <w:kern w:val="2"/>
          <w:sz w:val="21"/>
          <w:szCs w:val="21"/>
          <w:u w:val="none"/>
          <w:lang w:val="zh-CN" w:bidi="zh-CN"/>
        </w:rPr>
      </w:pPr>
      <w:r>
        <w:rPr>
          <w:rFonts w:hint="eastAsia" w:cs="宋体"/>
          <w:b/>
          <w:bCs/>
          <w:color w:val="000000"/>
          <w:kern w:val="2"/>
          <w:sz w:val="21"/>
          <w:szCs w:val="21"/>
          <w:u w:val="none"/>
          <w:lang w:val="zh-CN" w:bidi="zh-CN"/>
        </w:rPr>
        <w:t>表</w:t>
      </w:r>
      <w:r>
        <w:rPr>
          <w:rFonts w:hint="eastAsia" w:cs="宋体"/>
          <w:b/>
          <w:bCs/>
          <w:color w:val="000000"/>
          <w:kern w:val="2"/>
          <w:sz w:val="21"/>
          <w:szCs w:val="21"/>
          <w:u w:val="none"/>
          <w:lang w:val="en-US" w:eastAsia="zh-CN" w:bidi="zh-CN"/>
        </w:rPr>
        <w:t xml:space="preserve">3.3-5 </w:t>
      </w:r>
      <w:r>
        <w:rPr>
          <w:rFonts w:hint="eastAsia" w:cs="宋体"/>
          <w:b/>
          <w:bCs/>
          <w:color w:val="000000"/>
          <w:kern w:val="2"/>
          <w:sz w:val="21"/>
          <w:szCs w:val="21"/>
          <w:u w:val="none"/>
          <w:lang w:val="zh-CN" w:bidi="zh-CN"/>
        </w:rPr>
        <w:t>α</w:t>
      </w:r>
      <w:r>
        <w:rPr>
          <w:rFonts w:hint="eastAsia" w:cs="宋体"/>
          <w:b/>
          <w:bCs/>
          <w:color w:val="000000"/>
          <w:kern w:val="2"/>
          <w:sz w:val="21"/>
          <w:szCs w:val="21"/>
          <w:u w:val="none"/>
          <w:lang w:val="zh-CN" w:eastAsia="zh-CN" w:bidi="zh-CN"/>
        </w:rPr>
        <w:t>、</w:t>
      </w:r>
      <w:r>
        <w:rPr>
          <w:rFonts w:cs="宋体"/>
          <w:b/>
          <w:bCs/>
          <w:color w:val="000000"/>
          <w:kern w:val="2"/>
          <w:sz w:val="21"/>
          <w:szCs w:val="21"/>
          <w:u w:val="none"/>
          <w:lang w:val="zh-CN" w:bidi="zh-CN"/>
        </w:rPr>
        <w:t>Pe</w:t>
      </w:r>
      <w:r>
        <w:rPr>
          <w:rFonts w:hint="eastAsia" w:cs="宋体"/>
          <w:b/>
          <w:bCs/>
          <w:color w:val="000000"/>
          <w:kern w:val="2"/>
          <w:sz w:val="21"/>
          <w:szCs w:val="21"/>
          <w:u w:val="none"/>
          <w:lang w:val="zh-CN" w:bidi="zh-CN"/>
        </w:rPr>
        <w:t>计算结果表</w:t>
      </w:r>
    </w:p>
    <w:tbl>
      <w:tblPr>
        <w:tblStyle w:val="3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9"/>
        <w:gridCol w:w="1127"/>
        <w:gridCol w:w="2344"/>
        <w:gridCol w:w="2351"/>
        <w:gridCol w:w="2353"/>
      </w:tblGrid>
      <w:tr w14:paraId="117328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1204" w:type="pct"/>
            <w:gridSpan w:val="2"/>
            <w:tcBorders>
              <w:tl2br w:val="nil"/>
              <w:tr2bl w:val="nil"/>
            </w:tcBorders>
            <w:vAlign w:val="center"/>
          </w:tcPr>
          <w:p w14:paraId="1B2533BB">
            <w:pPr>
              <w:widowControl/>
              <w:kinsoku w:val="0"/>
              <w:wordWrap w:val="0"/>
              <w:overflowPunct w:val="0"/>
              <w:topLinePunct/>
              <w:autoSpaceDE/>
              <w:autoSpaceDN/>
              <w:spacing w:before="0" w:after="0" w:line="320" w:lineRule="exact"/>
              <w:ind w:left="0" w:right="0" w:firstLine="0" w:firstLineChars="0"/>
              <w:jc w:val="center"/>
              <w:rPr>
                <w:rFonts w:cs="宋体"/>
                <w:color w:val="000000"/>
                <w:kern w:val="2"/>
                <w:sz w:val="21"/>
                <w:u w:val="none"/>
                <w:lang w:val="zh-CN" w:bidi="zh-CN"/>
              </w:rPr>
            </w:pPr>
            <w:r>
              <w:rPr>
                <w:rFonts w:hint="eastAsia" w:cs="宋体"/>
                <w:color w:val="000000"/>
                <w:kern w:val="2"/>
                <w:sz w:val="21"/>
                <w:u w:val="none"/>
                <w:lang w:val="zh-CN" w:bidi="zh-CN"/>
              </w:rPr>
              <w:t>项目</w:t>
            </w:r>
          </w:p>
        </w:tc>
        <w:tc>
          <w:tcPr>
            <w:tcW w:w="1262" w:type="pct"/>
            <w:tcBorders>
              <w:tl2br w:val="nil"/>
              <w:tr2bl w:val="nil"/>
            </w:tcBorders>
            <w:vAlign w:val="center"/>
          </w:tcPr>
          <w:p w14:paraId="2E592DA4">
            <w:pPr>
              <w:widowControl/>
              <w:kinsoku w:val="0"/>
              <w:wordWrap w:val="0"/>
              <w:overflowPunct w:val="0"/>
              <w:topLinePunct/>
              <w:autoSpaceDE/>
              <w:autoSpaceDN/>
              <w:spacing w:before="0" w:after="0" w:line="320" w:lineRule="exact"/>
              <w:ind w:left="0" w:right="0" w:firstLine="0" w:firstLineChars="0"/>
              <w:jc w:val="center"/>
              <w:rPr>
                <w:rFonts w:cs="宋体"/>
                <w:color w:val="000000"/>
                <w:kern w:val="2"/>
                <w:sz w:val="21"/>
                <w:u w:val="none"/>
                <w:lang w:val="zh-CN" w:bidi="zh-CN"/>
              </w:rPr>
            </w:pPr>
            <w:r>
              <w:rPr>
                <w:rFonts w:cs="宋体"/>
                <w:color w:val="000000"/>
                <w:kern w:val="2"/>
                <w:sz w:val="21"/>
                <w:u w:val="none"/>
                <w:lang w:val="zh-CN" w:bidi="zh-CN"/>
              </w:rPr>
              <w:t>COD</w:t>
            </w:r>
          </w:p>
        </w:tc>
        <w:tc>
          <w:tcPr>
            <w:tcW w:w="1266" w:type="pct"/>
            <w:tcBorders>
              <w:tl2br w:val="nil"/>
              <w:tr2bl w:val="nil"/>
            </w:tcBorders>
            <w:vAlign w:val="center"/>
          </w:tcPr>
          <w:p w14:paraId="142574C1">
            <w:pPr>
              <w:widowControl/>
              <w:kinsoku w:val="0"/>
              <w:wordWrap w:val="0"/>
              <w:overflowPunct w:val="0"/>
              <w:topLinePunct/>
              <w:autoSpaceDE/>
              <w:autoSpaceDN/>
              <w:spacing w:before="0" w:after="0" w:line="320" w:lineRule="exact"/>
              <w:ind w:left="0" w:leftChars="0" w:right="0" w:rightChars="0" w:firstLine="0" w:firstLineChars="0"/>
              <w:jc w:val="center"/>
              <w:rPr>
                <w:rFonts w:hint="default" w:ascii="Times New Roman" w:hAnsi="Times New Roman" w:eastAsia="宋体" w:cs="宋体"/>
                <w:color w:val="000000"/>
                <w:kern w:val="2"/>
                <w:sz w:val="21"/>
                <w:szCs w:val="21"/>
                <w:u w:val="none"/>
                <w:lang w:val="en-US" w:eastAsia="zh-CN" w:bidi="zh-CN"/>
              </w:rPr>
            </w:pPr>
            <w:r>
              <w:rPr>
                <w:rFonts w:cs="宋体"/>
                <w:color w:val="000000"/>
                <w:kern w:val="2"/>
                <w:sz w:val="21"/>
                <w:u w:val="none"/>
                <w:lang w:val="zh-CN" w:bidi="zh-CN"/>
              </w:rPr>
              <w:t>NH</w:t>
            </w:r>
            <w:r>
              <w:rPr>
                <w:rFonts w:cs="宋体"/>
                <w:color w:val="000000"/>
                <w:kern w:val="2"/>
                <w:sz w:val="21"/>
                <w:u w:val="none"/>
                <w:vertAlign w:val="subscript"/>
                <w:lang w:val="zh-CN" w:bidi="zh-CN"/>
              </w:rPr>
              <w:t>3</w:t>
            </w:r>
            <w:r>
              <w:rPr>
                <w:rFonts w:cs="宋体"/>
                <w:color w:val="000000"/>
                <w:kern w:val="2"/>
                <w:sz w:val="21"/>
                <w:u w:val="none"/>
                <w:lang w:val="zh-CN" w:bidi="zh-CN"/>
              </w:rPr>
              <w:t>-N</w:t>
            </w:r>
          </w:p>
        </w:tc>
        <w:tc>
          <w:tcPr>
            <w:tcW w:w="1266" w:type="pct"/>
            <w:tcBorders>
              <w:tl2br w:val="nil"/>
              <w:tr2bl w:val="nil"/>
            </w:tcBorders>
            <w:vAlign w:val="center"/>
          </w:tcPr>
          <w:p w14:paraId="22264FE1">
            <w:pPr>
              <w:widowControl/>
              <w:kinsoku w:val="0"/>
              <w:wordWrap w:val="0"/>
              <w:overflowPunct w:val="0"/>
              <w:topLinePunct/>
              <w:autoSpaceDE/>
              <w:autoSpaceDN/>
              <w:spacing w:before="0" w:after="0" w:line="320" w:lineRule="exact"/>
              <w:ind w:left="0" w:leftChars="0" w:right="0" w:rightChars="0" w:firstLine="0" w:firstLineChars="0"/>
              <w:jc w:val="center"/>
              <w:rPr>
                <w:rFonts w:hint="default" w:cs="宋体"/>
                <w:color w:val="000000"/>
                <w:kern w:val="2"/>
                <w:sz w:val="21"/>
                <w:u w:val="none"/>
                <w:lang w:val="en-US" w:bidi="zh-CN"/>
              </w:rPr>
            </w:pPr>
            <w:r>
              <w:rPr>
                <w:rFonts w:hint="eastAsia" w:cs="宋体"/>
                <w:color w:val="000000"/>
                <w:kern w:val="2"/>
                <w:sz w:val="21"/>
                <w:u w:val="none"/>
                <w:lang w:val="en-US" w:bidi="zh-CN"/>
              </w:rPr>
              <w:t>TP</w:t>
            </w:r>
          </w:p>
        </w:tc>
      </w:tr>
      <w:tr w14:paraId="3A8B25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97" w:type="pct"/>
            <w:vMerge w:val="restart"/>
            <w:tcBorders>
              <w:tl2br w:val="nil"/>
              <w:tr2bl w:val="nil"/>
            </w:tcBorders>
            <w:vAlign w:val="center"/>
          </w:tcPr>
          <w:p w14:paraId="36B6E3A8">
            <w:pPr>
              <w:widowControl/>
              <w:kinsoku w:val="0"/>
              <w:wordWrap w:val="0"/>
              <w:overflowPunct w:val="0"/>
              <w:topLinePunct/>
              <w:autoSpaceDE/>
              <w:autoSpaceDN/>
              <w:spacing w:before="0" w:after="0" w:line="320" w:lineRule="exact"/>
              <w:ind w:left="0" w:right="0" w:firstLine="0" w:firstLineChars="0"/>
              <w:jc w:val="center"/>
              <w:rPr>
                <w:rFonts w:hint="default" w:eastAsia="宋体" w:cs="宋体"/>
                <w:color w:val="000000"/>
                <w:kern w:val="2"/>
                <w:sz w:val="21"/>
                <w:u w:val="none"/>
                <w:lang w:val="en-US" w:eastAsia="zh-CN" w:bidi="zh-CN"/>
              </w:rPr>
            </w:pPr>
            <w:r>
              <w:rPr>
                <w:rFonts w:hint="eastAsia" w:cs="宋体"/>
                <w:color w:val="000000"/>
                <w:kern w:val="2"/>
                <w:sz w:val="24"/>
                <w:u w:val="none"/>
                <w:lang w:val="en-US" w:eastAsia="zh-CN" w:bidi="zh-CN"/>
              </w:rPr>
              <w:t>果利河</w:t>
            </w:r>
          </w:p>
        </w:tc>
        <w:tc>
          <w:tcPr>
            <w:tcW w:w="607" w:type="pct"/>
            <w:tcBorders>
              <w:tl2br w:val="nil"/>
              <w:tr2bl w:val="nil"/>
            </w:tcBorders>
            <w:vAlign w:val="center"/>
          </w:tcPr>
          <w:p w14:paraId="1F4B3F94">
            <w:pPr>
              <w:widowControl/>
              <w:kinsoku w:val="0"/>
              <w:wordWrap w:val="0"/>
              <w:overflowPunct w:val="0"/>
              <w:topLinePunct/>
              <w:autoSpaceDE/>
              <w:autoSpaceDN/>
              <w:spacing w:before="0" w:after="0" w:line="320" w:lineRule="exact"/>
              <w:ind w:left="0" w:right="0" w:firstLine="0" w:firstLineChars="0"/>
              <w:jc w:val="center"/>
              <w:rPr>
                <w:rFonts w:cs="宋体"/>
                <w:color w:val="000000"/>
                <w:kern w:val="2"/>
                <w:sz w:val="21"/>
                <w:u w:val="none"/>
                <w:lang w:val="zh-CN" w:bidi="zh-CN"/>
              </w:rPr>
            </w:pPr>
            <w:r>
              <w:rPr>
                <w:rFonts w:hint="eastAsia" w:cs="宋体"/>
                <w:color w:val="000000"/>
                <w:kern w:val="2"/>
                <w:sz w:val="21"/>
                <w:u w:val="none"/>
                <w:lang w:val="zh-CN" w:bidi="zh-CN"/>
              </w:rPr>
              <w:t>α值</w:t>
            </w:r>
          </w:p>
        </w:tc>
        <w:tc>
          <w:tcPr>
            <w:tcW w:w="2344" w:type="dxa"/>
            <w:tcBorders>
              <w:tl2br w:val="nil"/>
              <w:tr2bl w:val="nil"/>
            </w:tcBorders>
            <w:vAlign w:val="center"/>
          </w:tcPr>
          <w:p w14:paraId="0D42CAA1">
            <w:pPr>
              <w:widowControl/>
              <w:kinsoku w:val="0"/>
              <w:wordWrap w:val="0"/>
              <w:overflowPunct w:val="0"/>
              <w:topLinePunct/>
              <w:autoSpaceDE/>
              <w:autoSpaceDN/>
              <w:spacing w:before="0" w:after="0" w:line="320" w:lineRule="exact"/>
              <w:ind w:left="0" w:leftChars="0" w:right="0" w:rightChars="0" w:firstLine="0" w:firstLineChars="0"/>
              <w:jc w:val="center"/>
              <w:rPr>
                <w:rFonts w:hint="default" w:ascii="Times New Roman" w:hAnsi="Times New Roman" w:eastAsia="宋体" w:cs="宋体"/>
                <w:color w:val="000000"/>
                <w:kern w:val="2"/>
                <w:sz w:val="21"/>
                <w:szCs w:val="21"/>
                <w:u w:val="none"/>
                <w:lang w:val="en-US" w:eastAsia="zh-CN" w:bidi="zh-CN"/>
              </w:rPr>
            </w:pPr>
            <w:r>
              <w:rPr>
                <w:rFonts w:cs="宋体"/>
                <w:color w:val="000000"/>
                <w:kern w:val="2"/>
                <w:sz w:val="21"/>
                <w:u w:val="none"/>
                <w:lang w:val="zh-CN" w:bidi="zh-CN"/>
              </w:rPr>
              <w:t>0.000</w:t>
            </w:r>
            <w:r>
              <w:rPr>
                <w:rFonts w:hint="eastAsia" w:cs="宋体"/>
                <w:color w:val="000000"/>
                <w:kern w:val="2"/>
                <w:sz w:val="21"/>
                <w:u w:val="none"/>
                <w:lang w:val="en-US" w:bidi="zh-CN"/>
              </w:rPr>
              <w:t>4687</w:t>
            </w:r>
          </w:p>
        </w:tc>
        <w:tc>
          <w:tcPr>
            <w:tcW w:w="2351" w:type="dxa"/>
            <w:tcBorders>
              <w:tl2br w:val="nil"/>
              <w:tr2bl w:val="nil"/>
            </w:tcBorders>
            <w:vAlign w:val="top"/>
          </w:tcPr>
          <w:p w14:paraId="28BDDAD9">
            <w:pPr>
              <w:widowControl/>
              <w:kinsoku w:val="0"/>
              <w:wordWrap w:val="0"/>
              <w:overflowPunct w:val="0"/>
              <w:topLinePunct/>
              <w:autoSpaceDE/>
              <w:autoSpaceDN/>
              <w:spacing w:before="0" w:after="0" w:line="320" w:lineRule="exact"/>
              <w:ind w:left="0" w:leftChars="0" w:right="0" w:rightChars="0" w:firstLine="0" w:firstLineChars="0"/>
              <w:jc w:val="center"/>
              <w:rPr>
                <w:rFonts w:hint="default" w:eastAsia="宋体" w:cs="宋体"/>
                <w:color w:val="000000"/>
                <w:kern w:val="2"/>
                <w:sz w:val="21"/>
                <w:u w:val="none"/>
                <w:lang w:val="en-US" w:eastAsia="zh-CN" w:bidi="zh-CN"/>
              </w:rPr>
            </w:pPr>
            <w:r>
              <w:rPr>
                <w:rFonts w:cs="宋体"/>
                <w:color w:val="000000"/>
                <w:kern w:val="2"/>
                <w:sz w:val="21"/>
                <w:u w:val="none"/>
                <w:lang w:val="zh-CN" w:bidi="zh-CN"/>
              </w:rPr>
              <w:t>0.0000</w:t>
            </w:r>
            <w:r>
              <w:rPr>
                <w:rFonts w:hint="eastAsia" w:cs="宋体"/>
                <w:color w:val="000000"/>
                <w:kern w:val="2"/>
                <w:sz w:val="21"/>
                <w:u w:val="none"/>
                <w:lang w:val="en-US" w:bidi="zh-CN"/>
              </w:rPr>
              <w:t>2083</w:t>
            </w:r>
          </w:p>
        </w:tc>
        <w:tc>
          <w:tcPr>
            <w:tcW w:w="2353" w:type="dxa"/>
            <w:tcBorders>
              <w:tl2br w:val="nil"/>
              <w:tr2bl w:val="nil"/>
            </w:tcBorders>
            <w:vAlign w:val="top"/>
          </w:tcPr>
          <w:p w14:paraId="1865E546">
            <w:pPr>
              <w:widowControl/>
              <w:kinsoku w:val="0"/>
              <w:wordWrap w:val="0"/>
              <w:overflowPunct w:val="0"/>
              <w:topLinePunct/>
              <w:autoSpaceDE/>
              <w:autoSpaceDN/>
              <w:spacing w:before="0" w:after="0" w:line="320" w:lineRule="exact"/>
              <w:ind w:left="0" w:leftChars="0" w:right="0" w:rightChars="0" w:firstLine="0" w:firstLineChars="0"/>
              <w:jc w:val="center"/>
              <w:rPr>
                <w:rFonts w:cs="宋体"/>
                <w:color w:val="000000"/>
                <w:kern w:val="2"/>
                <w:sz w:val="21"/>
                <w:u w:val="none"/>
                <w:lang w:val="zh-CN" w:bidi="zh-CN"/>
              </w:rPr>
            </w:pPr>
            <w:r>
              <w:rPr>
                <w:rFonts w:cs="宋体"/>
                <w:color w:val="000000"/>
                <w:kern w:val="2"/>
                <w:sz w:val="21"/>
                <w:u w:val="none"/>
                <w:lang w:val="zh-CN" w:bidi="zh-CN"/>
              </w:rPr>
              <w:t>0.0000</w:t>
            </w:r>
            <w:r>
              <w:rPr>
                <w:rFonts w:hint="eastAsia" w:cs="宋体"/>
                <w:color w:val="000000"/>
                <w:kern w:val="2"/>
                <w:sz w:val="21"/>
                <w:u w:val="none"/>
                <w:lang w:val="en-US" w:bidi="zh-CN"/>
              </w:rPr>
              <w:t>2083</w:t>
            </w:r>
          </w:p>
        </w:tc>
      </w:tr>
      <w:tr w14:paraId="2610B6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97" w:type="pct"/>
            <w:vMerge w:val="continue"/>
            <w:tcBorders>
              <w:tl2br w:val="nil"/>
              <w:tr2bl w:val="nil"/>
            </w:tcBorders>
            <w:vAlign w:val="center"/>
          </w:tcPr>
          <w:p w14:paraId="61C312C4">
            <w:pPr>
              <w:widowControl/>
              <w:kinsoku w:val="0"/>
              <w:wordWrap w:val="0"/>
              <w:overflowPunct w:val="0"/>
              <w:topLinePunct/>
              <w:autoSpaceDE/>
              <w:autoSpaceDN/>
              <w:spacing w:before="0" w:after="0" w:line="320" w:lineRule="exact"/>
              <w:ind w:left="0" w:right="0" w:firstLine="0" w:firstLineChars="0"/>
              <w:jc w:val="center"/>
              <w:rPr>
                <w:rFonts w:cs="宋体"/>
                <w:color w:val="000000"/>
                <w:kern w:val="2"/>
                <w:sz w:val="24"/>
                <w:u w:val="none"/>
                <w:lang w:val="zh-CN" w:bidi="zh-CN"/>
              </w:rPr>
            </w:pPr>
          </w:p>
        </w:tc>
        <w:tc>
          <w:tcPr>
            <w:tcW w:w="607" w:type="pct"/>
            <w:tcBorders>
              <w:tl2br w:val="nil"/>
              <w:tr2bl w:val="nil"/>
            </w:tcBorders>
            <w:vAlign w:val="center"/>
          </w:tcPr>
          <w:p w14:paraId="714D1454">
            <w:pPr>
              <w:widowControl/>
              <w:kinsoku w:val="0"/>
              <w:wordWrap w:val="0"/>
              <w:overflowPunct w:val="0"/>
              <w:topLinePunct/>
              <w:autoSpaceDE/>
              <w:autoSpaceDN/>
              <w:spacing w:before="0" w:after="0" w:line="320" w:lineRule="exact"/>
              <w:ind w:left="0" w:right="0" w:firstLine="0" w:firstLineChars="0"/>
              <w:jc w:val="center"/>
              <w:rPr>
                <w:rFonts w:cs="宋体"/>
                <w:color w:val="000000"/>
                <w:kern w:val="2"/>
                <w:sz w:val="21"/>
                <w:u w:val="none"/>
                <w:lang w:val="zh-CN" w:bidi="zh-CN"/>
              </w:rPr>
            </w:pPr>
            <w:r>
              <w:rPr>
                <w:rFonts w:hint="eastAsia" w:cs="宋体"/>
                <w:color w:val="000000"/>
                <w:kern w:val="2"/>
                <w:sz w:val="21"/>
                <w:u w:val="none"/>
                <w:lang w:val="zh-CN" w:bidi="zh-CN"/>
              </w:rPr>
              <w:t>Pe值</w:t>
            </w:r>
          </w:p>
        </w:tc>
        <w:tc>
          <w:tcPr>
            <w:tcW w:w="3795" w:type="pct"/>
            <w:gridSpan w:val="3"/>
            <w:tcBorders>
              <w:tl2br w:val="nil"/>
              <w:tr2bl w:val="nil"/>
            </w:tcBorders>
            <w:vAlign w:val="center"/>
          </w:tcPr>
          <w:p w14:paraId="1E7C2CBA">
            <w:pPr>
              <w:widowControl/>
              <w:kinsoku w:val="0"/>
              <w:wordWrap w:val="0"/>
              <w:overflowPunct w:val="0"/>
              <w:topLinePunct/>
              <w:autoSpaceDE/>
              <w:autoSpaceDN/>
              <w:spacing w:before="0" w:after="0" w:line="320" w:lineRule="exact"/>
              <w:ind w:left="0" w:right="0" w:firstLine="0" w:firstLineChars="0"/>
              <w:jc w:val="center"/>
              <w:rPr>
                <w:rFonts w:hint="eastAsia" w:cs="宋体"/>
                <w:color w:val="000000"/>
                <w:kern w:val="2"/>
                <w:sz w:val="21"/>
                <w:u w:val="none"/>
                <w:lang w:val="en-US" w:eastAsia="zh-CN" w:bidi="zh-CN"/>
              </w:rPr>
            </w:pPr>
            <w:r>
              <w:rPr>
                <w:rFonts w:hint="eastAsia" w:cs="宋体"/>
                <w:color w:val="000000"/>
                <w:kern w:val="2"/>
                <w:sz w:val="21"/>
                <w:u w:val="none"/>
                <w:lang w:val="en-US" w:eastAsia="zh-CN" w:bidi="zh-CN"/>
              </w:rPr>
              <w:t>2.42</w:t>
            </w:r>
          </w:p>
        </w:tc>
      </w:tr>
    </w:tbl>
    <w:p w14:paraId="5853E429">
      <w:pPr>
        <w:widowControl/>
        <w:kinsoku w:val="0"/>
        <w:wordWrap w:val="0"/>
        <w:overflowPunct w:val="0"/>
        <w:topLinePunct/>
        <w:autoSpaceDE/>
        <w:autoSpaceDN/>
        <w:spacing w:before="0" w:after="0" w:line="360" w:lineRule="auto"/>
        <w:ind w:left="0" w:right="0" w:firstLine="480" w:firstLineChars="200"/>
        <w:jc w:val="left"/>
        <w:rPr>
          <w:rFonts w:cs="宋体"/>
          <w:color w:val="000000"/>
          <w:kern w:val="2"/>
          <w:sz w:val="24"/>
          <w:u w:val="none"/>
          <w:lang w:val="zh-CN" w:bidi="zh-CN"/>
        </w:rPr>
      </w:pPr>
      <w:r>
        <w:rPr>
          <w:rFonts w:hint="eastAsia" w:cs="宋体"/>
          <w:color w:val="000000"/>
          <w:kern w:val="2"/>
          <w:sz w:val="24"/>
          <w:u w:val="none"/>
          <w:lang w:val="zh-CN" w:bidi="zh-CN"/>
        </w:rPr>
        <w:t>由上表可知</w:t>
      </w:r>
      <w:r>
        <w:rPr>
          <w:rFonts w:hint="eastAsia" w:cs="宋体"/>
          <w:color w:val="000000"/>
          <w:kern w:val="2"/>
          <w:sz w:val="24"/>
          <w:highlight w:val="none"/>
          <w:u w:val="none"/>
          <w:lang w:val="zh-CN" w:bidi="zh-CN"/>
        </w:rPr>
        <w:t>，</w:t>
      </w:r>
      <w:r>
        <w:rPr>
          <w:rFonts w:hint="eastAsia" w:cs="宋体"/>
          <w:color w:val="000000"/>
          <w:kern w:val="2"/>
          <w:sz w:val="24"/>
          <w:highlight w:val="none"/>
          <w:u w:val="none"/>
          <w:lang w:val="en-US" w:eastAsia="zh-CN" w:bidi="zh-CN"/>
        </w:rPr>
        <w:t>果利河</w:t>
      </w:r>
      <w:r>
        <w:rPr>
          <w:rFonts w:hint="eastAsia" w:cs="宋体"/>
          <w:color w:val="000000"/>
          <w:kern w:val="2"/>
          <w:sz w:val="24"/>
          <w:highlight w:val="none"/>
          <w:u w:val="none"/>
          <w:lang w:val="zh-CN" w:bidi="zh-CN"/>
        </w:rPr>
        <w:t>的α≤</w:t>
      </w:r>
      <w:r>
        <w:rPr>
          <w:rFonts w:cs="宋体"/>
          <w:color w:val="000000"/>
          <w:kern w:val="2"/>
          <w:sz w:val="24"/>
          <w:highlight w:val="none"/>
          <w:u w:val="none"/>
          <w:lang w:val="zh-CN" w:bidi="zh-CN"/>
        </w:rPr>
        <w:t>0.027</w:t>
      </w:r>
      <w:r>
        <w:rPr>
          <w:rFonts w:hint="eastAsia" w:cs="宋体"/>
          <w:color w:val="000000"/>
          <w:kern w:val="2"/>
          <w:sz w:val="24"/>
          <w:highlight w:val="none"/>
          <w:u w:val="none"/>
          <w:lang w:val="zh-CN" w:bidi="zh-CN"/>
        </w:rPr>
        <w:t>，Pe值</w:t>
      </w:r>
      <w:r>
        <w:rPr>
          <w:rFonts w:hint="eastAsia" w:cs="宋体"/>
          <w:color w:val="000000"/>
          <w:kern w:val="2"/>
          <w:sz w:val="24"/>
          <w:highlight w:val="none"/>
          <w:u w:val="none"/>
          <w:lang w:val="zh-CN" w:eastAsia="zh-CN" w:bidi="zh-CN"/>
        </w:rPr>
        <w:t>大</w:t>
      </w:r>
      <w:r>
        <w:rPr>
          <w:rFonts w:hint="eastAsia" w:cs="宋体"/>
          <w:color w:val="000000"/>
          <w:kern w:val="2"/>
          <w:sz w:val="24"/>
          <w:highlight w:val="none"/>
          <w:u w:val="none"/>
          <w:lang w:val="zh-CN" w:bidi="zh-CN"/>
        </w:rPr>
        <w:t>于1。根据导</w:t>
      </w:r>
      <w:r>
        <w:rPr>
          <w:rFonts w:hint="eastAsia" w:cs="宋体"/>
          <w:color w:val="000000"/>
          <w:kern w:val="2"/>
          <w:sz w:val="24"/>
          <w:u w:val="none"/>
          <w:lang w:val="zh-CN" w:bidi="zh-CN"/>
        </w:rPr>
        <w:t>则附录</w:t>
      </w:r>
      <w:r>
        <w:rPr>
          <w:rFonts w:cs="宋体"/>
          <w:color w:val="000000"/>
          <w:kern w:val="2"/>
          <w:sz w:val="24"/>
          <w:u w:val="none"/>
          <w:lang w:val="zh-CN" w:bidi="zh-CN"/>
        </w:rPr>
        <w:t>E.3.2.1</w:t>
      </w:r>
      <w:r>
        <w:rPr>
          <w:rFonts w:hint="eastAsia" w:cs="宋体"/>
          <w:color w:val="000000"/>
          <w:kern w:val="2"/>
          <w:sz w:val="24"/>
          <w:u w:val="none"/>
          <w:lang w:val="zh-CN" w:bidi="zh-CN"/>
        </w:rPr>
        <w:t>，</w:t>
      </w:r>
      <w:r>
        <w:rPr>
          <w:rFonts w:hint="eastAsia" w:cs="宋体"/>
          <w:color w:val="000000"/>
          <w:kern w:val="2"/>
          <w:sz w:val="24"/>
          <w:u w:val="none"/>
          <w:lang w:val="en-US" w:eastAsia="zh-CN" w:bidi="zh-CN"/>
        </w:rPr>
        <w:t>果利河</w:t>
      </w:r>
      <w:r>
        <w:rPr>
          <w:rFonts w:hint="eastAsia" w:cs="宋体"/>
          <w:color w:val="000000"/>
          <w:kern w:val="2"/>
          <w:sz w:val="24"/>
          <w:u w:val="none"/>
          <w:lang w:val="zh-CN" w:bidi="zh-CN"/>
        </w:rPr>
        <w:t>的地表水环境影响预测适用对流</w:t>
      </w:r>
      <w:r>
        <w:rPr>
          <w:rFonts w:hint="eastAsia" w:cs="宋体"/>
          <w:color w:val="000000"/>
          <w:kern w:val="2"/>
          <w:sz w:val="24"/>
          <w:u w:val="none"/>
          <w:lang w:val="zh-CN" w:eastAsia="zh-CN" w:bidi="zh-CN"/>
        </w:rPr>
        <w:t>扩散</w:t>
      </w:r>
      <w:r>
        <w:rPr>
          <w:rFonts w:hint="eastAsia" w:cs="宋体"/>
          <w:color w:val="000000"/>
          <w:kern w:val="2"/>
          <w:sz w:val="24"/>
          <w:u w:val="none"/>
          <w:lang w:val="zh-CN" w:bidi="zh-CN"/>
        </w:rPr>
        <w:t>降解</w:t>
      </w:r>
      <w:r>
        <w:rPr>
          <w:rFonts w:hint="eastAsia" w:cs="宋体"/>
          <w:color w:val="000000"/>
          <w:kern w:val="2"/>
          <w:sz w:val="24"/>
          <w:u w:val="none"/>
          <w:lang w:val="zh-CN" w:eastAsia="zh-CN" w:bidi="zh-CN"/>
        </w:rPr>
        <w:t>简化</w:t>
      </w:r>
      <w:r>
        <w:rPr>
          <w:rFonts w:hint="eastAsia" w:cs="宋体"/>
          <w:color w:val="000000"/>
          <w:kern w:val="2"/>
          <w:sz w:val="24"/>
          <w:u w:val="none"/>
          <w:lang w:val="zh-CN" w:bidi="zh-CN"/>
        </w:rPr>
        <w:t>模型。</w:t>
      </w:r>
    </w:p>
    <w:p w14:paraId="367778A1">
      <w:pPr>
        <w:widowControl/>
        <w:kinsoku w:val="0"/>
        <w:wordWrap w:val="0"/>
        <w:overflowPunct w:val="0"/>
        <w:topLinePunct/>
        <w:autoSpaceDE/>
        <w:autoSpaceDN/>
        <w:spacing w:before="0" w:after="0" w:line="360" w:lineRule="auto"/>
        <w:ind w:left="0" w:right="0" w:firstLine="480" w:firstLineChars="200"/>
        <w:jc w:val="left"/>
        <w:rPr>
          <w:rFonts w:hint="eastAsia" w:cs="宋体"/>
          <w:color w:val="000000"/>
          <w:kern w:val="2"/>
          <w:sz w:val="24"/>
          <w:u w:val="none"/>
          <w:lang w:val="zh-CN" w:bidi="zh-CN"/>
        </w:rPr>
      </w:pPr>
      <w:r>
        <w:rPr>
          <w:rFonts w:hint="eastAsia" w:cs="宋体"/>
          <w:color w:val="000000"/>
          <w:kern w:val="2"/>
          <w:sz w:val="24"/>
          <w:u w:val="none"/>
          <w:lang w:val="zh-CN" w:bidi="zh-CN"/>
        </w:rPr>
        <w:t>对流降解模型</w:t>
      </w:r>
    </w:p>
    <w:p w14:paraId="6863B4F5">
      <w:pPr>
        <w:widowControl/>
        <w:kinsoku w:val="0"/>
        <w:wordWrap w:val="0"/>
        <w:overflowPunct w:val="0"/>
        <w:topLinePunct/>
        <w:autoSpaceDE/>
        <w:autoSpaceDN/>
        <w:spacing w:before="0" w:after="0" w:line="360" w:lineRule="auto"/>
        <w:ind w:left="0" w:right="0" w:firstLine="480" w:firstLineChars="200"/>
        <w:jc w:val="center"/>
        <w:rPr>
          <w:rFonts w:hint="eastAsia" w:eastAsia="宋体" w:cs="宋体"/>
          <w:color w:val="000000"/>
          <w:kern w:val="2"/>
          <w:sz w:val="24"/>
          <w:u w:val="none"/>
          <w:lang w:val="zh-CN" w:eastAsia="zh-CN" w:bidi="zh-CN"/>
        </w:rPr>
      </w:pPr>
      <w:r>
        <w:rPr>
          <w:rFonts w:cs="宋体"/>
          <w:color w:val="000000"/>
          <w:kern w:val="0"/>
          <w:sz w:val="24"/>
          <w:u w:val="none"/>
          <w:lang w:val="zh-CN" w:bidi="zh-CN"/>
        </w:rPr>
        <w:drawing>
          <wp:inline distT="0" distB="0" distL="0" distR="0">
            <wp:extent cx="2349500" cy="471805"/>
            <wp:effectExtent l="0" t="0" r="12700" b="444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35">
                      <a:extLst>
                        <a:ext uri="{28A0092B-C50C-407E-A947-70E740481C1C}">
                          <a14:useLocalDpi xmlns:a14="http://schemas.microsoft.com/office/drawing/2010/main" val="0"/>
                        </a:ext>
                      </a:extLst>
                    </a:blip>
                    <a:srcRect t="34988" r="941" b="32443"/>
                    <a:stretch>
                      <a:fillRect/>
                    </a:stretch>
                  </pic:blipFill>
                  <pic:spPr>
                    <a:xfrm>
                      <a:off x="0" y="0"/>
                      <a:ext cx="2349500" cy="471805"/>
                    </a:xfrm>
                    <a:prstGeom prst="rect">
                      <a:avLst/>
                    </a:prstGeom>
                    <a:noFill/>
                    <a:ln>
                      <a:noFill/>
                    </a:ln>
                  </pic:spPr>
                </pic:pic>
              </a:graphicData>
            </a:graphic>
          </wp:inline>
        </w:drawing>
      </w:r>
    </w:p>
    <w:p w14:paraId="3ADBFFC7">
      <w:pPr>
        <w:widowControl/>
        <w:kinsoku w:val="0"/>
        <w:wordWrap w:val="0"/>
        <w:overflowPunct w:val="0"/>
        <w:topLinePunct/>
        <w:autoSpaceDE/>
        <w:autoSpaceDN/>
        <w:spacing w:before="0" w:after="0" w:line="360" w:lineRule="auto"/>
        <w:ind w:left="0" w:right="0" w:firstLine="480" w:firstLineChars="200"/>
        <w:jc w:val="left"/>
        <w:rPr>
          <w:rFonts w:cs="宋体"/>
          <w:color w:val="000000"/>
          <w:kern w:val="2"/>
          <w:sz w:val="24"/>
          <w:u w:val="none"/>
          <w:lang w:val="zh-CN" w:bidi="zh-CN"/>
        </w:rPr>
      </w:pPr>
      <w:r>
        <w:rPr>
          <w:rFonts w:hint="eastAsia" w:cs="宋体"/>
          <w:color w:val="000000"/>
          <w:kern w:val="2"/>
          <w:sz w:val="24"/>
          <w:u w:val="none"/>
          <w:lang w:val="zh-CN" w:bidi="zh-CN"/>
        </w:rPr>
        <w:t>式中</w:t>
      </w:r>
    </w:p>
    <w:p w14:paraId="0B443E02">
      <w:pPr>
        <w:kinsoku w:val="0"/>
        <w:wordWrap w:val="0"/>
        <w:overflowPunct w:val="0"/>
        <w:topLinePunct/>
        <w:autoSpaceDE/>
        <w:autoSpaceDN/>
        <w:bidi w:val="0"/>
        <w:spacing w:before="0" w:after="0" w:line="360" w:lineRule="auto"/>
        <w:ind w:left="0" w:right="0" w:firstLine="480" w:firstLineChars="200"/>
        <w:rPr>
          <w:rFonts w:hint="eastAsia" w:cs="宋体"/>
          <w:kern w:val="0"/>
          <w:sz w:val="24"/>
          <w:u w:val="none"/>
          <w:lang w:val="zh-CN" w:eastAsia="zh-CN" w:bidi="zh-CN"/>
        </w:rPr>
      </w:pPr>
      <w:r>
        <w:rPr>
          <w:rFonts w:cs="宋体"/>
          <w:kern w:val="0"/>
          <w:sz w:val="24"/>
          <w:u w:val="none"/>
          <w:lang w:val="zh-CN" w:bidi="zh-CN"/>
        </w:rPr>
        <w:t>C0</w:t>
      </w:r>
      <w:r>
        <w:rPr>
          <w:rFonts w:hint="eastAsia" w:cs="宋体"/>
          <w:kern w:val="0"/>
          <w:sz w:val="24"/>
          <w:u w:val="none"/>
          <w:lang w:val="zh-CN" w:bidi="zh-CN"/>
        </w:rPr>
        <w:t>——初始断面污染物浓度，</w:t>
      </w:r>
      <w:r>
        <w:rPr>
          <w:rFonts w:cs="宋体"/>
          <w:kern w:val="0"/>
          <w:sz w:val="24"/>
          <w:u w:val="none"/>
          <w:lang w:val="zh-CN" w:bidi="zh-CN"/>
        </w:rPr>
        <w:t>mg/L</w:t>
      </w:r>
      <w:r>
        <w:rPr>
          <w:rFonts w:hint="eastAsia" w:cs="宋体"/>
          <w:kern w:val="0"/>
          <w:sz w:val="24"/>
          <w:u w:val="none"/>
          <w:lang w:val="zh-CN" w:eastAsia="zh-CN" w:bidi="zh-CN"/>
        </w:rPr>
        <w:t>；</w:t>
      </w:r>
    </w:p>
    <w:p w14:paraId="7CE95B4E">
      <w:pPr>
        <w:kinsoku w:val="0"/>
        <w:wordWrap w:val="0"/>
        <w:overflowPunct w:val="0"/>
        <w:topLinePunct/>
        <w:autoSpaceDE/>
        <w:autoSpaceDN/>
        <w:bidi w:val="0"/>
        <w:spacing w:before="0" w:after="0" w:line="360" w:lineRule="auto"/>
        <w:ind w:left="0" w:right="0" w:firstLine="480" w:firstLineChars="200"/>
        <w:rPr>
          <w:rFonts w:cs="宋体"/>
          <w:kern w:val="0"/>
          <w:sz w:val="24"/>
          <w:u w:val="none"/>
          <w:lang w:val="zh-CN" w:bidi="zh-CN"/>
        </w:rPr>
      </w:pPr>
      <w:r>
        <w:rPr>
          <w:rFonts w:cs="宋体"/>
          <w:kern w:val="0"/>
          <w:sz w:val="24"/>
          <w:u w:val="none"/>
          <w:lang w:val="zh-CN" w:bidi="zh-CN"/>
        </w:rPr>
        <w:t>C</w:t>
      </w:r>
      <w:r>
        <w:rPr>
          <w:rFonts w:hint="eastAsia" w:cs="宋体"/>
          <w:kern w:val="0"/>
          <w:sz w:val="24"/>
          <w:u w:val="none"/>
          <w:lang w:val="zh-CN" w:bidi="zh-CN"/>
        </w:rPr>
        <w:t>——距离</w:t>
      </w:r>
      <w:r>
        <w:rPr>
          <w:rFonts w:cs="宋体"/>
          <w:kern w:val="0"/>
          <w:sz w:val="24"/>
          <w:u w:val="none"/>
          <w:lang w:val="zh-CN" w:bidi="zh-CN"/>
        </w:rPr>
        <w:t>x</w:t>
      </w:r>
      <w:r>
        <w:rPr>
          <w:rFonts w:hint="eastAsia" w:cs="宋体"/>
          <w:kern w:val="0"/>
          <w:sz w:val="24"/>
          <w:u w:val="none"/>
          <w:lang w:val="zh-CN" w:bidi="zh-CN"/>
        </w:rPr>
        <w:t>处污染物浓度，</w:t>
      </w:r>
      <w:r>
        <w:rPr>
          <w:rFonts w:cs="宋体"/>
          <w:kern w:val="0"/>
          <w:sz w:val="24"/>
          <w:u w:val="none"/>
          <w:lang w:val="zh-CN" w:bidi="zh-CN"/>
        </w:rPr>
        <w:t>mg/L</w:t>
      </w:r>
      <w:r>
        <w:rPr>
          <w:rFonts w:hint="eastAsia" w:cs="宋体"/>
          <w:kern w:val="0"/>
          <w:sz w:val="24"/>
          <w:u w:val="none"/>
          <w:lang w:val="zh-CN" w:bidi="zh-CN"/>
        </w:rPr>
        <w:t>；</w:t>
      </w:r>
    </w:p>
    <w:p w14:paraId="116FEA97">
      <w:pPr>
        <w:kinsoku w:val="0"/>
        <w:wordWrap w:val="0"/>
        <w:overflowPunct w:val="0"/>
        <w:topLinePunct/>
        <w:autoSpaceDE/>
        <w:autoSpaceDN/>
        <w:bidi w:val="0"/>
        <w:spacing w:before="0" w:after="0" w:line="360" w:lineRule="auto"/>
        <w:ind w:left="0" w:right="0" w:firstLine="480" w:firstLineChars="200"/>
        <w:rPr>
          <w:rFonts w:hint="eastAsia" w:cs="宋体"/>
          <w:kern w:val="0"/>
          <w:sz w:val="24"/>
          <w:u w:val="none"/>
          <w:lang w:val="zh-CN" w:bidi="zh-CN"/>
        </w:rPr>
      </w:pPr>
      <w:r>
        <w:rPr>
          <w:rFonts w:cs="宋体"/>
          <w:kern w:val="0"/>
          <w:sz w:val="24"/>
          <w:u w:val="none"/>
          <w:lang w:val="zh-CN" w:bidi="zh-CN"/>
        </w:rPr>
        <w:t>x</w:t>
      </w:r>
      <w:r>
        <w:rPr>
          <w:rFonts w:hint="eastAsia" w:cs="宋体"/>
          <w:kern w:val="0"/>
          <w:sz w:val="24"/>
          <w:u w:val="none"/>
          <w:lang w:val="zh-CN" w:bidi="zh-CN"/>
        </w:rPr>
        <w:t>——河流沿程坐标，</w:t>
      </w:r>
      <w:r>
        <w:rPr>
          <w:rFonts w:cs="宋体"/>
          <w:kern w:val="0"/>
          <w:sz w:val="24"/>
          <w:u w:val="none"/>
          <w:lang w:val="zh-CN" w:bidi="zh-CN"/>
        </w:rPr>
        <w:t>m</w:t>
      </w:r>
      <w:r>
        <w:rPr>
          <w:rFonts w:hint="eastAsia" w:cs="宋体"/>
          <w:kern w:val="0"/>
          <w:sz w:val="24"/>
          <w:u w:val="none"/>
          <w:lang w:val="zh-CN" w:bidi="zh-CN"/>
        </w:rPr>
        <w:t>；</w:t>
      </w:r>
    </w:p>
    <w:p w14:paraId="69B16D1F">
      <w:pPr>
        <w:kinsoku w:val="0"/>
        <w:wordWrap w:val="0"/>
        <w:overflowPunct w:val="0"/>
        <w:topLinePunct/>
        <w:autoSpaceDE/>
        <w:autoSpaceDN/>
        <w:bidi w:val="0"/>
        <w:spacing w:before="0" w:after="0" w:line="360" w:lineRule="auto"/>
        <w:ind w:left="0" w:right="0" w:firstLine="480" w:firstLineChars="200"/>
        <w:rPr>
          <w:rFonts w:hint="eastAsia" w:cs="宋体"/>
          <w:kern w:val="0"/>
          <w:sz w:val="24"/>
          <w:u w:val="none"/>
          <w:lang w:val="en-US" w:eastAsia="zh-CN" w:bidi="zh-CN"/>
        </w:rPr>
      </w:pPr>
      <w:r>
        <w:rPr>
          <w:rFonts w:hint="eastAsia" w:cs="宋体"/>
          <w:kern w:val="0"/>
          <w:sz w:val="24"/>
          <w:u w:val="none"/>
          <w:lang w:val="en-US" w:eastAsia="zh-CN" w:bidi="zh-CN"/>
        </w:rPr>
        <w:t>k——污染物综合衰减系数，1/s；</w:t>
      </w:r>
    </w:p>
    <w:p w14:paraId="7E2E33B7">
      <w:pPr>
        <w:keepNext w:val="0"/>
        <w:keepLines w:val="0"/>
        <w:pageBreakBefore w:val="0"/>
        <w:widowControl w:val="0"/>
        <w:kinsoku/>
        <w:wordWrap/>
        <w:overflowPunct w:val="0"/>
        <w:topLinePunct w:val="0"/>
        <w:autoSpaceDE w:val="0"/>
        <w:autoSpaceDN w:val="0"/>
        <w:bidi w:val="0"/>
        <w:spacing w:before="0" w:after="0" w:line="348" w:lineRule="auto"/>
        <w:ind w:right="0" w:firstLine="480" w:firstLineChars="200"/>
        <w:jc w:val="left"/>
        <w:rPr>
          <w:rFonts w:cs="宋体"/>
          <w:color w:val="000000"/>
          <w:kern w:val="2"/>
          <w:sz w:val="24"/>
          <w:u w:val="single"/>
          <w:lang w:val="zh-CN" w:bidi="zh-CN"/>
        </w:rPr>
      </w:pPr>
      <w:r>
        <w:rPr>
          <w:rFonts w:cs="宋体"/>
          <w:color w:val="000000"/>
          <w:kern w:val="2"/>
          <w:sz w:val="24"/>
          <w:u w:val="single"/>
          <w:lang w:val="zh-CN" w:bidi="zh-CN"/>
        </w:rPr>
        <w:t>u</w:t>
      </w:r>
      <w:r>
        <w:rPr>
          <w:rFonts w:hint="eastAsia" w:cs="宋体"/>
          <w:color w:val="000000"/>
          <w:kern w:val="2"/>
          <w:sz w:val="24"/>
          <w:u w:val="single"/>
          <w:lang w:val="zh-CN" w:bidi="zh-CN"/>
        </w:rPr>
        <w:t>——断面流速，枯水期</w:t>
      </w:r>
      <w:r>
        <w:rPr>
          <w:rFonts w:hint="eastAsia" w:cs="宋体"/>
          <w:color w:val="000000"/>
          <w:kern w:val="0"/>
          <w:sz w:val="24"/>
          <w:szCs w:val="21"/>
          <w:u w:val="single"/>
          <w:lang w:val="zh-CN" w:eastAsia="zh-CN" w:bidi="zh-CN"/>
        </w:rPr>
        <w:t>果利河</w:t>
      </w:r>
      <w:r>
        <w:rPr>
          <w:rFonts w:hint="eastAsia" w:cs="宋体"/>
          <w:color w:val="000000"/>
          <w:kern w:val="2"/>
          <w:sz w:val="24"/>
          <w:u w:val="single"/>
          <w:lang w:val="zh-CN" w:bidi="zh-CN"/>
        </w:rPr>
        <w:t>取</w:t>
      </w:r>
      <w:r>
        <w:rPr>
          <w:rFonts w:hint="eastAsia" w:cs="宋体"/>
          <w:color w:val="000000"/>
          <w:kern w:val="2"/>
          <w:sz w:val="24"/>
          <w:u w:val="single"/>
          <w:lang w:val="en-US" w:eastAsia="zh-CN" w:bidi="zh-CN"/>
        </w:rPr>
        <w:t>0.1</w:t>
      </w:r>
      <w:r>
        <w:rPr>
          <w:rFonts w:cs="宋体"/>
          <w:color w:val="000000"/>
          <w:kern w:val="2"/>
          <w:sz w:val="24"/>
          <w:u w:val="single"/>
          <w:lang w:val="zh-CN" w:bidi="zh-CN"/>
        </w:rPr>
        <w:t>m/s</w:t>
      </w:r>
      <w:r>
        <w:rPr>
          <w:rFonts w:hint="eastAsia" w:cs="宋体"/>
          <w:color w:val="000000"/>
          <w:kern w:val="2"/>
          <w:sz w:val="24"/>
          <w:u w:val="single"/>
          <w:lang w:val="zh-CN" w:bidi="zh-CN"/>
        </w:rPr>
        <w:t>；</w:t>
      </w:r>
    </w:p>
    <w:p w14:paraId="641551BC">
      <w:pPr>
        <w:spacing w:line="360" w:lineRule="auto"/>
        <w:ind w:firstLine="480" w:firstLineChars="200"/>
        <w:rPr>
          <w:rFonts w:hint="default" w:ascii="Times New Roman" w:hAnsi="Times New Roman" w:eastAsia="宋体"/>
          <w:b/>
          <w:bCs/>
          <w:color w:val="auto"/>
          <w:kern w:val="0"/>
          <w:sz w:val="24"/>
          <w:szCs w:val="24"/>
          <w:highlight w:val="none"/>
          <w:u w:val="none"/>
          <w:lang w:val="en-US" w:eastAsia="zh-CN"/>
        </w:rPr>
      </w:pPr>
      <w:r>
        <w:rPr>
          <w:rFonts w:hint="eastAsia" w:ascii="微软雅黑" w:hAnsi="微软雅黑" w:eastAsia="微软雅黑" w:cs="微软雅黑"/>
          <w:b/>
          <w:bCs/>
          <w:color w:val="auto"/>
          <w:kern w:val="0"/>
          <w:sz w:val="24"/>
          <w:szCs w:val="24"/>
          <w:highlight w:val="none"/>
          <w:u w:val="none"/>
          <w:lang w:val="en-US" w:eastAsia="zh-CN"/>
        </w:rPr>
        <w:t>⑤</w:t>
      </w:r>
      <w:r>
        <w:rPr>
          <w:rFonts w:hint="eastAsia" w:ascii="Times New Roman" w:hAnsi="Times New Roman" w:eastAsia="宋体"/>
          <w:b/>
          <w:bCs/>
          <w:color w:val="auto"/>
          <w:kern w:val="0"/>
          <w:sz w:val="24"/>
          <w:szCs w:val="24"/>
          <w:highlight w:val="none"/>
          <w:u w:val="none"/>
          <w:lang w:val="en-US" w:eastAsia="zh-CN"/>
        </w:rPr>
        <w:t>、预测结果</w:t>
      </w:r>
    </w:p>
    <w:p w14:paraId="7B3D6129">
      <w:pPr>
        <w:widowControl/>
        <w:kinsoku w:val="0"/>
        <w:wordWrap w:val="0"/>
        <w:overflowPunct w:val="0"/>
        <w:topLinePunct/>
        <w:autoSpaceDE/>
        <w:autoSpaceDN/>
        <w:spacing w:before="0" w:after="0" w:line="360" w:lineRule="auto"/>
        <w:ind w:left="0" w:right="0" w:firstLine="559" w:firstLineChars="233"/>
        <w:jc w:val="left"/>
        <w:rPr>
          <w:rFonts w:cs="宋体"/>
          <w:color w:val="000000"/>
          <w:kern w:val="0"/>
          <w:sz w:val="24"/>
          <w:u w:val="single"/>
          <w:lang w:val="zh-CN" w:bidi="zh-CN"/>
        </w:rPr>
      </w:pPr>
      <w:r>
        <w:rPr>
          <w:rFonts w:hint="eastAsia" w:cs="宋体"/>
          <w:color w:val="000000"/>
          <w:kern w:val="0"/>
          <w:sz w:val="24"/>
          <w:u w:val="single"/>
          <w:lang w:val="zh-CN" w:bidi="zh-CN"/>
        </w:rPr>
        <w:t>（6）预测结果及分析</w:t>
      </w:r>
    </w:p>
    <w:p w14:paraId="353FE941">
      <w:pPr>
        <w:widowControl/>
        <w:kinsoku w:val="0"/>
        <w:wordWrap w:val="0"/>
        <w:overflowPunct w:val="0"/>
        <w:topLinePunct/>
        <w:autoSpaceDE/>
        <w:autoSpaceDN/>
        <w:spacing w:before="0" w:after="0" w:line="360" w:lineRule="auto"/>
        <w:ind w:left="0" w:right="0" w:firstLine="559" w:firstLineChars="233"/>
        <w:jc w:val="left"/>
        <w:rPr>
          <w:rFonts w:cs="宋体"/>
          <w:color w:val="000000"/>
          <w:kern w:val="0"/>
          <w:sz w:val="24"/>
          <w:u w:val="single"/>
          <w:lang w:val="zh-CN" w:bidi="zh-CN"/>
        </w:rPr>
      </w:pPr>
      <w:r>
        <w:rPr>
          <w:rFonts w:hint="eastAsia" w:cs="宋体"/>
          <w:color w:val="000000"/>
          <w:kern w:val="0"/>
          <w:sz w:val="24"/>
          <w:u w:val="single"/>
          <w:lang w:val="zh-CN" w:bidi="zh-CN"/>
        </w:rPr>
        <w:t>尾水排放污染物COD</w:t>
      </w:r>
      <w:r>
        <w:rPr>
          <w:rFonts w:hint="eastAsia" w:cs="宋体"/>
          <w:color w:val="000000"/>
          <w:kern w:val="0"/>
          <w:sz w:val="24"/>
          <w:u w:val="single"/>
          <w:lang w:val="zh-CN" w:eastAsia="zh-CN" w:bidi="zh-CN"/>
        </w:rPr>
        <w:t>、</w:t>
      </w:r>
      <w:r>
        <w:rPr>
          <w:rFonts w:hint="eastAsia" w:cs="宋体"/>
          <w:color w:val="000000"/>
          <w:kern w:val="0"/>
          <w:sz w:val="24"/>
          <w:u w:val="single"/>
          <w:lang w:val="zh-CN" w:bidi="zh-CN"/>
        </w:rPr>
        <w:t>NH</w:t>
      </w:r>
      <w:r>
        <w:rPr>
          <w:rFonts w:hint="eastAsia" w:cs="宋体"/>
          <w:color w:val="000000"/>
          <w:kern w:val="0"/>
          <w:sz w:val="24"/>
          <w:u w:val="single"/>
          <w:vertAlign w:val="subscript"/>
          <w:lang w:val="zh-CN" w:bidi="zh-CN"/>
        </w:rPr>
        <w:t>3</w:t>
      </w:r>
      <w:r>
        <w:rPr>
          <w:rFonts w:hint="eastAsia" w:cs="宋体"/>
          <w:color w:val="000000"/>
          <w:kern w:val="0"/>
          <w:sz w:val="24"/>
          <w:u w:val="single"/>
          <w:lang w:val="zh-CN" w:bidi="zh-CN"/>
        </w:rPr>
        <w:t>-N、</w:t>
      </w:r>
      <w:r>
        <w:rPr>
          <w:rFonts w:hint="eastAsia" w:cs="宋体"/>
          <w:color w:val="000000"/>
          <w:kern w:val="0"/>
          <w:sz w:val="24"/>
          <w:u w:val="single"/>
          <w:lang w:val="en-US" w:bidi="zh-CN"/>
        </w:rPr>
        <w:t>TP</w:t>
      </w:r>
      <w:r>
        <w:rPr>
          <w:rFonts w:hint="eastAsia" w:cs="宋体"/>
          <w:color w:val="000000"/>
          <w:kern w:val="0"/>
          <w:sz w:val="24"/>
          <w:u w:val="single"/>
          <w:lang w:val="zh-CN" w:bidi="zh-CN"/>
        </w:rPr>
        <w:t>对</w:t>
      </w:r>
      <w:r>
        <w:rPr>
          <w:rFonts w:hint="eastAsia" w:cs="宋体"/>
          <w:color w:val="000000"/>
          <w:kern w:val="2"/>
          <w:sz w:val="24"/>
          <w:u w:val="single"/>
          <w:lang w:val="en-US" w:eastAsia="zh-CN" w:bidi="zh-CN"/>
        </w:rPr>
        <w:t>果利河</w:t>
      </w:r>
      <w:r>
        <w:rPr>
          <w:rFonts w:hint="eastAsia" w:cs="宋体"/>
          <w:color w:val="000000"/>
          <w:kern w:val="0"/>
          <w:sz w:val="24"/>
          <w:u w:val="single"/>
          <w:lang w:val="zh-CN" w:bidi="zh-CN"/>
        </w:rPr>
        <w:t>环境影响预测结果见表</w:t>
      </w:r>
      <w:r>
        <w:rPr>
          <w:rFonts w:hint="eastAsia" w:cs="宋体"/>
          <w:color w:val="000000"/>
          <w:kern w:val="0"/>
          <w:sz w:val="24"/>
          <w:u w:val="single"/>
          <w:lang w:val="en-US" w:eastAsia="zh-CN" w:bidi="zh-CN"/>
        </w:rPr>
        <w:t>7-14</w:t>
      </w:r>
      <w:r>
        <w:rPr>
          <w:rFonts w:hint="eastAsia" w:cs="宋体"/>
          <w:color w:val="000000"/>
          <w:kern w:val="0"/>
          <w:sz w:val="24"/>
          <w:u w:val="single"/>
          <w:lang w:val="zh-CN" w:bidi="zh-CN"/>
        </w:rPr>
        <w:t>。</w:t>
      </w:r>
    </w:p>
    <w:p w14:paraId="029CD35D">
      <w:pPr>
        <w:kinsoku w:val="0"/>
        <w:wordWrap w:val="0"/>
        <w:overflowPunct w:val="0"/>
        <w:topLinePunct/>
        <w:autoSpaceDE/>
        <w:autoSpaceDN/>
        <w:spacing w:before="0" w:after="0" w:line="240" w:lineRule="auto"/>
        <w:ind w:left="0" w:right="0" w:firstLine="0" w:firstLineChars="0"/>
        <w:jc w:val="center"/>
        <w:rPr>
          <w:rFonts w:cs="宋体"/>
          <w:b/>
          <w:color w:val="000000"/>
          <w:kern w:val="0"/>
          <w:sz w:val="21"/>
          <w:highlight w:val="none"/>
          <w:u w:val="single"/>
          <w:lang w:val="zh-CN" w:bidi="zh-CN"/>
        </w:rPr>
      </w:pPr>
      <w:r>
        <w:rPr>
          <w:rFonts w:cs="宋体"/>
          <w:b/>
          <w:color w:val="000000"/>
          <w:kern w:val="0"/>
          <w:sz w:val="21"/>
          <w:highlight w:val="none"/>
          <w:u w:val="single"/>
          <w:lang w:val="zh-CN" w:bidi="zh-CN"/>
        </w:rPr>
        <w:t>表</w:t>
      </w:r>
      <w:r>
        <w:rPr>
          <w:rFonts w:hint="eastAsia" w:cs="宋体"/>
          <w:b/>
          <w:color w:val="000000"/>
          <w:kern w:val="0"/>
          <w:sz w:val="21"/>
          <w:highlight w:val="none"/>
          <w:u w:val="single"/>
          <w:lang w:val="en-US" w:eastAsia="zh-CN" w:bidi="zh-CN"/>
        </w:rPr>
        <w:t xml:space="preserve">3.3-6 </w:t>
      </w:r>
      <w:r>
        <w:rPr>
          <w:rFonts w:hint="eastAsia" w:cs="宋体"/>
          <w:b/>
          <w:color w:val="000000"/>
          <w:kern w:val="0"/>
          <w:sz w:val="21"/>
          <w:highlight w:val="none"/>
          <w:u w:val="single"/>
          <w:lang w:val="zh-CN" w:bidi="zh-CN"/>
        </w:rPr>
        <w:t>尾水排放污染物COD</w:t>
      </w:r>
      <w:r>
        <w:rPr>
          <w:rFonts w:hint="eastAsia" w:cs="宋体"/>
          <w:b/>
          <w:color w:val="000000"/>
          <w:kern w:val="0"/>
          <w:sz w:val="21"/>
          <w:highlight w:val="none"/>
          <w:u w:val="single"/>
          <w:lang w:val="zh-CN" w:eastAsia="zh-CN" w:bidi="zh-CN"/>
        </w:rPr>
        <w:t>、</w:t>
      </w:r>
      <w:r>
        <w:rPr>
          <w:rFonts w:hint="eastAsia" w:cs="宋体"/>
          <w:b/>
          <w:color w:val="000000"/>
          <w:kern w:val="0"/>
          <w:sz w:val="21"/>
          <w:highlight w:val="none"/>
          <w:u w:val="single"/>
          <w:lang w:val="zh-CN" w:bidi="zh-CN"/>
        </w:rPr>
        <w:t>NH</w:t>
      </w:r>
      <w:r>
        <w:rPr>
          <w:rFonts w:hint="eastAsia" w:cs="宋体"/>
          <w:b/>
          <w:color w:val="000000"/>
          <w:kern w:val="0"/>
          <w:sz w:val="21"/>
          <w:highlight w:val="none"/>
          <w:u w:val="single"/>
          <w:vertAlign w:val="subscript"/>
          <w:lang w:val="zh-CN" w:bidi="zh-CN"/>
        </w:rPr>
        <w:t>3</w:t>
      </w:r>
      <w:r>
        <w:rPr>
          <w:rFonts w:hint="eastAsia" w:cs="宋体"/>
          <w:b/>
          <w:color w:val="000000"/>
          <w:kern w:val="0"/>
          <w:sz w:val="21"/>
          <w:highlight w:val="none"/>
          <w:u w:val="single"/>
          <w:lang w:val="zh-CN" w:bidi="zh-CN"/>
        </w:rPr>
        <w:t>-N</w:t>
      </w:r>
      <w:r>
        <w:rPr>
          <w:rFonts w:hint="eastAsia" w:cs="宋体"/>
          <w:b/>
          <w:color w:val="000000"/>
          <w:kern w:val="0"/>
          <w:sz w:val="21"/>
          <w:highlight w:val="none"/>
          <w:u w:val="single"/>
          <w:lang w:val="zh-CN" w:eastAsia="zh-CN" w:bidi="zh-CN"/>
        </w:rPr>
        <w:t>、</w:t>
      </w:r>
      <w:r>
        <w:rPr>
          <w:rFonts w:hint="eastAsia" w:cs="宋体"/>
          <w:b/>
          <w:color w:val="000000"/>
          <w:kern w:val="0"/>
          <w:sz w:val="21"/>
          <w:highlight w:val="none"/>
          <w:u w:val="single"/>
          <w:lang w:val="en-US" w:eastAsia="zh-CN" w:bidi="zh-CN"/>
        </w:rPr>
        <w:t>TP</w:t>
      </w:r>
      <w:r>
        <w:rPr>
          <w:rFonts w:hint="eastAsia" w:cs="宋体"/>
          <w:b/>
          <w:color w:val="000000"/>
          <w:kern w:val="0"/>
          <w:sz w:val="21"/>
          <w:highlight w:val="none"/>
          <w:u w:val="single"/>
          <w:lang w:val="zh-CN" w:bidi="zh-CN"/>
        </w:rPr>
        <w:t>在</w:t>
      </w:r>
      <w:r>
        <w:rPr>
          <w:rFonts w:hint="eastAsia" w:cs="宋体"/>
          <w:b/>
          <w:color w:val="000000"/>
          <w:kern w:val="0"/>
          <w:sz w:val="21"/>
          <w:highlight w:val="none"/>
          <w:u w:val="single"/>
          <w:lang w:val="en-US" w:eastAsia="zh-CN" w:bidi="zh-CN"/>
        </w:rPr>
        <w:t>果利河</w:t>
      </w:r>
      <w:r>
        <w:rPr>
          <w:rFonts w:hint="eastAsia" w:cs="宋体"/>
          <w:b/>
          <w:color w:val="000000"/>
          <w:kern w:val="0"/>
          <w:sz w:val="21"/>
          <w:highlight w:val="none"/>
          <w:u w:val="single"/>
          <w:lang w:val="zh-CN" w:bidi="zh-CN"/>
        </w:rPr>
        <w:t>沿程浓度贡献值</w:t>
      </w:r>
      <w:r>
        <w:rPr>
          <w:rFonts w:cs="宋体"/>
          <w:b/>
          <w:color w:val="000000"/>
          <w:kern w:val="0"/>
          <w:sz w:val="21"/>
          <w:highlight w:val="none"/>
          <w:u w:val="single"/>
          <w:lang w:val="zh-CN" w:bidi="zh-CN"/>
        </w:rPr>
        <w:t xml:space="preserve"> 单位mg/L</w:t>
      </w:r>
    </w:p>
    <w:tbl>
      <w:tblPr>
        <w:tblStyle w:val="32"/>
        <w:tblW w:w="4871"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02"/>
        <w:gridCol w:w="1170"/>
        <w:gridCol w:w="1371"/>
        <w:gridCol w:w="1251"/>
        <w:gridCol w:w="1341"/>
        <w:gridCol w:w="1401"/>
        <w:gridCol w:w="1312"/>
      </w:tblGrid>
      <w:tr w14:paraId="005613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664" w:type="pct"/>
            <w:vMerge w:val="restart"/>
            <w:tcBorders>
              <w:tl2br w:val="nil"/>
              <w:tr2bl w:val="nil"/>
            </w:tcBorders>
            <w:noWrap/>
            <w:vAlign w:val="center"/>
          </w:tcPr>
          <w:p w14:paraId="7DBA842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outlineLvl w:val="9"/>
              <w:rPr>
                <w:rFonts w:hint="default" w:ascii="Times New Roman" w:hAnsi="Times New Roman" w:eastAsia="宋体" w:cs="Times New Roman"/>
                <w:spacing w:val="11"/>
                <w:kern w:val="2"/>
                <w:sz w:val="21"/>
                <w:szCs w:val="21"/>
                <w:u w:val="single"/>
                <w:lang w:val="en-US" w:eastAsia="zh-CN" w:bidi="ar-SA"/>
              </w:rPr>
            </w:pPr>
            <w:r>
              <w:rPr>
                <w:rFonts w:hint="default" w:ascii="Times New Roman" w:hAnsi="Times New Roman" w:eastAsia="宋体" w:cs="Times New Roman"/>
                <w:spacing w:val="11"/>
                <w:kern w:val="2"/>
                <w:sz w:val="21"/>
                <w:szCs w:val="21"/>
                <w:u w:val="single"/>
                <w:lang w:val="en-US" w:eastAsia="zh-CN" w:bidi="ar-SA"/>
              </w:rPr>
              <w:t>河流沿程</w:t>
            </w:r>
            <w:r>
              <w:rPr>
                <w:rFonts w:hint="default" w:ascii="Times New Roman" w:hAnsi="Times New Roman" w:eastAsia="宋体" w:cs="Times New Roman"/>
                <w:i/>
                <w:iCs/>
                <w:color w:val="auto"/>
                <w:spacing w:val="11"/>
                <w:kern w:val="2"/>
                <w:sz w:val="21"/>
                <w:szCs w:val="21"/>
                <w:u w:val="single"/>
                <w:lang w:val="en-US" w:eastAsia="zh-CN" w:bidi="ar-SA"/>
              </w:rPr>
              <w:t>x</w:t>
            </w:r>
          </w:p>
          <w:p w14:paraId="22B0AC5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outlineLvl w:val="9"/>
              <w:rPr>
                <w:rFonts w:hint="default" w:ascii="Times New Roman" w:hAnsi="Times New Roman" w:eastAsia="宋体" w:cs="Times New Roman"/>
                <w:spacing w:val="11"/>
                <w:kern w:val="2"/>
                <w:sz w:val="21"/>
                <w:szCs w:val="21"/>
                <w:u w:val="single"/>
                <w:lang w:val="en-US" w:eastAsia="zh-CN" w:bidi="ar-SA"/>
              </w:rPr>
            </w:pPr>
            <w:r>
              <w:rPr>
                <w:rFonts w:hint="default" w:ascii="Times New Roman" w:hAnsi="Times New Roman" w:eastAsia="宋体" w:cs="Times New Roman"/>
                <w:spacing w:val="11"/>
                <w:kern w:val="2"/>
                <w:sz w:val="21"/>
                <w:szCs w:val="21"/>
                <w:u w:val="single"/>
                <w:lang w:val="en-US" w:eastAsia="zh-CN" w:bidi="ar-SA"/>
              </w:rPr>
              <w:t>（m）</w:t>
            </w:r>
          </w:p>
        </w:tc>
        <w:tc>
          <w:tcPr>
            <w:tcW w:w="4335" w:type="pct"/>
            <w:gridSpan w:val="6"/>
            <w:tcBorders>
              <w:tl2br w:val="nil"/>
              <w:tr2bl w:val="nil"/>
            </w:tcBorders>
            <w:noWrap/>
            <w:vAlign w:val="center"/>
          </w:tcPr>
          <w:p w14:paraId="718D72B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outlineLvl w:val="9"/>
              <w:rPr>
                <w:rFonts w:hint="default" w:ascii="Times New Roman" w:hAnsi="Times New Roman" w:eastAsia="宋体" w:cs="Times New Roman"/>
                <w:spacing w:val="11"/>
                <w:kern w:val="2"/>
                <w:sz w:val="21"/>
                <w:szCs w:val="21"/>
                <w:u w:val="single"/>
                <w:lang w:val="en-US" w:eastAsia="zh-CN" w:bidi="ar-SA"/>
              </w:rPr>
            </w:pPr>
            <w:r>
              <w:rPr>
                <w:rFonts w:hint="default" w:ascii="Times New Roman" w:hAnsi="Times New Roman" w:eastAsia="宋体" w:cs="Times New Roman"/>
                <w:spacing w:val="11"/>
                <w:kern w:val="2"/>
                <w:sz w:val="21"/>
                <w:szCs w:val="21"/>
                <w:u w:val="single"/>
                <w:lang w:val="en-US" w:eastAsia="zh-CN" w:bidi="ar-SA"/>
              </w:rPr>
              <w:t>枯水期</w:t>
            </w:r>
          </w:p>
        </w:tc>
      </w:tr>
      <w:tr w14:paraId="5B070D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664" w:type="pct"/>
            <w:vMerge w:val="continue"/>
            <w:tcBorders>
              <w:tl2br w:val="nil"/>
              <w:tr2bl w:val="nil"/>
            </w:tcBorders>
            <w:noWrap/>
            <w:vAlign w:val="center"/>
          </w:tcPr>
          <w:p w14:paraId="20CFAF3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outlineLvl w:val="9"/>
              <w:rPr>
                <w:rFonts w:hint="default" w:ascii="Times New Roman" w:hAnsi="Times New Roman" w:eastAsia="宋体" w:cs="Times New Roman"/>
                <w:spacing w:val="11"/>
                <w:kern w:val="2"/>
                <w:sz w:val="21"/>
                <w:szCs w:val="21"/>
                <w:u w:val="single"/>
                <w:lang w:val="en-US" w:eastAsia="zh-CN" w:bidi="ar-SA"/>
              </w:rPr>
            </w:pPr>
          </w:p>
        </w:tc>
        <w:tc>
          <w:tcPr>
            <w:tcW w:w="2095" w:type="pct"/>
            <w:gridSpan w:val="3"/>
            <w:tcBorders>
              <w:tl2br w:val="nil"/>
              <w:tr2bl w:val="nil"/>
            </w:tcBorders>
            <w:noWrap/>
            <w:vAlign w:val="center"/>
          </w:tcPr>
          <w:p w14:paraId="5F17FB4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outlineLvl w:val="9"/>
              <w:rPr>
                <w:rFonts w:hint="default" w:ascii="Times New Roman" w:hAnsi="Times New Roman" w:eastAsia="宋体" w:cs="Times New Roman"/>
                <w:spacing w:val="11"/>
                <w:kern w:val="2"/>
                <w:sz w:val="21"/>
                <w:szCs w:val="21"/>
                <w:u w:val="single"/>
                <w:lang w:val="en-US" w:eastAsia="zh-CN" w:bidi="ar-SA"/>
              </w:rPr>
            </w:pPr>
            <w:r>
              <w:rPr>
                <w:rFonts w:hint="default" w:ascii="Times New Roman" w:hAnsi="Times New Roman" w:eastAsia="宋体" w:cs="Times New Roman"/>
                <w:spacing w:val="11"/>
                <w:kern w:val="2"/>
                <w:sz w:val="21"/>
                <w:szCs w:val="21"/>
                <w:u w:val="single"/>
                <w:lang w:val="en-US" w:eastAsia="zh-CN" w:bidi="ar-SA"/>
              </w:rPr>
              <w:t>正常排放情况下</w:t>
            </w:r>
          </w:p>
        </w:tc>
        <w:tc>
          <w:tcPr>
            <w:tcW w:w="2240" w:type="pct"/>
            <w:gridSpan w:val="3"/>
            <w:tcBorders>
              <w:tl2br w:val="nil"/>
              <w:tr2bl w:val="nil"/>
            </w:tcBorders>
            <w:noWrap/>
            <w:vAlign w:val="center"/>
          </w:tcPr>
          <w:p w14:paraId="69C4F09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outlineLvl w:val="9"/>
              <w:rPr>
                <w:rFonts w:hint="default" w:ascii="Times New Roman" w:hAnsi="Times New Roman" w:eastAsia="宋体" w:cs="Times New Roman"/>
                <w:spacing w:val="11"/>
                <w:kern w:val="2"/>
                <w:sz w:val="21"/>
                <w:szCs w:val="21"/>
                <w:u w:val="single"/>
                <w:lang w:val="en-US" w:eastAsia="zh-CN" w:bidi="ar-SA"/>
              </w:rPr>
            </w:pPr>
            <w:r>
              <w:rPr>
                <w:rFonts w:hint="default" w:ascii="Times New Roman" w:hAnsi="Times New Roman" w:eastAsia="宋体" w:cs="Times New Roman"/>
                <w:spacing w:val="11"/>
                <w:kern w:val="2"/>
                <w:sz w:val="21"/>
                <w:szCs w:val="21"/>
                <w:u w:val="single"/>
                <w:lang w:val="en-US" w:eastAsia="zh-CN" w:bidi="ar-SA"/>
              </w:rPr>
              <w:t>非正常排放情况下</w:t>
            </w:r>
          </w:p>
        </w:tc>
      </w:tr>
      <w:tr w14:paraId="0F3A02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vMerge w:val="continue"/>
            <w:tcBorders>
              <w:tl2br w:val="nil"/>
              <w:tr2bl w:val="nil"/>
            </w:tcBorders>
            <w:noWrap/>
            <w:vAlign w:val="center"/>
          </w:tcPr>
          <w:p w14:paraId="20D0FC2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outlineLvl w:val="9"/>
              <w:rPr>
                <w:rFonts w:hint="default" w:ascii="Times New Roman" w:hAnsi="Times New Roman" w:eastAsia="宋体" w:cs="Times New Roman"/>
                <w:spacing w:val="11"/>
                <w:kern w:val="2"/>
                <w:sz w:val="21"/>
                <w:szCs w:val="21"/>
                <w:u w:val="single"/>
                <w:lang w:val="en-US" w:eastAsia="zh-CN" w:bidi="ar-SA"/>
              </w:rPr>
            </w:pPr>
          </w:p>
        </w:tc>
        <w:tc>
          <w:tcPr>
            <w:tcW w:w="646" w:type="pct"/>
            <w:tcBorders>
              <w:tl2br w:val="nil"/>
              <w:tr2bl w:val="nil"/>
            </w:tcBorders>
            <w:noWrap/>
            <w:vAlign w:val="center"/>
          </w:tcPr>
          <w:p w14:paraId="5766616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outlineLvl w:val="9"/>
              <w:rPr>
                <w:rFonts w:hint="default" w:ascii="Times New Roman" w:hAnsi="Times New Roman" w:eastAsia="宋体" w:cs="Times New Roman"/>
                <w:spacing w:val="11"/>
                <w:kern w:val="2"/>
                <w:sz w:val="21"/>
                <w:szCs w:val="21"/>
                <w:u w:val="single"/>
                <w:lang w:val="en-US" w:eastAsia="zh-CN" w:bidi="ar-SA"/>
              </w:rPr>
            </w:pPr>
            <w:r>
              <w:rPr>
                <w:rFonts w:hint="default" w:ascii="Times New Roman" w:hAnsi="Times New Roman" w:eastAsia="宋体" w:cs="Times New Roman"/>
                <w:spacing w:val="11"/>
                <w:kern w:val="2"/>
                <w:sz w:val="21"/>
                <w:szCs w:val="21"/>
                <w:u w:val="single"/>
                <w:lang w:val="en-US" w:eastAsia="zh-CN" w:bidi="ar-SA"/>
              </w:rPr>
              <w:t>COD</w:t>
            </w:r>
          </w:p>
        </w:tc>
        <w:tc>
          <w:tcPr>
            <w:tcW w:w="757" w:type="pct"/>
            <w:tcBorders>
              <w:tl2br w:val="nil"/>
              <w:tr2bl w:val="nil"/>
            </w:tcBorders>
            <w:noWrap/>
            <w:vAlign w:val="center"/>
          </w:tcPr>
          <w:p w14:paraId="315043E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outlineLvl w:val="9"/>
              <w:rPr>
                <w:rFonts w:hint="default" w:ascii="Times New Roman" w:hAnsi="Times New Roman" w:eastAsia="宋体" w:cs="Times New Roman"/>
                <w:spacing w:val="11"/>
                <w:kern w:val="2"/>
                <w:sz w:val="21"/>
                <w:szCs w:val="21"/>
                <w:u w:val="single"/>
                <w:lang w:val="en-US" w:eastAsia="zh-CN" w:bidi="ar-SA"/>
              </w:rPr>
            </w:pPr>
            <w:r>
              <w:rPr>
                <w:rFonts w:hint="default" w:ascii="Times New Roman" w:hAnsi="Times New Roman" w:eastAsia="宋体" w:cs="Times New Roman"/>
                <w:spacing w:val="11"/>
                <w:kern w:val="2"/>
                <w:sz w:val="21"/>
                <w:szCs w:val="21"/>
                <w:u w:val="single"/>
                <w:lang w:val="en-US" w:eastAsia="zh-CN" w:bidi="ar-SA"/>
              </w:rPr>
              <w:t>NH</w:t>
            </w:r>
            <w:r>
              <w:rPr>
                <w:rFonts w:hint="default" w:ascii="Times New Roman" w:hAnsi="Times New Roman" w:eastAsia="宋体" w:cs="Times New Roman"/>
                <w:spacing w:val="11"/>
                <w:kern w:val="2"/>
                <w:sz w:val="21"/>
                <w:szCs w:val="21"/>
                <w:u w:val="single"/>
                <w:vertAlign w:val="subscript"/>
                <w:lang w:val="en-US" w:eastAsia="zh-CN" w:bidi="ar-SA"/>
              </w:rPr>
              <w:t>3</w:t>
            </w:r>
            <w:r>
              <w:rPr>
                <w:rFonts w:hint="default" w:ascii="Times New Roman" w:hAnsi="Times New Roman" w:eastAsia="宋体" w:cs="Times New Roman"/>
                <w:spacing w:val="11"/>
                <w:kern w:val="2"/>
                <w:sz w:val="21"/>
                <w:szCs w:val="21"/>
                <w:u w:val="single"/>
                <w:lang w:val="en-US" w:eastAsia="zh-CN" w:bidi="ar-SA"/>
              </w:rPr>
              <w:t>-N</w:t>
            </w:r>
          </w:p>
        </w:tc>
        <w:tc>
          <w:tcPr>
            <w:tcW w:w="691" w:type="pct"/>
            <w:tcBorders>
              <w:tl2br w:val="nil"/>
              <w:tr2bl w:val="nil"/>
            </w:tcBorders>
            <w:noWrap/>
            <w:vAlign w:val="center"/>
          </w:tcPr>
          <w:p w14:paraId="0A96CED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outlineLvl w:val="9"/>
              <w:rPr>
                <w:rFonts w:hint="default" w:ascii="Times New Roman" w:hAnsi="Times New Roman" w:eastAsia="宋体" w:cs="Times New Roman"/>
                <w:spacing w:val="11"/>
                <w:kern w:val="2"/>
                <w:sz w:val="21"/>
                <w:szCs w:val="21"/>
                <w:u w:val="single"/>
                <w:lang w:val="en-US" w:eastAsia="zh-CN" w:bidi="ar-SA"/>
              </w:rPr>
            </w:pPr>
            <w:r>
              <w:rPr>
                <w:rFonts w:hint="default" w:ascii="Times New Roman" w:hAnsi="Times New Roman" w:eastAsia="宋体" w:cs="Times New Roman"/>
                <w:spacing w:val="11"/>
                <w:kern w:val="2"/>
                <w:sz w:val="21"/>
                <w:szCs w:val="21"/>
                <w:u w:val="single"/>
                <w:lang w:val="en-US" w:eastAsia="zh-CN" w:bidi="ar-SA"/>
              </w:rPr>
              <w:t>TP</w:t>
            </w:r>
          </w:p>
        </w:tc>
        <w:tc>
          <w:tcPr>
            <w:tcW w:w="741" w:type="pct"/>
            <w:tcBorders>
              <w:tl2br w:val="nil"/>
              <w:tr2bl w:val="nil"/>
            </w:tcBorders>
            <w:noWrap/>
            <w:vAlign w:val="center"/>
          </w:tcPr>
          <w:p w14:paraId="2504846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outlineLvl w:val="9"/>
              <w:rPr>
                <w:rFonts w:hint="default" w:ascii="Times New Roman" w:hAnsi="Times New Roman" w:eastAsia="宋体" w:cs="Times New Roman"/>
                <w:spacing w:val="11"/>
                <w:kern w:val="2"/>
                <w:sz w:val="21"/>
                <w:szCs w:val="21"/>
                <w:u w:val="single"/>
                <w:lang w:val="en-US" w:eastAsia="zh-CN" w:bidi="ar-SA"/>
              </w:rPr>
            </w:pPr>
            <w:r>
              <w:rPr>
                <w:rFonts w:hint="default" w:ascii="Times New Roman" w:hAnsi="Times New Roman" w:eastAsia="宋体" w:cs="Times New Roman"/>
                <w:spacing w:val="11"/>
                <w:kern w:val="2"/>
                <w:sz w:val="21"/>
                <w:szCs w:val="21"/>
                <w:u w:val="single"/>
                <w:lang w:val="en-US" w:eastAsia="zh-CN" w:bidi="ar-SA"/>
              </w:rPr>
              <w:t>COD</w:t>
            </w:r>
          </w:p>
        </w:tc>
        <w:tc>
          <w:tcPr>
            <w:tcW w:w="774" w:type="pct"/>
            <w:tcBorders>
              <w:tl2br w:val="nil"/>
              <w:tr2bl w:val="nil"/>
            </w:tcBorders>
            <w:noWrap/>
            <w:vAlign w:val="center"/>
          </w:tcPr>
          <w:p w14:paraId="209D922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outlineLvl w:val="9"/>
              <w:rPr>
                <w:rFonts w:hint="default" w:ascii="Times New Roman" w:hAnsi="Times New Roman" w:eastAsia="宋体" w:cs="Times New Roman"/>
                <w:spacing w:val="11"/>
                <w:kern w:val="2"/>
                <w:sz w:val="21"/>
                <w:szCs w:val="21"/>
                <w:u w:val="single"/>
                <w:lang w:val="en-US" w:eastAsia="zh-CN" w:bidi="ar-SA"/>
              </w:rPr>
            </w:pPr>
            <w:r>
              <w:rPr>
                <w:rFonts w:hint="default" w:ascii="Times New Roman" w:hAnsi="Times New Roman" w:eastAsia="宋体" w:cs="Times New Roman"/>
                <w:spacing w:val="11"/>
                <w:kern w:val="2"/>
                <w:sz w:val="21"/>
                <w:szCs w:val="21"/>
                <w:u w:val="single"/>
                <w:lang w:val="en-US" w:eastAsia="zh-CN" w:bidi="ar-SA"/>
              </w:rPr>
              <w:t>NH</w:t>
            </w:r>
            <w:r>
              <w:rPr>
                <w:rFonts w:hint="default" w:ascii="Times New Roman" w:hAnsi="Times New Roman" w:eastAsia="宋体" w:cs="Times New Roman"/>
                <w:spacing w:val="11"/>
                <w:kern w:val="2"/>
                <w:sz w:val="21"/>
                <w:szCs w:val="21"/>
                <w:u w:val="single"/>
                <w:vertAlign w:val="subscript"/>
                <w:lang w:val="en-US" w:eastAsia="zh-CN" w:bidi="ar-SA"/>
              </w:rPr>
              <w:t>3</w:t>
            </w:r>
            <w:r>
              <w:rPr>
                <w:rFonts w:hint="default" w:ascii="Times New Roman" w:hAnsi="Times New Roman" w:eastAsia="宋体" w:cs="Times New Roman"/>
                <w:spacing w:val="11"/>
                <w:kern w:val="2"/>
                <w:sz w:val="21"/>
                <w:szCs w:val="21"/>
                <w:u w:val="single"/>
                <w:lang w:val="en-US" w:eastAsia="zh-CN" w:bidi="ar-SA"/>
              </w:rPr>
              <w:t>-N</w:t>
            </w:r>
          </w:p>
        </w:tc>
        <w:tc>
          <w:tcPr>
            <w:tcW w:w="724" w:type="pct"/>
            <w:tcBorders>
              <w:tl2br w:val="nil"/>
              <w:tr2bl w:val="nil"/>
            </w:tcBorders>
            <w:noWrap/>
            <w:vAlign w:val="center"/>
          </w:tcPr>
          <w:p w14:paraId="63E2A36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outlineLvl w:val="9"/>
              <w:rPr>
                <w:rFonts w:hint="default" w:ascii="Times New Roman" w:hAnsi="Times New Roman" w:eastAsia="宋体" w:cs="Times New Roman"/>
                <w:spacing w:val="11"/>
                <w:kern w:val="2"/>
                <w:sz w:val="21"/>
                <w:szCs w:val="21"/>
                <w:u w:val="single"/>
                <w:lang w:val="en-US" w:eastAsia="zh-CN" w:bidi="ar-SA"/>
              </w:rPr>
            </w:pPr>
            <w:r>
              <w:rPr>
                <w:rFonts w:hint="default" w:ascii="Times New Roman" w:hAnsi="Times New Roman" w:eastAsia="宋体" w:cs="Times New Roman"/>
                <w:spacing w:val="11"/>
                <w:kern w:val="2"/>
                <w:sz w:val="21"/>
                <w:szCs w:val="21"/>
                <w:u w:val="single"/>
                <w:lang w:val="en-US" w:eastAsia="zh-CN" w:bidi="ar-SA"/>
              </w:rPr>
              <w:t>TP</w:t>
            </w:r>
          </w:p>
        </w:tc>
      </w:tr>
      <w:tr w14:paraId="181B58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3844DE41">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snapToGrid/>
                <w:kern w:val="2"/>
                <w:sz w:val="21"/>
                <w:szCs w:val="21"/>
                <w:u w:val="single"/>
                <w:lang w:val="en-US" w:eastAsia="zh-CN" w:bidi="ar-SA"/>
              </w:rPr>
            </w:pPr>
            <w:r>
              <w:rPr>
                <w:rFonts w:hint="default" w:ascii="Times New Roman" w:hAnsi="Times New Roman" w:eastAsia="宋体" w:cs="Times New Roman"/>
                <w:i w:val="0"/>
                <w:iCs w:val="0"/>
                <w:snapToGrid w:val="0"/>
                <w:color w:val="000000"/>
                <w:kern w:val="0"/>
                <w:sz w:val="21"/>
                <w:szCs w:val="21"/>
                <w:u w:val="single"/>
                <w:lang w:val="en-US" w:eastAsia="zh-CN" w:bidi="ar"/>
              </w:rPr>
              <w:t>0（完全混合断面）</w:t>
            </w:r>
          </w:p>
        </w:tc>
        <w:tc>
          <w:tcPr>
            <w:tcW w:w="646" w:type="pct"/>
            <w:tcBorders>
              <w:tl2br w:val="nil"/>
              <w:tr2bl w:val="nil"/>
            </w:tcBorders>
            <w:noWrap/>
            <w:vAlign w:val="center"/>
          </w:tcPr>
          <w:p w14:paraId="47D4ED2F">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snapToGrid/>
                <w:kern w:val="2"/>
                <w:sz w:val="21"/>
                <w:szCs w:val="21"/>
                <w:u w:val="single"/>
                <w:lang w:val="en-US" w:eastAsia="zh-CN" w:bidi="ar-SA"/>
              </w:rPr>
            </w:pPr>
            <w:r>
              <w:rPr>
                <w:rFonts w:hint="eastAsia"/>
                <w:color w:val="0D0D0D" w:themeColor="text1" w:themeTint="F2"/>
                <w:sz w:val="21"/>
                <w:szCs w:val="21"/>
                <w:u w:val="single"/>
                <w:lang w:val="en-US" w:eastAsia="zh-CN"/>
                <w14:textFill>
                  <w14:solidFill>
                    <w14:schemeClr w14:val="tx1">
                      <w14:lumMod w14:val="95000"/>
                      <w14:lumOff w14:val="5000"/>
                    </w14:schemeClr>
                  </w14:solidFill>
                </w14:textFill>
              </w:rPr>
              <w:t>12.5821</w:t>
            </w:r>
          </w:p>
        </w:tc>
        <w:tc>
          <w:tcPr>
            <w:tcW w:w="1371" w:type="dxa"/>
            <w:tcBorders>
              <w:tl2br w:val="nil"/>
              <w:tr2bl w:val="nil"/>
            </w:tcBorders>
            <w:noWrap/>
            <w:vAlign w:val="center"/>
          </w:tcPr>
          <w:p w14:paraId="322A6BB0">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0.515</w:t>
            </w:r>
          </w:p>
        </w:tc>
        <w:tc>
          <w:tcPr>
            <w:tcW w:w="691" w:type="pct"/>
            <w:tcBorders>
              <w:tl2br w:val="nil"/>
              <w:tr2bl w:val="nil"/>
            </w:tcBorders>
            <w:noWrap/>
            <w:vAlign w:val="center"/>
          </w:tcPr>
          <w:p w14:paraId="1ECD8F40">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snapToGrid/>
                <w:kern w:val="2"/>
                <w:sz w:val="21"/>
                <w:szCs w:val="21"/>
                <w:u w:val="single"/>
                <w:lang w:val="en-US" w:eastAsia="zh-CN" w:bidi="ar-SA"/>
              </w:rPr>
            </w:pPr>
            <w:r>
              <w:rPr>
                <w:rFonts w:hint="eastAsia"/>
                <w:color w:val="0D0D0D" w:themeColor="text1" w:themeTint="F2"/>
                <w:sz w:val="21"/>
                <w:szCs w:val="21"/>
                <w:u w:val="single"/>
                <w:lang w:val="en-US" w:eastAsia="zh-CN"/>
                <w14:textFill>
                  <w14:solidFill>
                    <w14:schemeClr w14:val="tx1">
                      <w14:lumMod w14:val="95000"/>
                      <w14:lumOff w14:val="5000"/>
                    </w14:schemeClr>
                  </w14:solidFill>
                </w14:textFill>
              </w:rPr>
              <w:t>0.0839</w:t>
            </w:r>
          </w:p>
        </w:tc>
        <w:tc>
          <w:tcPr>
            <w:tcW w:w="741" w:type="pct"/>
            <w:tcBorders>
              <w:tl2br w:val="nil"/>
              <w:tr2bl w:val="nil"/>
            </w:tcBorders>
            <w:noWrap/>
            <w:vAlign w:val="center"/>
          </w:tcPr>
          <w:p w14:paraId="2608BB57">
            <w:pPr>
              <w:bidi w:val="0"/>
              <w:spacing w:line="240" w:lineRule="auto"/>
              <w:ind w:left="0" w:leftChars="0" w:firstLine="0" w:firstLineChars="0"/>
              <w:jc w:val="center"/>
              <w:rPr>
                <w:rFonts w:hint="default" w:ascii="Times New Roman" w:hAnsi="Times New Roman" w:eastAsia="宋体" w:cs="Times New Roman"/>
                <w:snapToGrid/>
                <w:kern w:val="2"/>
                <w:sz w:val="21"/>
                <w:szCs w:val="21"/>
                <w:u w:val="single"/>
                <w:lang w:val="en-US" w:eastAsia="zh-CN" w:bidi="ar-SA"/>
              </w:rPr>
            </w:pPr>
            <w:r>
              <w:rPr>
                <w:rFonts w:hint="eastAsia"/>
                <w:color w:val="0D0D0D" w:themeColor="text1" w:themeTint="F2"/>
                <w:sz w:val="21"/>
                <w:szCs w:val="21"/>
                <w:u w:val="single"/>
                <w:lang w:val="en-US" w:eastAsia="zh-CN"/>
                <w14:textFill>
                  <w14:solidFill>
                    <w14:schemeClr w14:val="tx1">
                      <w14:lumMod w14:val="95000"/>
                      <w14:lumOff w14:val="5000"/>
                    </w14:schemeClr>
                  </w14:solidFill>
                </w14:textFill>
              </w:rPr>
              <w:t>24.0308</w:t>
            </w:r>
          </w:p>
        </w:tc>
        <w:tc>
          <w:tcPr>
            <w:tcW w:w="774" w:type="pct"/>
            <w:tcBorders>
              <w:tl2br w:val="nil"/>
              <w:tr2bl w:val="nil"/>
            </w:tcBorders>
            <w:noWrap/>
            <w:vAlign w:val="center"/>
          </w:tcPr>
          <w:p w14:paraId="5790F84E">
            <w:pPr>
              <w:bidi w:val="0"/>
              <w:spacing w:line="240" w:lineRule="auto"/>
              <w:ind w:left="0" w:leftChars="0" w:firstLine="0" w:firstLineChars="0"/>
              <w:jc w:val="center"/>
              <w:rPr>
                <w:rFonts w:hint="default" w:ascii="Times New Roman" w:hAnsi="Times New Roman" w:eastAsia="宋体" w:cs="Times New Roman"/>
                <w:snapToGrid/>
                <w:kern w:val="2"/>
                <w:sz w:val="21"/>
                <w:szCs w:val="21"/>
                <w:u w:val="single"/>
                <w:lang w:val="en-US" w:eastAsia="zh-CN" w:bidi="ar-SA"/>
              </w:rPr>
            </w:pPr>
            <w:r>
              <w:rPr>
                <w:rFonts w:hint="eastAsia"/>
                <w:color w:val="0D0D0D" w:themeColor="text1" w:themeTint="F2"/>
                <w:sz w:val="21"/>
                <w:szCs w:val="21"/>
                <w:u w:val="single"/>
                <w:lang w:val="en-US" w:eastAsia="zh-CN"/>
                <w14:textFill>
                  <w14:solidFill>
                    <w14:schemeClr w14:val="tx1">
                      <w14:lumMod w14:val="95000"/>
                      <w14:lumOff w14:val="5000"/>
                    </w14:schemeClr>
                  </w14:solidFill>
                </w14:textFill>
              </w:rPr>
              <w:t>1.9873</w:t>
            </w:r>
          </w:p>
        </w:tc>
        <w:tc>
          <w:tcPr>
            <w:tcW w:w="724" w:type="pct"/>
            <w:tcBorders>
              <w:tl2br w:val="nil"/>
              <w:tr2bl w:val="nil"/>
            </w:tcBorders>
            <w:noWrap/>
            <w:vAlign w:val="center"/>
          </w:tcPr>
          <w:p w14:paraId="5DD7640E">
            <w:pPr>
              <w:bidi w:val="0"/>
              <w:spacing w:line="240" w:lineRule="auto"/>
              <w:ind w:left="0" w:leftChars="0" w:firstLine="0" w:firstLineChars="0"/>
              <w:jc w:val="center"/>
              <w:rPr>
                <w:rFonts w:hint="default" w:ascii="Times New Roman" w:hAnsi="Times New Roman" w:eastAsia="宋体" w:cs="Times New Roman"/>
                <w:b/>
                <w:bCs/>
                <w:snapToGrid/>
                <w:kern w:val="2"/>
                <w:sz w:val="21"/>
                <w:szCs w:val="21"/>
                <w:u w:val="single"/>
                <w:lang w:val="en-US" w:eastAsia="zh-CN" w:bidi="ar-SA"/>
              </w:rPr>
            </w:pPr>
            <w:r>
              <w:rPr>
                <w:rFonts w:hint="eastAsia"/>
                <w:color w:val="0D0D0D" w:themeColor="text1" w:themeTint="F2"/>
                <w:sz w:val="21"/>
                <w:szCs w:val="21"/>
                <w:u w:val="single"/>
                <w:lang w:val="en-US" w:eastAsia="zh-CN"/>
                <w14:textFill>
                  <w14:solidFill>
                    <w14:schemeClr w14:val="tx1">
                      <w14:lumMod w14:val="95000"/>
                      <w14:lumOff w14:val="5000"/>
                    </w14:schemeClr>
                  </w14:solidFill>
                </w14:textFill>
              </w:rPr>
              <w:t>0.2475</w:t>
            </w:r>
          </w:p>
        </w:tc>
      </w:tr>
      <w:tr w14:paraId="6166E7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0202EE70">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snapToGrid/>
                <w:kern w:val="2"/>
                <w:sz w:val="21"/>
                <w:szCs w:val="21"/>
                <w:u w:val="single"/>
                <w:lang w:val="en-US" w:eastAsia="zh-CN" w:bidi="ar-SA"/>
              </w:rPr>
            </w:pPr>
            <w:r>
              <w:rPr>
                <w:rFonts w:hint="eastAsia" w:ascii="Times New Roman" w:hAnsi="Times New Roman" w:eastAsia="宋体" w:cs="Times New Roman"/>
                <w:i w:val="0"/>
                <w:iCs w:val="0"/>
                <w:snapToGrid w:val="0"/>
                <w:color w:val="000000"/>
                <w:kern w:val="0"/>
                <w:sz w:val="21"/>
                <w:szCs w:val="21"/>
                <w:u w:val="single"/>
                <w:lang w:val="en-US" w:eastAsia="zh-CN" w:bidi="ar"/>
              </w:rPr>
              <w:t>10</w:t>
            </w:r>
          </w:p>
        </w:tc>
        <w:tc>
          <w:tcPr>
            <w:tcW w:w="646" w:type="pct"/>
            <w:tcBorders>
              <w:tl2br w:val="nil"/>
              <w:tr2bl w:val="nil"/>
            </w:tcBorders>
            <w:noWrap/>
            <w:vAlign w:val="center"/>
          </w:tcPr>
          <w:p w14:paraId="13D26A65">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12.5786</w:t>
            </w:r>
          </w:p>
        </w:tc>
        <w:tc>
          <w:tcPr>
            <w:tcW w:w="1371" w:type="dxa"/>
            <w:tcBorders>
              <w:tl2br w:val="nil"/>
              <w:tr2bl w:val="nil"/>
            </w:tcBorders>
            <w:noWrap/>
            <w:vAlign w:val="center"/>
          </w:tcPr>
          <w:p w14:paraId="1D9AB6AF">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0.515</w:t>
            </w:r>
          </w:p>
        </w:tc>
        <w:tc>
          <w:tcPr>
            <w:tcW w:w="691" w:type="pct"/>
            <w:tcBorders>
              <w:tl2br w:val="nil"/>
              <w:tr2bl w:val="nil"/>
            </w:tcBorders>
            <w:noWrap/>
            <w:vAlign w:val="center"/>
          </w:tcPr>
          <w:p w14:paraId="7D78803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0.0834</w:t>
            </w:r>
          </w:p>
        </w:tc>
        <w:tc>
          <w:tcPr>
            <w:tcW w:w="741" w:type="pct"/>
            <w:tcBorders>
              <w:tl2br w:val="nil"/>
              <w:tr2bl w:val="nil"/>
            </w:tcBorders>
            <w:noWrap/>
            <w:vAlign w:val="center"/>
          </w:tcPr>
          <w:p w14:paraId="2D03541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23.8885</w:t>
            </w:r>
          </w:p>
        </w:tc>
        <w:tc>
          <w:tcPr>
            <w:tcW w:w="774" w:type="pct"/>
            <w:tcBorders>
              <w:tl2br w:val="nil"/>
              <w:tr2bl w:val="nil"/>
            </w:tcBorders>
            <w:noWrap/>
            <w:vAlign w:val="center"/>
          </w:tcPr>
          <w:p w14:paraId="7D5F1858">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1.9871</w:t>
            </w:r>
          </w:p>
        </w:tc>
        <w:tc>
          <w:tcPr>
            <w:tcW w:w="724" w:type="pct"/>
            <w:tcBorders>
              <w:tl2br w:val="nil"/>
              <w:tr2bl w:val="nil"/>
            </w:tcBorders>
            <w:noWrap/>
            <w:vAlign w:val="center"/>
          </w:tcPr>
          <w:p w14:paraId="7E733881">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0.2455</w:t>
            </w:r>
          </w:p>
        </w:tc>
      </w:tr>
      <w:tr w14:paraId="20269EB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70271C63">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snapToGrid/>
                <w:kern w:val="2"/>
                <w:sz w:val="21"/>
                <w:szCs w:val="21"/>
                <w:u w:val="single"/>
                <w:lang w:val="en-US" w:eastAsia="zh-CN" w:bidi="ar-SA"/>
              </w:rPr>
            </w:pPr>
            <w:r>
              <w:rPr>
                <w:rFonts w:hint="eastAsia" w:ascii="Times New Roman" w:hAnsi="Times New Roman" w:eastAsia="宋体" w:cs="Times New Roman"/>
                <w:i w:val="0"/>
                <w:iCs w:val="0"/>
                <w:snapToGrid w:val="0"/>
                <w:color w:val="000000"/>
                <w:kern w:val="0"/>
                <w:sz w:val="21"/>
                <w:szCs w:val="21"/>
                <w:u w:val="single"/>
                <w:lang w:val="en-US" w:eastAsia="zh-CN" w:bidi="ar"/>
              </w:rPr>
              <w:t>50</w:t>
            </w:r>
          </w:p>
        </w:tc>
        <w:tc>
          <w:tcPr>
            <w:tcW w:w="646" w:type="pct"/>
            <w:tcBorders>
              <w:tl2br w:val="nil"/>
              <w:tr2bl w:val="nil"/>
            </w:tcBorders>
            <w:noWrap/>
            <w:vAlign w:val="center"/>
          </w:tcPr>
          <w:p w14:paraId="7EAAE8B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12.5731</w:t>
            </w:r>
          </w:p>
        </w:tc>
        <w:tc>
          <w:tcPr>
            <w:tcW w:w="1371" w:type="dxa"/>
            <w:tcBorders>
              <w:tl2br w:val="nil"/>
              <w:tr2bl w:val="nil"/>
            </w:tcBorders>
            <w:noWrap/>
            <w:vAlign w:val="center"/>
          </w:tcPr>
          <w:p w14:paraId="70632D0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0.5146</w:t>
            </w:r>
          </w:p>
        </w:tc>
        <w:tc>
          <w:tcPr>
            <w:tcW w:w="691" w:type="pct"/>
            <w:tcBorders>
              <w:tl2br w:val="nil"/>
              <w:tr2bl w:val="nil"/>
            </w:tcBorders>
            <w:noWrap/>
            <w:vAlign w:val="center"/>
          </w:tcPr>
          <w:p w14:paraId="7A966F63">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0.0829</w:t>
            </w:r>
          </w:p>
        </w:tc>
        <w:tc>
          <w:tcPr>
            <w:tcW w:w="741" w:type="pct"/>
            <w:tcBorders>
              <w:tl2br w:val="nil"/>
              <w:tr2bl w:val="nil"/>
            </w:tcBorders>
            <w:noWrap/>
            <w:vAlign w:val="center"/>
          </w:tcPr>
          <w:p w14:paraId="4627FD0F">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23.7462</w:t>
            </w:r>
          </w:p>
        </w:tc>
        <w:tc>
          <w:tcPr>
            <w:tcW w:w="774" w:type="pct"/>
            <w:tcBorders>
              <w:tl2br w:val="nil"/>
              <w:tr2bl w:val="nil"/>
            </w:tcBorders>
            <w:noWrap/>
            <w:vAlign w:val="center"/>
          </w:tcPr>
          <w:p w14:paraId="264646DD">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1.9855</w:t>
            </w:r>
          </w:p>
        </w:tc>
        <w:tc>
          <w:tcPr>
            <w:tcW w:w="724" w:type="pct"/>
            <w:tcBorders>
              <w:tl2br w:val="nil"/>
              <w:tr2bl w:val="nil"/>
            </w:tcBorders>
            <w:noWrap/>
            <w:vAlign w:val="center"/>
          </w:tcPr>
          <w:p w14:paraId="1D95EF3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0.2435</w:t>
            </w:r>
          </w:p>
        </w:tc>
      </w:tr>
      <w:tr w14:paraId="62E4C6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0B379329">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snapToGrid/>
                <w:kern w:val="2"/>
                <w:sz w:val="21"/>
                <w:szCs w:val="21"/>
                <w:u w:val="single"/>
                <w:lang w:val="en-US" w:eastAsia="zh-CN" w:bidi="ar-SA"/>
              </w:rPr>
            </w:pPr>
            <w:r>
              <w:rPr>
                <w:rFonts w:hint="eastAsia" w:ascii="Times New Roman" w:hAnsi="Times New Roman" w:eastAsia="宋体" w:cs="Times New Roman"/>
                <w:i w:val="0"/>
                <w:iCs w:val="0"/>
                <w:snapToGrid w:val="0"/>
                <w:color w:val="000000"/>
                <w:kern w:val="0"/>
                <w:sz w:val="21"/>
                <w:szCs w:val="21"/>
                <w:u w:val="single"/>
                <w:lang w:val="en-US" w:eastAsia="zh-CN" w:bidi="ar"/>
              </w:rPr>
              <w:t>100</w:t>
            </w:r>
          </w:p>
        </w:tc>
        <w:tc>
          <w:tcPr>
            <w:tcW w:w="646" w:type="pct"/>
            <w:tcBorders>
              <w:tl2br w:val="nil"/>
              <w:tr2bl w:val="nil"/>
            </w:tcBorders>
            <w:noWrap/>
            <w:vAlign w:val="center"/>
          </w:tcPr>
          <w:p w14:paraId="40C2FBD0">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12.5661</w:t>
            </w:r>
          </w:p>
        </w:tc>
        <w:tc>
          <w:tcPr>
            <w:tcW w:w="1371" w:type="dxa"/>
            <w:tcBorders>
              <w:tl2br w:val="nil"/>
              <w:tr2bl w:val="nil"/>
            </w:tcBorders>
            <w:noWrap/>
            <w:vAlign w:val="center"/>
          </w:tcPr>
          <w:p w14:paraId="2B8F9E11">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0.5138</w:t>
            </w:r>
          </w:p>
        </w:tc>
        <w:tc>
          <w:tcPr>
            <w:tcW w:w="691" w:type="pct"/>
            <w:tcBorders>
              <w:tl2br w:val="nil"/>
              <w:tr2bl w:val="nil"/>
            </w:tcBorders>
            <w:noWrap/>
            <w:vAlign w:val="center"/>
          </w:tcPr>
          <w:p w14:paraId="19800537">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0.0824</w:t>
            </w:r>
          </w:p>
        </w:tc>
        <w:tc>
          <w:tcPr>
            <w:tcW w:w="741" w:type="pct"/>
            <w:tcBorders>
              <w:tl2br w:val="nil"/>
              <w:tr2bl w:val="nil"/>
            </w:tcBorders>
            <w:noWrap/>
            <w:vAlign w:val="center"/>
          </w:tcPr>
          <w:p w14:paraId="3674066B">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23.6039</w:t>
            </w:r>
          </w:p>
        </w:tc>
        <w:tc>
          <w:tcPr>
            <w:tcW w:w="774" w:type="pct"/>
            <w:tcBorders>
              <w:tl2br w:val="nil"/>
              <w:tr2bl w:val="nil"/>
            </w:tcBorders>
            <w:noWrap/>
            <w:vAlign w:val="center"/>
          </w:tcPr>
          <w:p w14:paraId="53529515">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1.9796</w:t>
            </w:r>
          </w:p>
        </w:tc>
        <w:tc>
          <w:tcPr>
            <w:tcW w:w="724" w:type="pct"/>
            <w:tcBorders>
              <w:tl2br w:val="nil"/>
              <w:tr2bl w:val="nil"/>
            </w:tcBorders>
            <w:noWrap/>
            <w:vAlign w:val="center"/>
          </w:tcPr>
          <w:p w14:paraId="2C388C7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0.2415</w:t>
            </w:r>
          </w:p>
        </w:tc>
      </w:tr>
      <w:tr w14:paraId="694A8B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4E6BA06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snapToGrid/>
                <w:kern w:val="2"/>
                <w:sz w:val="21"/>
                <w:szCs w:val="21"/>
                <w:u w:val="single"/>
                <w:lang w:val="en-US" w:eastAsia="zh-CN" w:bidi="ar-SA"/>
              </w:rPr>
            </w:pPr>
            <w:r>
              <w:rPr>
                <w:rFonts w:hint="eastAsia" w:ascii="Times New Roman" w:hAnsi="Times New Roman" w:eastAsia="宋体" w:cs="Times New Roman"/>
                <w:i w:val="0"/>
                <w:iCs w:val="0"/>
                <w:snapToGrid w:val="0"/>
                <w:color w:val="000000"/>
                <w:kern w:val="0"/>
                <w:sz w:val="21"/>
                <w:szCs w:val="21"/>
                <w:u w:val="single"/>
                <w:lang w:val="en-US" w:eastAsia="zh-CN" w:bidi="ar"/>
              </w:rPr>
              <w:t>200</w:t>
            </w:r>
          </w:p>
        </w:tc>
        <w:tc>
          <w:tcPr>
            <w:tcW w:w="646" w:type="pct"/>
            <w:tcBorders>
              <w:tl2br w:val="nil"/>
              <w:tr2bl w:val="nil"/>
            </w:tcBorders>
            <w:noWrap/>
            <w:vAlign w:val="center"/>
          </w:tcPr>
          <w:p w14:paraId="671A3BC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12.5522</w:t>
            </w:r>
          </w:p>
        </w:tc>
        <w:tc>
          <w:tcPr>
            <w:tcW w:w="1371" w:type="dxa"/>
            <w:tcBorders>
              <w:tl2br w:val="nil"/>
              <w:tr2bl w:val="nil"/>
            </w:tcBorders>
            <w:noWrap/>
            <w:vAlign w:val="center"/>
          </w:tcPr>
          <w:p w14:paraId="7D589E4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0.4722</w:t>
            </w:r>
          </w:p>
        </w:tc>
        <w:tc>
          <w:tcPr>
            <w:tcW w:w="691" w:type="pct"/>
            <w:tcBorders>
              <w:tl2br w:val="nil"/>
              <w:tr2bl w:val="nil"/>
            </w:tcBorders>
            <w:noWrap/>
            <w:vAlign w:val="center"/>
          </w:tcPr>
          <w:p w14:paraId="6B07880D">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0.0819</w:t>
            </w:r>
          </w:p>
        </w:tc>
        <w:tc>
          <w:tcPr>
            <w:tcW w:w="741" w:type="pct"/>
            <w:tcBorders>
              <w:tl2br w:val="nil"/>
              <w:tr2bl w:val="nil"/>
            </w:tcBorders>
            <w:noWrap/>
            <w:vAlign w:val="center"/>
          </w:tcPr>
          <w:p w14:paraId="6D0533F2">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23.4616</w:t>
            </w:r>
          </w:p>
        </w:tc>
        <w:tc>
          <w:tcPr>
            <w:tcW w:w="774" w:type="pct"/>
            <w:tcBorders>
              <w:tl2br w:val="nil"/>
              <w:tr2bl w:val="nil"/>
            </w:tcBorders>
            <w:noWrap/>
            <w:vAlign w:val="center"/>
          </w:tcPr>
          <w:p w14:paraId="7487C2A5">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1.9637</w:t>
            </w:r>
          </w:p>
        </w:tc>
        <w:tc>
          <w:tcPr>
            <w:tcW w:w="724" w:type="pct"/>
            <w:tcBorders>
              <w:tl2br w:val="nil"/>
              <w:tr2bl w:val="nil"/>
            </w:tcBorders>
            <w:noWrap/>
            <w:vAlign w:val="center"/>
          </w:tcPr>
          <w:p w14:paraId="66361AD0">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0.2395</w:t>
            </w:r>
          </w:p>
        </w:tc>
      </w:tr>
      <w:tr w14:paraId="78AB28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41F6249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snapToGrid/>
                <w:kern w:val="2"/>
                <w:sz w:val="21"/>
                <w:szCs w:val="21"/>
                <w:u w:val="single"/>
                <w:lang w:val="en-US" w:eastAsia="zh-CN" w:bidi="ar-SA"/>
              </w:rPr>
            </w:pPr>
            <w:r>
              <w:rPr>
                <w:rFonts w:hint="eastAsia" w:ascii="Times New Roman" w:hAnsi="Times New Roman" w:eastAsia="宋体" w:cs="Times New Roman"/>
                <w:i w:val="0"/>
                <w:iCs w:val="0"/>
                <w:snapToGrid w:val="0"/>
                <w:color w:val="000000"/>
                <w:kern w:val="0"/>
                <w:sz w:val="21"/>
                <w:szCs w:val="21"/>
                <w:u w:val="single"/>
                <w:lang w:val="en-US" w:eastAsia="zh-CN" w:bidi="ar"/>
              </w:rPr>
              <w:t>400</w:t>
            </w:r>
          </w:p>
        </w:tc>
        <w:tc>
          <w:tcPr>
            <w:tcW w:w="646" w:type="pct"/>
            <w:tcBorders>
              <w:tl2br w:val="nil"/>
              <w:tr2bl w:val="nil"/>
            </w:tcBorders>
            <w:noWrap/>
            <w:vAlign w:val="center"/>
          </w:tcPr>
          <w:p w14:paraId="459C1C8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12.5245</w:t>
            </w:r>
          </w:p>
        </w:tc>
        <w:tc>
          <w:tcPr>
            <w:tcW w:w="1371" w:type="dxa"/>
            <w:tcBorders>
              <w:tl2br w:val="nil"/>
              <w:tr2bl w:val="nil"/>
            </w:tcBorders>
            <w:noWrap/>
            <w:vAlign w:val="center"/>
          </w:tcPr>
          <w:p w14:paraId="10C2B063">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0.4657</w:t>
            </w:r>
          </w:p>
        </w:tc>
        <w:tc>
          <w:tcPr>
            <w:tcW w:w="691" w:type="pct"/>
            <w:tcBorders>
              <w:tl2br w:val="nil"/>
              <w:tr2bl w:val="nil"/>
            </w:tcBorders>
            <w:noWrap/>
            <w:vAlign w:val="center"/>
          </w:tcPr>
          <w:p w14:paraId="0810C249">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0.0814</w:t>
            </w:r>
          </w:p>
        </w:tc>
        <w:tc>
          <w:tcPr>
            <w:tcW w:w="741" w:type="pct"/>
            <w:tcBorders>
              <w:tl2br w:val="nil"/>
              <w:tr2bl w:val="nil"/>
            </w:tcBorders>
            <w:noWrap/>
            <w:vAlign w:val="center"/>
          </w:tcPr>
          <w:p w14:paraId="4FF8ED02">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23.3193</w:t>
            </w:r>
          </w:p>
        </w:tc>
        <w:tc>
          <w:tcPr>
            <w:tcW w:w="774" w:type="pct"/>
            <w:tcBorders>
              <w:tl2br w:val="nil"/>
              <w:tr2bl w:val="nil"/>
            </w:tcBorders>
            <w:noWrap/>
            <w:vAlign w:val="center"/>
          </w:tcPr>
          <w:p w14:paraId="6FE6C5F8">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1.9378</w:t>
            </w:r>
          </w:p>
        </w:tc>
        <w:tc>
          <w:tcPr>
            <w:tcW w:w="724" w:type="pct"/>
            <w:tcBorders>
              <w:tl2br w:val="nil"/>
              <w:tr2bl w:val="nil"/>
            </w:tcBorders>
            <w:noWrap/>
            <w:vAlign w:val="center"/>
          </w:tcPr>
          <w:p w14:paraId="7004C8C1">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0.2375</w:t>
            </w:r>
          </w:p>
        </w:tc>
      </w:tr>
      <w:tr w14:paraId="591E2A8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7DBA6C57">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snapToGrid/>
                <w:kern w:val="2"/>
                <w:sz w:val="21"/>
                <w:szCs w:val="21"/>
                <w:u w:val="single"/>
                <w:lang w:val="en-US" w:eastAsia="zh-CN" w:bidi="ar-SA"/>
              </w:rPr>
            </w:pPr>
            <w:r>
              <w:rPr>
                <w:rFonts w:hint="eastAsia" w:ascii="Times New Roman" w:hAnsi="Times New Roman" w:eastAsia="宋体" w:cs="Times New Roman"/>
                <w:i w:val="0"/>
                <w:iCs w:val="0"/>
                <w:snapToGrid w:val="0"/>
                <w:color w:val="000000"/>
                <w:kern w:val="0"/>
                <w:sz w:val="21"/>
                <w:szCs w:val="21"/>
                <w:u w:val="single"/>
                <w:lang w:val="en-US" w:eastAsia="zh-CN" w:bidi="ar"/>
              </w:rPr>
              <w:t>600</w:t>
            </w:r>
          </w:p>
        </w:tc>
        <w:tc>
          <w:tcPr>
            <w:tcW w:w="646" w:type="pct"/>
            <w:tcBorders>
              <w:tl2br w:val="nil"/>
              <w:tr2bl w:val="nil"/>
            </w:tcBorders>
            <w:noWrap/>
            <w:vAlign w:val="center"/>
          </w:tcPr>
          <w:p w14:paraId="68075197">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12.4968</w:t>
            </w:r>
          </w:p>
        </w:tc>
        <w:tc>
          <w:tcPr>
            <w:tcW w:w="1371" w:type="dxa"/>
            <w:tcBorders>
              <w:tl2br w:val="nil"/>
              <w:tr2bl w:val="nil"/>
            </w:tcBorders>
            <w:noWrap/>
            <w:vAlign w:val="center"/>
          </w:tcPr>
          <w:p w14:paraId="39035B33">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0.4613</w:t>
            </w:r>
          </w:p>
        </w:tc>
        <w:tc>
          <w:tcPr>
            <w:tcW w:w="691" w:type="pct"/>
            <w:tcBorders>
              <w:tl2br w:val="nil"/>
              <w:tr2bl w:val="nil"/>
            </w:tcBorders>
            <w:noWrap/>
            <w:vAlign w:val="center"/>
          </w:tcPr>
          <w:p w14:paraId="3950EB8A">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0.0809</w:t>
            </w:r>
          </w:p>
        </w:tc>
        <w:tc>
          <w:tcPr>
            <w:tcW w:w="741" w:type="pct"/>
            <w:tcBorders>
              <w:tl2br w:val="nil"/>
              <w:tr2bl w:val="nil"/>
            </w:tcBorders>
            <w:noWrap/>
            <w:vAlign w:val="center"/>
          </w:tcPr>
          <w:p w14:paraId="1562308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23.177</w:t>
            </w:r>
          </w:p>
        </w:tc>
        <w:tc>
          <w:tcPr>
            <w:tcW w:w="774" w:type="pct"/>
            <w:tcBorders>
              <w:tl2br w:val="nil"/>
              <w:tr2bl w:val="nil"/>
            </w:tcBorders>
            <w:noWrap/>
            <w:vAlign w:val="center"/>
          </w:tcPr>
          <w:p w14:paraId="1F7A4352">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1.8919</w:t>
            </w:r>
          </w:p>
        </w:tc>
        <w:tc>
          <w:tcPr>
            <w:tcW w:w="724" w:type="pct"/>
            <w:tcBorders>
              <w:tl2br w:val="nil"/>
              <w:tr2bl w:val="nil"/>
            </w:tcBorders>
            <w:noWrap/>
            <w:vAlign w:val="center"/>
          </w:tcPr>
          <w:p w14:paraId="6630561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0.2355</w:t>
            </w:r>
          </w:p>
        </w:tc>
      </w:tr>
      <w:tr w14:paraId="04EB432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6AD5A4CD">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snapToGrid/>
                <w:kern w:val="2"/>
                <w:sz w:val="21"/>
                <w:szCs w:val="21"/>
                <w:u w:val="single"/>
                <w:lang w:val="en-US" w:eastAsia="zh-CN" w:bidi="ar-SA"/>
              </w:rPr>
            </w:pPr>
            <w:r>
              <w:rPr>
                <w:rFonts w:hint="eastAsia" w:ascii="Times New Roman" w:hAnsi="Times New Roman" w:eastAsia="宋体" w:cs="Times New Roman"/>
                <w:i w:val="0"/>
                <w:iCs w:val="0"/>
                <w:snapToGrid w:val="0"/>
                <w:color w:val="000000"/>
                <w:kern w:val="0"/>
                <w:sz w:val="21"/>
                <w:szCs w:val="21"/>
                <w:u w:val="single"/>
                <w:lang w:val="en-US" w:eastAsia="zh-CN" w:bidi="ar"/>
              </w:rPr>
              <w:t>800</w:t>
            </w:r>
          </w:p>
        </w:tc>
        <w:tc>
          <w:tcPr>
            <w:tcW w:w="646" w:type="pct"/>
            <w:tcBorders>
              <w:tl2br w:val="nil"/>
              <w:tr2bl w:val="nil"/>
            </w:tcBorders>
            <w:noWrap/>
            <w:vAlign w:val="center"/>
          </w:tcPr>
          <w:p w14:paraId="4DC72178">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12.4692</w:t>
            </w:r>
          </w:p>
        </w:tc>
        <w:tc>
          <w:tcPr>
            <w:tcW w:w="1371" w:type="dxa"/>
            <w:tcBorders>
              <w:tl2br w:val="nil"/>
              <w:tr2bl w:val="nil"/>
            </w:tcBorders>
            <w:noWrap/>
            <w:vAlign w:val="center"/>
          </w:tcPr>
          <w:p w14:paraId="5781BB6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0.4556</w:t>
            </w:r>
          </w:p>
        </w:tc>
        <w:tc>
          <w:tcPr>
            <w:tcW w:w="691" w:type="pct"/>
            <w:tcBorders>
              <w:tl2br w:val="nil"/>
              <w:tr2bl w:val="nil"/>
            </w:tcBorders>
            <w:noWrap/>
            <w:vAlign w:val="center"/>
          </w:tcPr>
          <w:p w14:paraId="0D5A1AE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0.0804</w:t>
            </w:r>
          </w:p>
        </w:tc>
        <w:tc>
          <w:tcPr>
            <w:tcW w:w="741" w:type="pct"/>
            <w:tcBorders>
              <w:tl2br w:val="nil"/>
              <w:tr2bl w:val="nil"/>
            </w:tcBorders>
            <w:noWrap/>
            <w:vAlign w:val="center"/>
          </w:tcPr>
          <w:p w14:paraId="64728C56">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23.0347</w:t>
            </w:r>
          </w:p>
        </w:tc>
        <w:tc>
          <w:tcPr>
            <w:tcW w:w="774" w:type="pct"/>
            <w:tcBorders>
              <w:tl2br w:val="nil"/>
              <w:tr2bl w:val="nil"/>
            </w:tcBorders>
            <w:noWrap/>
            <w:vAlign w:val="center"/>
          </w:tcPr>
          <w:p w14:paraId="46DB0CD4">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1.876</w:t>
            </w:r>
          </w:p>
        </w:tc>
        <w:tc>
          <w:tcPr>
            <w:tcW w:w="724" w:type="pct"/>
            <w:tcBorders>
              <w:tl2br w:val="nil"/>
              <w:tr2bl w:val="nil"/>
            </w:tcBorders>
            <w:noWrap/>
            <w:vAlign w:val="center"/>
          </w:tcPr>
          <w:p w14:paraId="1A7A9BA0">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0.2335</w:t>
            </w:r>
          </w:p>
        </w:tc>
      </w:tr>
      <w:tr w14:paraId="20D2FE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4" w:type="pct"/>
            <w:tcBorders>
              <w:tl2br w:val="nil"/>
              <w:tr2bl w:val="nil"/>
            </w:tcBorders>
            <w:noWrap/>
            <w:vAlign w:val="center"/>
          </w:tcPr>
          <w:p w14:paraId="3C7CBC04">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snapToGrid/>
                <w:kern w:val="2"/>
                <w:sz w:val="21"/>
                <w:szCs w:val="21"/>
                <w:u w:val="single"/>
                <w:lang w:val="en-US" w:eastAsia="zh-CN" w:bidi="ar-SA"/>
              </w:rPr>
            </w:pPr>
            <w:r>
              <w:rPr>
                <w:rFonts w:hint="eastAsia" w:ascii="Times New Roman" w:hAnsi="Times New Roman" w:eastAsia="宋体" w:cs="Times New Roman"/>
                <w:i w:val="0"/>
                <w:iCs w:val="0"/>
                <w:snapToGrid w:val="0"/>
                <w:color w:val="000000"/>
                <w:kern w:val="0"/>
                <w:sz w:val="21"/>
                <w:szCs w:val="21"/>
                <w:u w:val="single"/>
                <w:lang w:val="en-US" w:eastAsia="zh-CN" w:bidi="ar"/>
              </w:rPr>
              <w:t>1000（污染源排放量核算断面）</w:t>
            </w:r>
          </w:p>
        </w:tc>
        <w:tc>
          <w:tcPr>
            <w:tcW w:w="646" w:type="pct"/>
            <w:tcBorders>
              <w:tl2br w:val="nil"/>
              <w:tr2bl w:val="nil"/>
            </w:tcBorders>
            <w:noWrap/>
            <w:vAlign w:val="center"/>
          </w:tcPr>
          <w:p w14:paraId="5BE5DF48">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12.4417</w:t>
            </w:r>
          </w:p>
        </w:tc>
        <w:tc>
          <w:tcPr>
            <w:tcW w:w="1371" w:type="dxa"/>
            <w:tcBorders>
              <w:tl2br w:val="nil"/>
              <w:tr2bl w:val="nil"/>
            </w:tcBorders>
            <w:noWrap/>
            <w:vAlign w:val="center"/>
          </w:tcPr>
          <w:p w14:paraId="37BDCB2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0.453</w:t>
            </w:r>
          </w:p>
        </w:tc>
        <w:tc>
          <w:tcPr>
            <w:tcW w:w="691" w:type="pct"/>
            <w:tcBorders>
              <w:tl2br w:val="nil"/>
              <w:tr2bl w:val="nil"/>
            </w:tcBorders>
            <w:noWrap/>
            <w:vAlign w:val="center"/>
          </w:tcPr>
          <w:p w14:paraId="08D10F7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0.07964</w:t>
            </w:r>
          </w:p>
        </w:tc>
        <w:tc>
          <w:tcPr>
            <w:tcW w:w="741" w:type="pct"/>
            <w:tcBorders>
              <w:tl2br w:val="nil"/>
              <w:tr2bl w:val="nil"/>
            </w:tcBorders>
            <w:noWrap/>
            <w:vAlign w:val="center"/>
          </w:tcPr>
          <w:p w14:paraId="4797DA33">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22.8924</w:t>
            </w:r>
          </w:p>
        </w:tc>
        <w:tc>
          <w:tcPr>
            <w:tcW w:w="774" w:type="pct"/>
            <w:tcBorders>
              <w:tl2br w:val="nil"/>
              <w:tr2bl w:val="nil"/>
            </w:tcBorders>
            <w:noWrap/>
            <w:vAlign w:val="center"/>
          </w:tcPr>
          <w:p w14:paraId="3DE4A493">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1.8601</w:t>
            </w:r>
          </w:p>
        </w:tc>
        <w:tc>
          <w:tcPr>
            <w:tcW w:w="724" w:type="pct"/>
            <w:tcBorders>
              <w:tl2br w:val="nil"/>
              <w:tr2bl w:val="nil"/>
            </w:tcBorders>
            <w:noWrap/>
            <w:vAlign w:val="center"/>
          </w:tcPr>
          <w:p w14:paraId="5BCC541A">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0.2315</w:t>
            </w:r>
          </w:p>
        </w:tc>
      </w:tr>
      <w:tr w14:paraId="40A3D3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26B491E6">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snapToGrid/>
                <w:kern w:val="2"/>
                <w:sz w:val="21"/>
                <w:szCs w:val="21"/>
                <w:u w:val="single"/>
                <w:lang w:val="en-US" w:eastAsia="zh-CN" w:bidi="ar-SA"/>
              </w:rPr>
            </w:pPr>
            <w:r>
              <w:rPr>
                <w:rFonts w:hint="eastAsia" w:ascii="Times New Roman" w:hAnsi="Times New Roman" w:eastAsia="宋体" w:cs="Times New Roman"/>
                <w:i w:val="0"/>
                <w:iCs w:val="0"/>
                <w:snapToGrid w:val="0"/>
                <w:color w:val="000000"/>
                <w:kern w:val="0"/>
                <w:sz w:val="21"/>
                <w:szCs w:val="21"/>
                <w:u w:val="single"/>
                <w:lang w:val="en-US" w:eastAsia="zh-CN" w:bidi="ar"/>
              </w:rPr>
              <w:t>1200</w:t>
            </w:r>
          </w:p>
        </w:tc>
        <w:tc>
          <w:tcPr>
            <w:tcW w:w="646" w:type="pct"/>
            <w:tcBorders>
              <w:tl2br w:val="nil"/>
              <w:tr2bl w:val="nil"/>
            </w:tcBorders>
            <w:noWrap/>
            <w:vAlign w:val="center"/>
          </w:tcPr>
          <w:p w14:paraId="7B074A3D">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12.4142</w:t>
            </w:r>
          </w:p>
        </w:tc>
        <w:tc>
          <w:tcPr>
            <w:tcW w:w="1371" w:type="dxa"/>
            <w:tcBorders>
              <w:tl2br w:val="nil"/>
              <w:tr2bl w:val="nil"/>
            </w:tcBorders>
            <w:noWrap/>
            <w:vAlign w:val="center"/>
          </w:tcPr>
          <w:p w14:paraId="127C0A9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0.4504</w:t>
            </w:r>
          </w:p>
        </w:tc>
        <w:tc>
          <w:tcPr>
            <w:tcW w:w="691" w:type="pct"/>
            <w:tcBorders>
              <w:tl2br w:val="nil"/>
              <w:tr2bl w:val="nil"/>
            </w:tcBorders>
            <w:noWrap/>
            <w:vAlign w:val="center"/>
          </w:tcPr>
          <w:p w14:paraId="547D84E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0.07888</w:t>
            </w:r>
          </w:p>
        </w:tc>
        <w:tc>
          <w:tcPr>
            <w:tcW w:w="741" w:type="pct"/>
            <w:tcBorders>
              <w:tl2br w:val="nil"/>
              <w:tr2bl w:val="nil"/>
            </w:tcBorders>
            <w:noWrap/>
            <w:vAlign w:val="center"/>
          </w:tcPr>
          <w:p w14:paraId="334954A3">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22.7501</w:t>
            </w:r>
          </w:p>
        </w:tc>
        <w:tc>
          <w:tcPr>
            <w:tcW w:w="774" w:type="pct"/>
            <w:tcBorders>
              <w:tl2br w:val="nil"/>
              <w:tr2bl w:val="nil"/>
            </w:tcBorders>
            <w:noWrap/>
            <w:vAlign w:val="center"/>
          </w:tcPr>
          <w:p w14:paraId="248FD777">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1.8442</w:t>
            </w:r>
          </w:p>
        </w:tc>
        <w:tc>
          <w:tcPr>
            <w:tcW w:w="724" w:type="pct"/>
            <w:tcBorders>
              <w:tl2br w:val="nil"/>
              <w:tr2bl w:val="nil"/>
            </w:tcBorders>
            <w:noWrap/>
            <w:vAlign w:val="center"/>
          </w:tcPr>
          <w:p w14:paraId="5A2EC4F2">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0.2295</w:t>
            </w:r>
          </w:p>
        </w:tc>
      </w:tr>
      <w:tr w14:paraId="20ADA6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69231A49">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snapToGrid/>
                <w:kern w:val="2"/>
                <w:sz w:val="21"/>
                <w:szCs w:val="21"/>
                <w:u w:val="single"/>
                <w:lang w:val="en-US" w:eastAsia="zh-CN" w:bidi="ar-SA"/>
              </w:rPr>
            </w:pPr>
            <w:r>
              <w:rPr>
                <w:rFonts w:hint="eastAsia" w:ascii="Times New Roman" w:hAnsi="Times New Roman" w:eastAsia="宋体" w:cs="Times New Roman"/>
                <w:i w:val="0"/>
                <w:iCs w:val="0"/>
                <w:snapToGrid w:val="0"/>
                <w:color w:val="000000"/>
                <w:kern w:val="0"/>
                <w:sz w:val="21"/>
                <w:szCs w:val="21"/>
                <w:u w:val="single"/>
                <w:lang w:val="en-US" w:eastAsia="zh-CN" w:bidi="ar"/>
              </w:rPr>
              <w:t>1400</w:t>
            </w:r>
          </w:p>
        </w:tc>
        <w:tc>
          <w:tcPr>
            <w:tcW w:w="646" w:type="pct"/>
            <w:tcBorders>
              <w:tl2br w:val="nil"/>
              <w:tr2bl w:val="nil"/>
            </w:tcBorders>
            <w:noWrap/>
            <w:vAlign w:val="center"/>
          </w:tcPr>
          <w:p w14:paraId="2A1D9E7F">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12.3867</w:t>
            </w:r>
          </w:p>
        </w:tc>
        <w:tc>
          <w:tcPr>
            <w:tcW w:w="1371" w:type="dxa"/>
            <w:tcBorders>
              <w:tl2br w:val="nil"/>
              <w:tr2bl w:val="nil"/>
            </w:tcBorders>
            <w:noWrap/>
            <w:vAlign w:val="center"/>
          </w:tcPr>
          <w:p w14:paraId="512545B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0.4479</w:t>
            </w:r>
          </w:p>
        </w:tc>
        <w:tc>
          <w:tcPr>
            <w:tcW w:w="691" w:type="pct"/>
            <w:tcBorders>
              <w:tl2br w:val="nil"/>
              <w:tr2bl w:val="nil"/>
            </w:tcBorders>
            <w:noWrap/>
            <w:vAlign w:val="center"/>
          </w:tcPr>
          <w:p w14:paraId="1C9F609A">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0.07812</w:t>
            </w:r>
          </w:p>
        </w:tc>
        <w:tc>
          <w:tcPr>
            <w:tcW w:w="741" w:type="pct"/>
            <w:tcBorders>
              <w:tl2br w:val="nil"/>
              <w:tr2bl w:val="nil"/>
            </w:tcBorders>
            <w:noWrap/>
            <w:vAlign w:val="center"/>
          </w:tcPr>
          <w:p w14:paraId="320856AB">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22.6078</w:t>
            </w:r>
          </w:p>
        </w:tc>
        <w:tc>
          <w:tcPr>
            <w:tcW w:w="774" w:type="pct"/>
            <w:tcBorders>
              <w:tl2br w:val="nil"/>
              <w:tr2bl w:val="nil"/>
            </w:tcBorders>
            <w:noWrap/>
            <w:vAlign w:val="center"/>
          </w:tcPr>
          <w:p w14:paraId="3607BFC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1.8283</w:t>
            </w:r>
          </w:p>
        </w:tc>
        <w:tc>
          <w:tcPr>
            <w:tcW w:w="724" w:type="pct"/>
            <w:tcBorders>
              <w:tl2br w:val="nil"/>
              <w:tr2bl w:val="nil"/>
            </w:tcBorders>
            <w:noWrap/>
            <w:vAlign w:val="center"/>
          </w:tcPr>
          <w:p w14:paraId="0E34267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0.2275</w:t>
            </w:r>
          </w:p>
        </w:tc>
      </w:tr>
      <w:tr w14:paraId="676175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6A649099">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snapToGrid/>
                <w:kern w:val="2"/>
                <w:sz w:val="21"/>
                <w:szCs w:val="21"/>
                <w:u w:val="single"/>
                <w:lang w:val="en-US" w:eastAsia="zh-CN" w:bidi="ar-SA"/>
              </w:rPr>
            </w:pPr>
            <w:r>
              <w:rPr>
                <w:rFonts w:hint="eastAsia" w:ascii="Times New Roman" w:hAnsi="Times New Roman" w:eastAsia="宋体" w:cs="Times New Roman"/>
                <w:i w:val="0"/>
                <w:iCs w:val="0"/>
                <w:snapToGrid w:val="0"/>
                <w:color w:val="000000"/>
                <w:kern w:val="0"/>
                <w:sz w:val="21"/>
                <w:szCs w:val="21"/>
                <w:u w:val="single"/>
                <w:lang w:val="en-US" w:eastAsia="zh-CN" w:bidi="ar"/>
              </w:rPr>
              <w:t>1600</w:t>
            </w:r>
          </w:p>
        </w:tc>
        <w:tc>
          <w:tcPr>
            <w:tcW w:w="646" w:type="pct"/>
            <w:tcBorders>
              <w:tl2br w:val="nil"/>
              <w:tr2bl w:val="nil"/>
            </w:tcBorders>
            <w:noWrap/>
            <w:vAlign w:val="center"/>
          </w:tcPr>
          <w:p w14:paraId="7E987808">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12.3593</w:t>
            </w:r>
          </w:p>
        </w:tc>
        <w:tc>
          <w:tcPr>
            <w:tcW w:w="1371" w:type="dxa"/>
            <w:tcBorders>
              <w:tl2br w:val="nil"/>
              <w:tr2bl w:val="nil"/>
            </w:tcBorders>
            <w:noWrap/>
            <w:vAlign w:val="center"/>
          </w:tcPr>
          <w:p w14:paraId="158FB965">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0.4411</w:t>
            </w:r>
          </w:p>
        </w:tc>
        <w:tc>
          <w:tcPr>
            <w:tcW w:w="691" w:type="pct"/>
            <w:tcBorders>
              <w:tl2br w:val="nil"/>
              <w:tr2bl w:val="nil"/>
            </w:tcBorders>
            <w:noWrap/>
            <w:vAlign w:val="center"/>
          </w:tcPr>
          <w:p w14:paraId="1C3DC5B1">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0.07736</w:t>
            </w:r>
          </w:p>
        </w:tc>
        <w:tc>
          <w:tcPr>
            <w:tcW w:w="741" w:type="pct"/>
            <w:tcBorders>
              <w:tl2br w:val="nil"/>
              <w:tr2bl w:val="nil"/>
            </w:tcBorders>
            <w:noWrap/>
            <w:vAlign w:val="center"/>
          </w:tcPr>
          <w:p w14:paraId="44E45C6D">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22.4655</w:t>
            </w:r>
          </w:p>
        </w:tc>
        <w:tc>
          <w:tcPr>
            <w:tcW w:w="774" w:type="pct"/>
            <w:tcBorders>
              <w:tl2br w:val="nil"/>
              <w:tr2bl w:val="nil"/>
            </w:tcBorders>
            <w:noWrap/>
            <w:vAlign w:val="center"/>
          </w:tcPr>
          <w:p w14:paraId="628F6005">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1.8124</w:t>
            </w:r>
          </w:p>
        </w:tc>
        <w:tc>
          <w:tcPr>
            <w:tcW w:w="724" w:type="pct"/>
            <w:tcBorders>
              <w:tl2br w:val="nil"/>
              <w:tr2bl w:val="nil"/>
            </w:tcBorders>
            <w:noWrap/>
            <w:vAlign w:val="center"/>
          </w:tcPr>
          <w:p w14:paraId="2AAC6FE8">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0.2255</w:t>
            </w:r>
          </w:p>
        </w:tc>
      </w:tr>
      <w:tr w14:paraId="3EEF03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79406C2A">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snapToGrid/>
                <w:kern w:val="2"/>
                <w:sz w:val="21"/>
                <w:szCs w:val="21"/>
                <w:u w:val="single"/>
                <w:lang w:val="en-US" w:eastAsia="zh-CN" w:bidi="ar-SA"/>
              </w:rPr>
            </w:pPr>
            <w:r>
              <w:rPr>
                <w:rFonts w:hint="eastAsia" w:ascii="Times New Roman" w:hAnsi="Times New Roman" w:eastAsia="宋体" w:cs="Times New Roman"/>
                <w:i w:val="0"/>
                <w:iCs w:val="0"/>
                <w:snapToGrid w:val="0"/>
                <w:color w:val="000000"/>
                <w:kern w:val="0"/>
                <w:sz w:val="21"/>
                <w:szCs w:val="21"/>
                <w:u w:val="single"/>
                <w:lang w:val="en-US" w:eastAsia="zh-CN" w:bidi="ar"/>
              </w:rPr>
              <w:t>1800</w:t>
            </w:r>
          </w:p>
        </w:tc>
        <w:tc>
          <w:tcPr>
            <w:tcW w:w="646" w:type="pct"/>
            <w:tcBorders>
              <w:tl2br w:val="nil"/>
              <w:tr2bl w:val="nil"/>
            </w:tcBorders>
            <w:noWrap/>
            <w:vAlign w:val="center"/>
          </w:tcPr>
          <w:p w14:paraId="11D87153">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12.3319</w:t>
            </w:r>
          </w:p>
        </w:tc>
        <w:tc>
          <w:tcPr>
            <w:tcW w:w="1371" w:type="dxa"/>
            <w:tcBorders>
              <w:tl2br w:val="nil"/>
              <w:tr2bl w:val="nil"/>
            </w:tcBorders>
            <w:noWrap/>
            <w:vAlign w:val="center"/>
          </w:tcPr>
          <w:p w14:paraId="19E0CC78">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0.4392</w:t>
            </w:r>
          </w:p>
        </w:tc>
        <w:tc>
          <w:tcPr>
            <w:tcW w:w="691" w:type="pct"/>
            <w:tcBorders>
              <w:tl2br w:val="nil"/>
              <w:tr2bl w:val="nil"/>
            </w:tcBorders>
            <w:noWrap/>
            <w:vAlign w:val="center"/>
          </w:tcPr>
          <w:p w14:paraId="361C4F70">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0.07658</w:t>
            </w:r>
          </w:p>
        </w:tc>
        <w:tc>
          <w:tcPr>
            <w:tcW w:w="741" w:type="pct"/>
            <w:tcBorders>
              <w:tl2br w:val="nil"/>
              <w:tr2bl w:val="nil"/>
            </w:tcBorders>
            <w:noWrap/>
            <w:vAlign w:val="center"/>
          </w:tcPr>
          <w:p w14:paraId="10DD48D0">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22.3232</w:t>
            </w:r>
          </w:p>
        </w:tc>
        <w:tc>
          <w:tcPr>
            <w:tcW w:w="774" w:type="pct"/>
            <w:tcBorders>
              <w:tl2br w:val="nil"/>
              <w:tr2bl w:val="nil"/>
            </w:tcBorders>
            <w:noWrap/>
            <w:vAlign w:val="center"/>
          </w:tcPr>
          <w:p w14:paraId="16FF62FB">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1.7965</w:t>
            </w:r>
          </w:p>
        </w:tc>
        <w:tc>
          <w:tcPr>
            <w:tcW w:w="724" w:type="pct"/>
            <w:tcBorders>
              <w:tl2br w:val="nil"/>
              <w:tr2bl w:val="nil"/>
            </w:tcBorders>
            <w:noWrap/>
            <w:vAlign w:val="center"/>
          </w:tcPr>
          <w:p w14:paraId="563BC91A">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0.2235</w:t>
            </w:r>
          </w:p>
        </w:tc>
      </w:tr>
      <w:tr w14:paraId="75A701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42B2BA90">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snapToGrid/>
                <w:kern w:val="2"/>
                <w:sz w:val="21"/>
                <w:szCs w:val="21"/>
                <w:u w:val="single"/>
                <w:lang w:val="en-US" w:eastAsia="zh-CN" w:bidi="ar-SA"/>
              </w:rPr>
            </w:pPr>
            <w:r>
              <w:rPr>
                <w:rFonts w:hint="eastAsia" w:ascii="Times New Roman" w:hAnsi="Times New Roman" w:eastAsia="宋体" w:cs="Times New Roman"/>
                <w:i w:val="0"/>
                <w:iCs w:val="0"/>
                <w:snapToGrid w:val="0"/>
                <w:color w:val="000000"/>
                <w:kern w:val="0"/>
                <w:sz w:val="21"/>
                <w:szCs w:val="21"/>
                <w:u w:val="single"/>
                <w:lang w:val="en-US" w:eastAsia="zh-CN" w:bidi="ar"/>
              </w:rPr>
              <w:t>2000</w:t>
            </w:r>
          </w:p>
        </w:tc>
        <w:tc>
          <w:tcPr>
            <w:tcW w:w="646" w:type="pct"/>
            <w:tcBorders>
              <w:tl2br w:val="nil"/>
              <w:tr2bl w:val="nil"/>
            </w:tcBorders>
            <w:noWrap/>
            <w:vAlign w:val="center"/>
          </w:tcPr>
          <w:p w14:paraId="4EBAD62B">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12.3046</w:t>
            </w:r>
          </w:p>
        </w:tc>
        <w:tc>
          <w:tcPr>
            <w:tcW w:w="1371" w:type="dxa"/>
            <w:tcBorders>
              <w:tl2br w:val="nil"/>
              <w:tr2bl w:val="nil"/>
            </w:tcBorders>
            <w:noWrap/>
            <w:vAlign w:val="center"/>
          </w:tcPr>
          <w:p w14:paraId="1E9CE55D">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0.4354</w:t>
            </w:r>
          </w:p>
        </w:tc>
        <w:tc>
          <w:tcPr>
            <w:tcW w:w="691" w:type="pct"/>
            <w:tcBorders>
              <w:tl2br w:val="nil"/>
              <w:tr2bl w:val="nil"/>
            </w:tcBorders>
            <w:noWrap/>
            <w:vAlign w:val="center"/>
          </w:tcPr>
          <w:p w14:paraId="420FF449">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0.07575</w:t>
            </w:r>
          </w:p>
        </w:tc>
        <w:tc>
          <w:tcPr>
            <w:tcW w:w="741" w:type="pct"/>
            <w:tcBorders>
              <w:tl2br w:val="nil"/>
              <w:tr2bl w:val="nil"/>
            </w:tcBorders>
            <w:noWrap/>
            <w:vAlign w:val="center"/>
          </w:tcPr>
          <w:p w14:paraId="13533752">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22.1809</w:t>
            </w:r>
          </w:p>
        </w:tc>
        <w:tc>
          <w:tcPr>
            <w:tcW w:w="774" w:type="pct"/>
            <w:tcBorders>
              <w:tl2br w:val="nil"/>
              <w:tr2bl w:val="nil"/>
            </w:tcBorders>
            <w:noWrap/>
            <w:vAlign w:val="center"/>
          </w:tcPr>
          <w:p w14:paraId="68BC33B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1.7806</w:t>
            </w:r>
          </w:p>
        </w:tc>
        <w:tc>
          <w:tcPr>
            <w:tcW w:w="724" w:type="pct"/>
            <w:tcBorders>
              <w:tl2br w:val="nil"/>
              <w:tr2bl w:val="nil"/>
            </w:tcBorders>
            <w:noWrap/>
            <w:vAlign w:val="center"/>
          </w:tcPr>
          <w:p w14:paraId="7BF53C1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0.2215</w:t>
            </w:r>
          </w:p>
        </w:tc>
      </w:tr>
      <w:tr w14:paraId="79EFB2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50D21EA9">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snapToGrid/>
                <w:kern w:val="2"/>
                <w:sz w:val="21"/>
                <w:szCs w:val="21"/>
                <w:u w:val="single"/>
                <w:lang w:val="en-US" w:eastAsia="zh-CN" w:bidi="ar-SA"/>
              </w:rPr>
            </w:pPr>
            <w:r>
              <w:rPr>
                <w:rFonts w:hint="eastAsia" w:ascii="Times New Roman" w:hAnsi="Times New Roman" w:eastAsia="宋体" w:cs="Times New Roman"/>
                <w:i w:val="0"/>
                <w:iCs w:val="0"/>
                <w:snapToGrid w:val="0"/>
                <w:color w:val="000000"/>
                <w:kern w:val="0"/>
                <w:sz w:val="21"/>
                <w:szCs w:val="21"/>
                <w:u w:val="single"/>
                <w:lang w:val="en-US" w:eastAsia="zh-CN" w:bidi="ar"/>
              </w:rPr>
              <w:t>2500</w:t>
            </w:r>
          </w:p>
        </w:tc>
        <w:tc>
          <w:tcPr>
            <w:tcW w:w="646" w:type="pct"/>
            <w:tcBorders>
              <w:tl2br w:val="nil"/>
              <w:tr2bl w:val="nil"/>
            </w:tcBorders>
            <w:noWrap/>
            <w:vAlign w:val="center"/>
          </w:tcPr>
          <w:p w14:paraId="53A95846">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12.2366</w:t>
            </w:r>
          </w:p>
        </w:tc>
        <w:tc>
          <w:tcPr>
            <w:tcW w:w="1371" w:type="dxa"/>
            <w:tcBorders>
              <w:tl2br w:val="nil"/>
              <w:tr2bl w:val="nil"/>
            </w:tcBorders>
            <w:noWrap/>
            <w:vAlign w:val="center"/>
          </w:tcPr>
          <w:p w14:paraId="11E76DC9">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0.4302</w:t>
            </w:r>
          </w:p>
        </w:tc>
        <w:tc>
          <w:tcPr>
            <w:tcW w:w="691" w:type="pct"/>
            <w:tcBorders>
              <w:tl2br w:val="nil"/>
              <w:tr2bl w:val="nil"/>
            </w:tcBorders>
            <w:noWrap/>
            <w:vAlign w:val="center"/>
          </w:tcPr>
          <w:p w14:paraId="7A8CF973">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0.07495</w:t>
            </w:r>
          </w:p>
        </w:tc>
        <w:tc>
          <w:tcPr>
            <w:tcW w:w="741" w:type="pct"/>
            <w:tcBorders>
              <w:tl2br w:val="nil"/>
              <w:tr2bl w:val="nil"/>
            </w:tcBorders>
            <w:noWrap/>
            <w:vAlign w:val="center"/>
          </w:tcPr>
          <w:p w14:paraId="2A12DB43">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22.0386</w:t>
            </w:r>
          </w:p>
        </w:tc>
        <w:tc>
          <w:tcPr>
            <w:tcW w:w="774" w:type="pct"/>
            <w:tcBorders>
              <w:tl2br w:val="nil"/>
              <w:tr2bl w:val="nil"/>
            </w:tcBorders>
            <w:noWrap/>
            <w:vAlign w:val="center"/>
          </w:tcPr>
          <w:p w14:paraId="0B2D2678">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1.7647</w:t>
            </w:r>
          </w:p>
        </w:tc>
        <w:tc>
          <w:tcPr>
            <w:tcW w:w="724" w:type="pct"/>
            <w:tcBorders>
              <w:tl2br w:val="nil"/>
              <w:tr2bl w:val="nil"/>
            </w:tcBorders>
            <w:noWrap/>
            <w:vAlign w:val="center"/>
          </w:tcPr>
          <w:p w14:paraId="072EC943">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0.2195</w:t>
            </w:r>
          </w:p>
        </w:tc>
      </w:tr>
      <w:tr w14:paraId="66704F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2F6F298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snapToGrid/>
                <w:kern w:val="2"/>
                <w:sz w:val="21"/>
                <w:szCs w:val="21"/>
                <w:u w:val="single"/>
                <w:lang w:val="en-US" w:eastAsia="zh-CN" w:bidi="ar-SA"/>
              </w:rPr>
            </w:pPr>
            <w:r>
              <w:rPr>
                <w:rFonts w:hint="eastAsia" w:ascii="Times New Roman" w:hAnsi="Times New Roman" w:eastAsia="宋体" w:cs="Times New Roman"/>
                <w:i w:val="0"/>
                <w:iCs w:val="0"/>
                <w:snapToGrid w:val="0"/>
                <w:color w:val="000000"/>
                <w:kern w:val="0"/>
                <w:sz w:val="21"/>
                <w:szCs w:val="21"/>
                <w:u w:val="single"/>
                <w:lang w:val="en-US" w:eastAsia="zh-CN" w:bidi="ar"/>
              </w:rPr>
              <w:t>3000</w:t>
            </w:r>
          </w:p>
        </w:tc>
        <w:tc>
          <w:tcPr>
            <w:tcW w:w="646" w:type="pct"/>
            <w:tcBorders>
              <w:tl2br w:val="nil"/>
              <w:tr2bl w:val="nil"/>
            </w:tcBorders>
            <w:noWrap/>
            <w:vAlign w:val="center"/>
          </w:tcPr>
          <w:p w14:paraId="11A06A4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12.1688</w:t>
            </w:r>
          </w:p>
        </w:tc>
        <w:tc>
          <w:tcPr>
            <w:tcW w:w="1371" w:type="dxa"/>
            <w:tcBorders>
              <w:tl2br w:val="nil"/>
              <w:tr2bl w:val="nil"/>
            </w:tcBorders>
            <w:noWrap/>
            <w:vAlign w:val="center"/>
          </w:tcPr>
          <w:p w14:paraId="4A3AF189">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0.425</w:t>
            </w:r>
          </w:p>
        </w:tc>
        <w:tc>
          <w:tcPr>
            <w:tcW w:w="691" w:type="pct"/>
            <w:tcBorders>
              <w:tl2br w:val="nil"/>
              <w:tr2bl w:val="nil"/>
            </w:tcBorders>
            <w:noWrap/>
            <w:vAlign w:val="center"/>
          </w:tcPr>
          <w:p w14:paraId="25EF7BE9">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0.07445</w:t>
            </w:r>
          </w:p>
        </w:tc>
        <w:tc>
          <w:tcPr>
            <w:tcW w:w="741" w:type="pct"/>
            <w:tcBorders>
              <w:tl2br w:val="nil"/>
              <w:tr2bl w:val="nil"/>
            </w:tcBorders>
            <w:noWrap/>
            <w:vAlign w:val="center"/>
          </w:tcPr>
          <w:p w14:paraId="27EE1F6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21.8963</w:t>
            </w:r>
          </w:p>
        </w:tc>
        <w:tc>
          <w:tcPr>
            <w:tcW w:w="774" w:type="pct"/>
            <w:tcBorders>
              <w:tl2br w:val="nil"/>
              <w:tr2bl w:val="nil"/>
            </w:tcBorders>
            <w:noWrap/>
            <w:vAlign w:val="center"/>
          </w:tcPr>
          <w:p w14:paraId="65A2A7A6">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1.7488</w:t>
            </w:r>
          </w:p>
        </w:tc>
        <w:tc>
          <w:tcPr>
            <w:tcW w:w="724" w:type="pct"/>
            <w:tcBorders>
              <w:tl2br w:val="nil"/>
              <w:tr2bl w:val="nil"/>
            </w:tcBorders>
            <w:noWrap/>
            <w:vAlign w:val="center"/>
          </w:tcPr>
          <w:p w14:paraId="4D6344C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0.2175</w:t>
            </w:r>
          </w:p>
        </w:tc>
      </w:tr>
      <w:tr w14:paraId="601351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60085E40">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3500</w:t>
            </w:r>
          </w:p>
        </w:tc>
        <w:tc>
          <w:tcPr>
            <w:tcW w:w="646" w:type="pct"/>
            <w:tcBorders>
              <w:tl2br w:val="nil"/>
              <w:tr2bl w:val="nil"/>
            </w:tcBorders>
            <w:noWrap/>
            <w:vAlign w:val="center"/>
          </w:tcPr>
          <w:p w14:paraId="383DB64A">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12.0235</w:t>
            </w:r>
          </w:p>
        </w:tc>
        <w:tc>
          <w:tcPr>
            <w:tcW w:w="1371" w:type="dxa"/>
            <w:tcBorders>
              <w:tl2br w:val="nil"/>
              <w:tr2bl w:val="nil"/>
            </w:tcBorders>
            <w:noWrap/>
            <w:vAlign w:val="center"/>
          </w:tcPr>
          <w:p w14:paraId="0F52A4A0">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0.4168</w:t>
            </w:r>
          </w:p>
        </w:tc>
        <w:tc>
          <w:tcPr>
            <w:tcW w:w="691" w:type="pct"/>
            <w:tcBorders>
              <w:tl2br w:val="nil"/>
              <w:tr2bl w:val="nil"/>
            </w:tcBorders>
            <w:noWrap/>
            <w:vAlign w:val="center"/>
          </w:tcPr>
          <w:p w14:paraId="4E6628BB">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0.07375</w:t>
            </w:r>
          </w:p>
        </w:tc>
        <w:tc>
          <w:tcPr>
            <w:tcW w:w="741" w:type="pct"/>
            <w:tcBorders>
              <w:tl2br w:val="nil"/>
              <w:tr2bl w:val="nil"/>
            </w:tcBorders>
            <w:noWrap/>
            <w:vAlign w:val="center"/>
          </w:tcPr>
          <w:p w14:paraId="3256F388">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21.754</w:t>
            </w:r>
          </w:p>
        </w:tc>
        <w:tc>
          <w:tcPr>
            <w:tcW w:w="774" w:type="pct"/>
            <w:tcBorders>
              <w:tl2br w:val="nil"/>
              <w:tr2bl w:val="nil"/>
            </w:tcBorders>
            <w:noWrap/>
            <w:vAlign w:val="center"/>
          </w:tcPr>
          <w:p w14:paraId="6B79984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1.7329</w:t>
            </w:r>
          </w:p>
        </w:tc>
        <w:tc>
          <w:tcPr>
            <w:tcW w:w="724" w:type="pct"/>
            <w:tcBorders>
              <w:tl2br w:val="nil"/>
              <w:tr2bl w:val="nil"/>
            </w:tcBorders>
            <w:noWrap/>
            <w:vAlign w:val="center"/>
          </w:tcPr>
          <w:p w14:paraId="38A9574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0.2155</w:t>
            </w:r>
          </w:p>
        </w:tc>
      </w:tr>
      <w:tr w14:paraId="4434BB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3353CC44">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4000</w:t>
            </w:r>
          </w:p>
        </w:tc>
        <w:tc>
          <w:tcPr>
            <w:tcW w:w="646" w:type="pct"/>
            <w:tcBorders>
              <w:tl2br w:val="nil"/>
              <w:tr2bl w:val="nil"/>
            </w:tcBorders>
            <w:noWrap/>
            <w:vAlign w:val="center"/>
          </w:tcPr>
          <w:p w14:paraId="6BA7BD6F">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11.8782</w:t>
            </w:r>
          </w:p>
        </w:tc>
        <w:tc>
          <w:tcPr>
            <w:tcW w:w="1371" w:type="dxa"/>
            <w:tcBorders>
              <w:tl2br w:val="nil"/>
              <w:tr2bl w:val="nil"/>
            </w:tcBorders>
            <w:noWrap/>
            <w:vAlign w:val="center"/>
          </w:tcPr>
          <w:p w14:paraId="1647EA0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0.4046</w:t>
            </w:r>
          </w:p>
        </w:tc>
        <w:tc>
          <w:tcPr>
            <w:tcW w:w="691" w:type="pct"/>
            <w:tcBorders>
              <w:tl2br w:val="nil"/>
              <w:tr2bl w:val="nil"/>
            </w:tcBorders>
            <w:noWrap/>
            <w:vAlign w:val="center"/>
          </w:tcPr>
          <w:p w14:paraId="50138396">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0.07305</w:t>
            </w:r>
          </w:p>
        </w:tc>
        <w:tc>
          <w:tcPr>
            <w:tcW w:w="741" w:type="pct"/>
            <w:tcBorders>
              <w:tl2br w:val="nil"/>
              <w:tr2bl w:val="nil"/>
            </w:tcBorders>
            <w:noWrap/>
            <w:vAlign w:val="center"/>
          </w:tcPr>
          <w:p w14:paraId="14C1617B">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21.6117</w:t>
            </w:r>
          </w:p>
        </w:tc>
        <w:tc>
          <w:tcPr>
            <w:tcW w:w="774" w:type="pct"/>
            <w:tcBorders>
              <w:tl2br w:val="nil"/>
              <w:tr2bl w:val="nil"/>
            </w:tcBorders>
            <w:noWrap/>
            <w:vAlign w:val="center"/>
          </w:tcPr>
          <w:p w14:paraId="2BD3A47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1.717</w:t>
            </w:r>
          </w:p>
        </w:tc>
        <w:tc>
          <w:tcPr>
            <w:tcW w:w="724" w:type="pct"/>
            <w:tcBorders>
              <w:tl2br w:val="nil"/>
              <w:tr2bl w:val="nil"/>
            </w:tcBorders>
            <w:noWrap/>
            <w:vAlign w:val="center"/>
          </w:tcPr>
          <w:p w14:paraId="7036BED6">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0.2135</w:t>
            </w:r>
          </w:p>
        </w:tc>
      </w:tr>
      <w:tr w14:paraId="1E84E52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6ED9D2D6">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4500</w:t>
            </w:r>
          </w:p>
        </w:tc>
        <w:tc>
          <w:tcPr>
            <w:tcW w:w="646" w:type="pct"/>
            <w:tcBorders>
              <w:tl2br w:val="nil"/>
              <w:tr2bl w:val="nil"/>
            </w:tcBorders>
            <w:noWrap/>
            <w:vAlign w:val="center"/>
          </w:tcPr>
          <w:p w14:paraId="5C977C8D">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11.7329</w:t>
            </w:r>
          </w:p>
        </w:tc>
        <w:tc>
          <w:tcPr>
            <w:tcW w:w="1371" w:type="dxa"/>
            <w:tcBorders>
              <w:tl2br w:val="nil"/>
              <w:tr2bl w:val="nil"/>
            </w:tcBorders>
            <w:noWrap/>
            <w:vAlign w:val="center"/>
          </w:tcPr>
          <w:p w14:paraId="31F8444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0.4004</w:t>
            </w:r>
          </w:p>
        </w:tc>
        <w:tc>
          <w:tcPr>
            <w:tcW w:w="691" w:type="pct"/>
            <w:tcBorders>
              <w:tl2br w:val="nil"/>
              <w:tr2bl w:val="nil"/>
            </w:tcBorders>
            <w:noWrap/>
            <w:vAlign w:val="center"/>
          </w:tcPr>
          <w:p w14:paraId="4835FDF7">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0.07255</w:t>
            </w:r>
          </w:p>
        </w:tc>
        <w:tc>
          <w:tcPr>
            <w:tcW w:w="741" w:type="pct"/>
            <w:tcBorders>
              <w:tl2br w:val="nil"/>
              <w:tr2bl w:val="nil"/>
            </w:tcBorders>
            <w:noWrap/>
            <w:vAlign w:val="center"/>
          </w:tcPr>
          <w:p w14:paraId="26B3645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21.4694</w:t>
            </w:r>
          </w:p>
        </w:tc>
        <w:tc>
          <w:tcPr>
            <w:tcW w:w="774" w:type="pct"/>
            <w:tcBorders>
              <w:tl2br w:val="nil"/>
              <w:tr2bl w:val="nil"/>
            </w:tcBorders>
            <w:noWrap/>
            <w:vAlign w:val="center"/>
          </w:tcPr>
          <w:p w14:paraId="769AEB92">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1.7011</w:t>
            </w:r>
          </w:p>
        </w:tc>
        <w:tc>
          <w:tcPr>
            <w:tcW w:w="724" w:type="pct"/>
            <w:tcBorders>
              <w:tl2br w:val="nil"/>
              <w:tr2bl w:val="nil"/>
            </w:tcBorders>
            <w:noWrap/>
            <w:vAlign w:val="center"/>
          </w:tcPr>
          <w:p w14:paraId="10822E2D">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0.2115</w:t>
            </w:r>
          </w:p>
        </w:tc>
      </w:tr>
      <w:tr w14:paraId="583CC4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517B4BC9">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5000</w:t>
            </w:r>
          </w:p>
        </w:tc>
        <w:tc>
          <w:tcPr>
            <w:tcW w:w="646" w:type="pct"/>
            <w:tcBorders>
              <w:tl2br w:val="nil"/>
              <w:tr2bl w:val="nil"/>
            </w:tcBorders>
            <w:noWrap/>
            <w:vAlign w:val="center"/>
          </w:tcPr>
          <w:p w14:paraId="62E84B15">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11.5876</w:t>
            </w:r>
          </w:p>
        </w:tc>
        <w:tc>
          <w:tcPr>
            <w:tcW w:w="1371" w:type="dxa"/>
            <w:tcBorders>
              <w:tl2br w:val="nil"/>
              <w:tr2bl w:val="nil"/>
            </w:tcBorders>
            <w:noWrap/>
            <w:vAlign w:val="center"/>
          </w:tcPr>
          <w:p w14:paraId="780DD076">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0.397</w:t>
            </w:r>
          </w:p>
        </w:tc>
        <w:tc>
          <w:tcPr>
            <w:tcW w:w="691" w:type="pct"/>
            <w:tcBorders>
              <w:tl2br w:val="nil"/>
              <w:tr2bl w:val="nil"/>
            </w:tcBorders>
            <w:noWrap/>
            <w:vAlign w:val="center"/>
          </w:tcPr>
          <w:p w14:paraId="184E42ED">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0.07205</w:t>
            </w:r>
          </w:p>
        </w:tc>
        <w:tc>
          <w:tcPr>
            <w:tcW w:w="741" w:type="pct"/>
            <w:tcBorders>
              <w:tl2br w:val="nil"/>
              <w:tr2bl w:val="nil"/>
            </w:tcBorders>
            <w:noWrap/>
            <w:vAlign w:val="center"/>
          </w:tcPr>
          <w:p w14:paraId="22A3C5B9">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21.3271</w:t>
            </w:r>
          </w:p>
        </w:tc>
        <w:tc>
          <w:tcPr>
            <w:tcW w:w="774" w:type="pct"/>
            <w:tcBorders>
              <w:tl2br w:val="nil"/>
              <w:tr2bl w:val="nil"/>
            </w:tcBorders>
            <w:noWrap/>
            <w:vAlign w:val="center"/>
          </w:tcPr>
          <w:p w14:paraId="470A78B6">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1.6852</w:t>
            </w:r>
          </w:p>
        </w:tc>
        <w:tc>
          <w:tcPr>
            <w:tcW w:w="724" w:type="pct"/>
            <w:tcBorders>
              <w:tl2br w:val="nil"/>
              <w:tr2bl w:val="nil"/>
            </w:tcBorders>
            <w:noWrap/>
            <w:vAlign w:val="center"/>
          </w:tcPr>
          <w:p w14:paraId="26BCF787">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0.2095</w:t>
            </w:r>
          </w:p>
        </w:tc>
      </w:tr>
      <w:tr w14:paraId="779625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1342A727">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5500</w:t>
            </w:r>
          </w:p>
        </w:tc>
        <w:tc>
          <w:tcPr>
            <w:tcW w:w="646" w:type="pct"/>
            <w:tcBorders>
              <w:tl2br w:val="nil"/>
              <w:tr2bl w:val="nil"/>
            </w:tcBorders>
            <w:noWrap/>
            <w:vAlign w:val="center"/>
          </w:tcPr>
          <w:p w14:paraId="7FB71566">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11.4423</w:t>
            </w:r>
          </w:p>
        </w:tc>
        <w:tc>
          <w:tcPr>
            <w:tcW w:w="1371" w:type="dxa"/>
            <w:tcBorders>
              <w:tl2br w:val="nil"/>
              <w:tr2bl w:val="nil"/>
            </w:tcBorders>
            <w:noWrap/>
            <w:vAlign w:val="center"/>
          </w:tcPr>
          <w:p w14:paraId="0934CB0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0.3935</w:t>
            </w:r>
          </w:p>
        </w:tc>
        <w:tc>
          <w:tcPr>
            <w:tcW w:w="691" w:type="pct"/>
            <w:tcBorders>
              <w:tl2br w:val="nil"/>
              <w:tr2bl w:val="nil"/>
            </w:tcBorders>
            <w:noWrap/>
            <w:vAlign w:val="center"/>
          </w:tcPr>
          <w:p w14:paraId="029AF745">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0.07135</w:t>
            </w:r>
          </w:p>
        </w:tc>
        <w:tc>
          <w:tcPr>
            <w:tcW w:w="741" w:type="pct"/>
            <w:tcBorders>
              <w:tl2br w:val="nil"/>
              <w:tr2bl w:val="nil"/>
            </w:tcBorders>
            <w:noWrap/>
            <w:vAlign w:val="center"/>
          </w:tcPr>
          <w:p w14:paraId="40B9ECD4">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21.1848</w:t>
            </w:r>
          </w:p>
        </w:tc>
        <w:tc>
          <w:tcPr>
            <w:tcW w:w="774" w:type="pct"/>
            <w:tcBorders>
              <w:tl2br w:val="nil"/>
              <w:tr2bl w:val="nil"/>
            </w:tcBorders>
            <w:noWrap/>
            <w:vAlign w:val="center"/>
          </w:tcPr>
          <w:p w14:paraId="742F1D2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1.6693</w:t>
            </w:r>
          </w:p>
        </w:tc>
        <w:tc>
          <w:tcPr>
            <w:tcW w:w="724" w:type="pct"/>
            <w:tcBorders>
              <w:tl2br w:val="nil"/>
              <w:tr2bl w:val="nil"/>
            </w:tcBorders>
            <w:noWrap/>
            <w:vAlign w:val="center"/>
          </w:tcPr>
          <w:p w14:paraId="46E75242">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0.2075</w:t>
            </w:r>
          </w:p>
        </w:tc>
      </w:tr>
      <w:tr w14:paraId="0E087F3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1DB53344">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6000</w:t>
            </w:r>
          </w:p>
        </w:tc>
        <w:tc>
          <w:tcPr>
            <w:tcW w:w="646" w:type="pct"/>
            <w:tcBorders>
              <w:tl2br w:val="nil"/>
              <w:tr2bl w:val="nil"/>
            </w:tcBorders>
            <w:noWrap/>
            <w:vAlign w:val="center"/>
          </w:tcPr>
          <w:p w14:paraId="3AF20E5E">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11.297</w:t>
            </w:r>
          </w:p>
        </w:tc>
        <w:tc>
          <w:tcPr>
            <w:tcW w:w="1371" w:type="dxa"/>
            <w:tcBorders>
              <w:tl2br w:val="nil"/>
              <w:tr2bl w:val="nil"/>
            </w:tcBorders>
            <w:noWrap/>
            <w:vAlign w:val="center"/>
          </w:tcPr>
          <w:p w14:paraId="61AF6E14">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0.3889</w:t>
            </w:r>
          </w:p>
        </w:tc>
        <w:tc>
          <w:tcPr>
            <w:tcW w:w="691" w:type="pct"/>
            <w:tcBorders>
              <w:tl2br w:val="nil"/>
              <w:tr2bl w:val="nil"/>
            </w:tcBorders>
            <w:noWrap/>
            <w:vAlign w:val="center"/>
          </w:tcPr>
          <w:p w14:paraId="7D091F0D">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0.07025</w:t>
            </w:r>
          </w:p>
        </w:tc>
        <w:tc>
          <w:tcPr>
            <w:tcW w:w="741" w:type="pct"/>
            <w:tcBorders>
              <w:tl2br w:val="nil"/>
              <w:tr2bl w:val="nil"/>
            </w:tcBorders>
            <w:noWrap/>
            <w:vAlign w:val="center"/>
          </w:tcPr>
          <w:p w14:paraId="20327DA7">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21.0425</w:t>
            </w:r>
          </w:p>
        </w:tc>
        <w:tc>
          <w:tcPr>
            <w:tcW w:w="774" w:type="pct"/>
            <w:tcBorders>
              <w:tl2br w:val="nil"/>
              <w:tr2bl w:val="nil"/>
            </w:tcBorders>
            <w:noWrap/>
            <w:vAlign w:val="center"/>
          </w:tcPr>
          <w:p w14:paraId="408F379F">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1.6534</w:t>
            </w:r>
          </w:p>
        </w:tc>
        <w:tc>
          <w:tcPr>
            <w:tcW w:w="724" w:type="pct"/>
            <w:tcBorders>
              <w:tl2br w:val="nil"/>
              <w:tr2bl w:val="nil"/>
            </w:tcBorders>
            <w:noWrap/>
            <w:vAlign w:val="center"/>
          </w:tcPr>
          <w:p w14:paraId="6DE5765B">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0.2055</w:t>
            </w:r>
          </w:p>
        </w:tc>
      </w:tr>
      <w:tr w14:paraId="7BA832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288B8A2B">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6500</w:t>
            </w:r>
          </w:p>
        </w:tc>
        <w:tc>
          <w:tcPr>
            <w:tcW w:w="646" w:type="pct"/>
            <w:tcBorders>
              <w:tl2br w:val="nil"/>
              <w:tr2bl w:val="nil"/>
            </w:tcBorders>
            <w:noWrap/>
            <w:vAlign w:val="center"/>
          </w:tcPr>
          <w:p w14:paraId="50404443">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11.1517</w:t>
            </w:r>
          </w:p>
        </w:tc>
        <w:tc>
          <w:tcPr>
            <w:tcW w:w="1371" w:type="dxa"/>
            <w:tcBorders>
              <w:tl2br w:val="nil"/>
              <w:tr2bl w:val="nil"/>
            </w:tcBorders>
            <w:noWrap/>
            <w:vAlign w:val="center"/>
          </w:tcPr>
          <w:p w14:paraId="7FCE7190">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0.3863</w:t>
            </w:r>
          </w:p>
        </w:tc>
        <w:tc>
          <w:tcPr>
            <w:tcW w:w="691" w:type="pct"/>
            <w:tcBorders>
              <w:tl2br w:val="nil"/>
              <w:tr2bl w:val="nil"/>
            </w:tcBorders>
            <w:noWrap/>
            <w:vAlign w:val="center"/>
          </w:tcPr>
          <w:p w14:paraId="449FFCB0">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0.06975</w:t>
            </w:r>
          </w:p>
        </w:tc>
        <w:tc>
          <w:tcPr>
            <w:tcW w:w="741" w:type="pct"/>
            <w:tcBorders>
              <w:tl2br w:val="nil"/>
              <w:tr2bl w:val="nil"/>
            </w:tcBorders>
            <w:noWrap/>
            <w:vAlign w:val="center"/>
          </w:tcPr>
          <w:p w14:paraId="6D506684">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20.9002</w:t>
            </w:r>
          </w:p>
        </w:tc>
        <w:tc>
          <w:tcPr>
            <w:tcW w:w="774" w:type="pct"/>
            <w:tcBorders>
              <w:tl2br w:val="nil"/>
              <w:tr2bl w:val="nil"/>
            </w:tcBorders>
            <w:noWrap/>
            <w:vAlign w:val="center"/>
          </w:tcPr>
          <w:p w14:paraId="7C0723C8">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1.6375</w:t>
            </w:r>
          </w:p>
        </w:tc>
        <w:tc>
          <w:tcPr>
            <w:tcW w:w="724" w:type="pct"/>
            <w:tcBorders>
              <w:tl2br w:val="nil"/>
              <w:tr2bl w:val="nil"/>
            </w:tcBorders>
            <w:noWrap/>
            <w:vAlign w:val="center"/>
          </w:tcPr>
          <w:p w14:paraId="3D559EF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0.2035</w:t>
            </w:r>
          </w:p>
        </w:tc>
      </w:tr>
      <w:tr w14:paraId="5852CB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7317284D">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7000</w:t>
            </w:r>
          </w:p>
        </w:tc>
        <w:tc>
          <w:tcPr>
            <w:tcW w:w="646" w:type="pct"/>
            <w:tcBorders>
              <w:tl2br w:val="nil"/>
              <w:tr2bl w:val="nil"/>
            </w:tcBorders>
            <w:noWrap/>
            <w:vAlign w:val="center"/>
          </w:tcPr>
          <w:p w14:paraId="5375E617">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11.0064</w:t>
            </w:r>
          </w:p>
        </w:tc>
        <w:tc>
          <w:tcPr>
            <w:tcW w:w="1371" w:type="dxa"/>
            <w:tcBorders>
              <w:tl2br w:val="nil"/>
              <w:tr2bl w:val="nil"/>
            </w:tcBorders>
            <w:noWrap/>
            <w:vAlign w:val="center"/>
          </w:tcPr>
          <w:p w14:paraId="438611FC">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highlight w:val="none"/>
                <w:u w:val="single"/>
                <w:lang w:val="en-US" w:eastAsia="zh-CN" w:bidi="ar"/>
              </w:rPr>
              <w:t>0.3714</w:t>
            </w:r>
          </w:p>
        </w:tc>
        <w:tc>
          <w:tcPr>
            <w:tcW w:w="691" w:type="pct"/>
            <w:tcBorders>
              <w:tl2br w:val="nil"/>
              <w:tr2bl w:val="nil"/>
            </w:tcBorders>
            <w:noWrap/>
            <w:vAlign w:val="center"/>
          </w:tcPr>
          <w:p w14:paraId="6CAB7E55">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0.06925</w:t>
            </w:r>
          </w:p>
        </w:tc>
        <w:tc>
          <w:tcPr>
            <w:tcW w:w="741" w:type="pct"/>
            <w:tcBorders>
              <w:tl2br w:val="nil"/>
              <w:tr2bl w:val="nil"/>
            </w:tcBorders>
            <w:noWrap/>
            <w:vAlign w:val="center"/>
          </w:tcPr>
          <w:p w14:paraId="32BA99C7">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20.7579</w:t>
            </w:r>
          </w:p>
        </w:tc>
        <w:tc>
          <w:tcPr>
            <w:tcW w:w="774" w:type="pct"/>
            <w:tcBorders>
              <w:tl2br w:val="nil"/>
              <w:tr2bl w:val="nil"/>
            </w:tcBorders>
            <w:noWrap/>
            <w:vAlign w:val="center"/>
          </w:tcPr>
          <w:p w14:paraId="0FE04CB6">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1.6216</w:t>
            </w:r>
          </w:p>
        </w:tc>
        <w:tc>
          <w:tcPr>
            <w:tcW w:w="724" w:type="pct"/>
            <w:tcBorders>
              <w:tl2br w:val="nil"/>
              <w:tr2bl w:val="nil"/>
            </w:tcBorders>
            <w:noWrap/>
            <w:vAlign w:val="center"/>
          </w:tcPr>
          <w:p w14:paraId="4938D3B6">
            <w:pPr>
              <w:keepNext w:val="0"/>
              <w:keepLines w:val="0"/>
              <w:pageBreakBefore w:val="0"/>
              <w:widowControl/>
              <w:suppressLineNumbers w:val="0"/>
              <w:kinsoku/>
              <w:wordWrap/>
              <w:overflowPunct/>
              <w:topLinePunct w:val="0"/>
              <w:bidi w:val="0"/>
              <w:adjustRightInd w:val="0"/>
              <w:snapToGrid w:val="0"/>
              <w:spacing w:line="240" w:lineRule="auto"/>
              <w:ind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eastAsia" w:ascii="Times New Roman" w:hAnsi="Times New Roman" w:eastAsia="宋体" w:cs="Times New Roman"/>
                <w:i w:val="0"/>
                <w:iCs w:val="0"/>
                <w:snapToGrid w:val="0"/>
                <w:color w:val="000000"/>
                <w:kern w:val="0"/>
                <w:sz w:val="21"/>
                <w:szCs w:val="21"/>
                <w:u w:val="single"/>
                <w:lang w:val="en-US" w:eastAsia="zh-CN" w:bidi="ar"/>
              </w:rPr>
              <w:t>0.2015</w:t>
            </w:r>
          </w:p>
        </w:tc>
      </w:tr>
      <w:tr w14:paraId="0F3017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625F8E0C">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default" w:ascii="Times New Roman" w:hAnsi="Times New Roman" w:eastAsia="宋体" w:cs="Times New Roman"/>
                <w:i w:val="0"/>
                <w:iCs w:val="0"/>
                <w:snapToGrid w:val="0"/>
                <w:color w:val="000000"/>
                <w:kern w:val="0"/>
                <w:sz w:val="21"/>
                <w:szCs w:val="21"/>
                <w:u w:val="single"/>
                <w:lang w:val="en-US" w:eastAsia="zh-CN" w:bidi="ar"/>
              </w:rPr>
              <w:t>评价标准</w:t>
            </w:r>
          </w:p>
        </w:tc>
        <w:tc>
          <w:tcPr>
            <w:tcW w:w="646" w:type="pct"/>
            <w:tcBorders>
              <w:tl2br w:val="nil"/>
              <w:tr2bl w:val="nil"/>
            </w:tcBorders>
            <w:noWrap/>
            <w:vAlign w:val="center"/>
          </w:tcPr>
          <w:p w14:paraId="30B8E602">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default" w:ascii="Times New Roman" w:hAnsi="Times New Roman" w:eastAsia="宋体" w:cs="Times New Roman"/>
                <w:i w:val="0"/>
                <w:iCs w:val="0"/>
                <w:snapToGrid w:val="0"/>
                <w:color w:val="000000"/>
                <w:kern w:val="0"/>
                <w:sz w:val="21"/>
                <w:szCs w:val="21"/>
                <w:u w:val="single"/>
                <w:lang w:val="en-US" w:eastAsia="zh-CN" w:bidi="ar"/>
              </w:rPr>
              <w:t>20</w:t>
            </w:r>
          </w:p>
        </w:tc>
        <w:tc>
          <w:tcPr>
            <w:tcW w:w="757" w:type="pct"/>
            <w:tcBorders>
              <w:tl2br w:val="nil"/>
              <w:tr2bl w:val="nil"/>
            </w:tcBorders>
            <w:noWrap/>
            <w:vAlign w:val="center"/>
          </w:tcPr>
          <w:p w14:paraId="289F9994">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default" w:ascii="Times New Roman" w:hAnsi="Times New Roman" w:eastAsia="宋体" w:cs="Times New Roman"/>
                <w:i w:val="0"/>
                <w:iCs w:val="0"/>
                <w:snapToGrid w:val="0"/>
                <w:color w:val="000000"/>
                <w:kern w:val="0"/>
                <w:sz w:val="21"/>
                <w:szCs w:val="21"/>
                <w:u w:val="single"/>
                <w:lang w:val="en-US" w:eastAsia="zh-CN" w:bidi="ar"/>
              </w:rPr>
              <w:t>1.0</w:t>
            </w:r>
          </w:p>
        </w:tc>
        <w:tc>
          <w:tcPr>
            <w:tcW w:w="691" w:type="pct"/>
            <w:tcBorders>
              <w:tl2br w:val="nil"/>
              <w:tr2bl w:val="nil"/>
            </w:tcBorders>
            <w:noWrap/>
            <w:vAlign w:val="center"/>
          </w:tcPr>
          <w:p w14:paraId="12D4B3D3">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default" w:ascii="Times New Roman" w:hAnsi="Times New Roman" w:eastAsia="宋体" w:cs="Times New Roman"/>
                <w:i w:val="0"/>
                <w:iCs w:val="0"/>
                <w:snapToGrid w:val="0"/>
                <w:color w:val="000000"/>
                <w:kern w:val="0"/>
                <w:sz w:val="21"/>
                <w:szCs w:val="21"/>
                <w:u w:val="single"/>
                <w:lang w:val="en-US" w:eastAsia="zh-CN" w:bidi="ar"/>
              </w:rPr>
              <w:t>0.2</w:t>
            </w:r>
          </w:p>
        </w:tc>
        <w:tc>
          <w:tcPr>
            <w:tcW w:w="741" w:type="pct"/>
            <w:tcBorders>
              <w:tl2br w:val="nil"/>
              <w:tr2bl w:val="nil"/>
            </w:tcBorders>
            <w:noWrap/>
            <w:vAlign w:val="center"/>
          </w:tcPr>
          <w:p w14:paraId="32848A91">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default" w:ascii="Times New Roman" w:hAnsi="Times New Roman" w:eastAsia="宋体" w:cs="Times New Roman"/>
                <w:i w:val="0"/>
                <w:iCs w:val="0"/>
                <w:snapToGrid w:val="0"/>
                <w:color w:val="000000"/>
                <w:kern w:val="0"/>
                <w:sz w:val="21"/>
                <w:szCs w:val="21"/>
                <w:u w:val="single"/>
                <w:lang w:val="en-US" w:eastAsia="zh-CN" w:bidi="ar"/>
              </w:rPr>
              <w:t>20</w:t>
            </w:r>
          </w:p>
        </w:tc>
        <w:tc>
          <w:tcPr>
            <w:tcW w:w="774" w:type="pct"/>
            <w:tcBorders>
              <w:tl2br w:val="nil"/>
              <w:tr2bl w:val="nil"/>
            </w:tcBorders>
            <w:noWrap/>
            <w:vAlign w:val="center"/>
          </w:tcPr>
          <w:p w14:paraId="1B84F2A8">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default" w:ascii="Times New Roman" w:hAnsi="Times New Roman" w:eastAsia="宋体" w:cs="Times New Roman"/>
                <w:i w:val="0"/>
                <w:iCs w:val="0"/>
                <w:snapToGrid w:val="0"/>
                <w:color w:val="000000"/>
                <w:kern w:val="0"/>
                <w:sz w:val="21"/>
                <w:szCs w:val="21"/>
                <w:u w:val="single"/>
                <w:lang w:val="en-US" w:eastAsia="zh-CN" w:bidi="ar"/>
              </w:rPr>
              <w:t>1.0</w:t>
            </w:r>
          </w:p>
        </w:tc>
        <w:tc>
          <w:tcPr>
            <w:tcW w:w="724" w:type="pct"/>
            <w:tcBorders>
              <w:tl2br w:val="nil"/>
              <w:tr2bl w:val="nil"/>
            </w:tcBorders>
            <w:noWrap/>
            <w:vAlign w:val="center"/>
          </w:tcPr>
          <w:p w14:paraId="399A0505">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default" w:ascii="Times New Roman" w:hAnsi="Times New Roman" w:eastAsia="宋体" w:cs="Times New Roman"/>
                <w:i w:val="0"/>
                <w:iCs w:val="0"/>
                <w:snapToGrid w:val="0"/>
                <w:color w:val="000000"/>
                <w:kern w:val="0"/>
                <w:sz w:val="21"/>
                <w:szCs w:val="21"/>
                <w:u w:val="single"/>
                <w:lang w:val="en-US" w:eastAsia="zh-CN" w:bidi="ar"/>
              </w:rPr>
              <w:t>0.2</w:t>
            </w:r>
          </w:p>
        </w:tc>
      </w:tr>
      <w:tr w14:paraId="7CB1D1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4" w:type="pct"/>
            <w:tcBorders>
              <w:tl2br w:val="nil"/>
              <w:tr2bl w:val="nil"/>
            </w:tcBorders>
            <w:noWrap/>
            <w:vAlign w:val="center"/>
          </w:tcPr>
          <w:p w14:paraId="74915CAE">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default" w:ascii="Times New Roman" w:hAnsi="Times New Roman" w:eastAsia="宋体" w:cs="Times New Roman"/>
                <w:i w:val="0"/>
                <w:iCs w:val="0"/>
                <w:snapToGrid w:val="0"/>
                <w:color w:val="000000"/>
                <w:kern w:val="0"/>
                <w:sz w:val="21"/>
                <w:szCs w:val="21"/>
                <w:u w:val="single"/>
                <w:lang w:val="en-US" w:eastAsia="zh-CN" w:bidi="ar"/>
              </w:rPr>
              <w:t>备注</w:t>
            </w:r>
          </w:p>
        </w:tc>
        <w:tc>
          <w:tcPr>
            <w:tcW w:w="4335" w:type="pct"/>
            <w:gridSpan w:val="6"/>
            <w:tcBorders>
              <w:tl2br w:val="nil"/>
              <w:tr2bl w:val="nil"/>
            </w:tcBorders>
            <w:noWrap/>
            <w:vAlign w:val="center"/>
          </w:tcPr>
          <w:p w14:paraId="19D9E8F4">
            <w:pPr>
              <w:keepNext w:val="0"/>
              <w:keepLines w:val="0"/>
              <w:pageBreakBefore w:val="0"/>
              <w:widowControl/>
              <w:suppressLineNumbers w:val="0"/>
              <w:kinsoku/>
              <w:wordWrap/>
              <w:overflowPunct/>
              <w:topLinePunct w:val="0"/>
              <w:autoSpaceDE w:val="0"/>
              <w:autoSpaceDN w:val="0"/>
              <w:bidi w:val="0"/>
              <w:adjustRightInd w:val="0"/>
              <w:snapToGrid w:val="0"/>
              <w:spacing w:line="240" w:lineRule="auto"/>
              <w:ind w:left="0" w:leftChars="0" w:firstLine="0" w:firstLineChars="0"/>
              <w:jc w:val="center"/>
              <w:textAlignment w:val="center"/>
              <w:rPr>
                <w:rFonts w:hint="default" w:ascii="Times New Roman" w:hAnsi="Times New Roman" w:eastAsia="宋体" w:cs="Times New Roman"/>
                <w:i w:val="0"/>
                <w:iCs w:val="0"/>
                <w:snapToGrid w:val="0"/>
                <w:color w:val="000000"/>
                <w:kern w:val="0"/>
                <w:sz w:val="21"/>
                <w:szCs w:val="21"/>
                <w:u w:val="single"/>
                <w:lang w:val="en-US" w:eastAsia="zh-CN" w:bidi="ar"/>
              </w:rPr>
            </w:pPr>
            <w:r>
              <w:rPr>
                <w:rFonts w:hint="default" w:ascii="Times New Roman" w:hAnsi="Times New Roman" w:eastAsia="宋体" w:cs="Times New Roman"/>
                <w:i/>
                <w:iCs/>
                <w:snapToGrid w:val="0"/>
                <w:color w:val="000000"/>
                <w:kern w:val="0"/>
                <w:sz w:val="21"/>
                <w:szCs w:val="21"/>
                <w:u w:val="single"/>
                <w:lang w:val="en-US" w:eastAsia="zh-CN" w:bidi="ar"/>
              </w:rPr>
              <w:t>x</w:t>
            </w:r>
            <w:r>
              <w:rPr>
                <w:rFonts w:hint="default" w:ascii="Times New Roman" w:hAnsi="Times New Roman" w:eastAsia="宋体" w:cs="Times New Roman"/>
                <w:i w:val="0"/>
                <w:iCs w:val="0"/>
                <w:snapToGrid w:val="0"/>
                <w:color w:val="000000"/>
                <w:kern w:val="0"/>
                <w:sz w:val="21"/>
                <w:szCs w:val="21"/>
                <w:u w:val="single"/>
                <w:lang w:val="en-US" w:eastAsia="zh-CN" w:bidi="ar"/>
              </w:rPr>
              <w:t>0完全混合断面为入河排污口汇入</w:t>
            </w:r>
            <w:r>
              <w:rPr>
                <w:rFonts w:hint="eastAsia" w:cs="Times New Roman"/>
                <w:i w:val="0"/>
                <w:iCs w:val="0"/>
                <w:snapToGrid w:val="0"/>
                <w:color w:val="000000"/>
                <w:kern w:val="0"/>
                <w:sz w:val="21"/>
                <w:szCs w:val="21"/>
                <w:u w:val="single"/>
                <w:lang w:val="en-US" w:eastAsia="zh-CN" w:bidi="ar"/>
              </w:rPr>
              <w:t>果利河</w:t>
            </w:r>
            <w:r>
              <w:rPr>
                <w:rFonts w:hint="default" w:ascii="Times New Roman" w:hAnsi="Times New Roman" w:eastAsia="宋体" w:cs="Times New Roman"/>
                <w:i w:val="0"/>
                <w:iCs w:val="0"/>
                <w:snapToGrid w:val="0"/>
                <w:color w:val="000000"/>
                <w:kern w:val="0"/>
                <w:sz w:val="21"/>
                <w:szCs w:val="21"/>
                <w:u w:val="single"/>
                <w:lang w:val="en-US" w:eastAsia="zh-CN" w:bidi="ar"/>
              </w:rPr>
              <w:t>下游</w:t>
            </w:r>
            <w:r>
              <w:rPr>
                <w:rFonts w:hint="eastAsia" w:cs="Times New Roman"/>
                <w:i w:val="0"/>
                <w:iCs w:val="0"/>
                <w:snapToGrid w:val="0"/>
                <w:color w:val="000000"/>
                <w:kern w:val="0"/>
                <w:sz w:val="21"/>
                <w:szCs w:val="21"/>
                <w:u w:val="single"/>
                <w:lang w:val="en-US" w:eastAsia="zh-CN" w:bidi="ar"/>
              </w:rPr>
              <w:t>86</w:t>
            </w:r>
            <w:r>
              <w:rPr>
                <w:rFonts w:hint="default" w:ascii="Times New Roman" w:hAnsi="Times New Roman" w:eastAsia="宋体" w:cs="Times New Roman"/>
                <w:i w:val="0"/>
                <w:iCs w:val="0"/>
                <w:snapToGrid w:val="0"/>
                <w:color w:val="000000"/>
                <w:kern w:val="0"/>
                <w:sz w:val="21"/>
                <w:szCs w:val="21"/>
                <w:u w:val="single"/>
                <w:lang w:val="en-US" w:eastAsia="zh-CN" w:bidi="ar"/>
              </w:rPr>
              <w:t>m处</w:t>
            </w:r>
          </w:p>
        </w:tc>
      </w:tr>
    </w:tbl>
    <w:p w14:paraId="2C2E695D">
      <w:pPr>
        <w:widowControl w:val="0"/>
        <w:tabs>
          <w:tab w:val="left" w:pos="940"/>
        </w:tabs>
        <w:kinsoku w:val="0"/>
        <w:wordWrap w:val="0"/>
        <w:overflowPunct w:val="0"/>
        <w:topLinePunct/>
        <w:autoSpaceDE/>
        <w:autoSpaceDN/>
        <w:bidi w:val="0"/>
        <w:snapToGrid w:val="0"/>
        <w:spacing w:before="120" w:beforeLines="50" w:after="120" w:afterLines="50" w:line="240" w:lineRule="auto"/>
        <w:ind w:left="0" w:right="0" w:firstLine="0" w:firstLineChars="0"/>
        <w:jc w:val="center"/>
        <w:rPr>
          <w:rFonts w:ascii="Times New Roman" w:hAnsi="Times New Roman" w:eastAsia="黑体" w:cs="宋体"/>
          <w:b/>
          <w:sz w:val="21"/>
          <w:szCs w:val="20"/>
          <w:u w:val="none"/>
          <w:lang w:val="zh-CN" w:eastAsia="zh-CN" w:bidi="zh-CN"/>
        </w:rPr>
      </w:pPr>
      <w:r>
        <w:rPr>
          <w:rFonts w:ascii="Times New Roman" w:hAnsi="Times New Roman" w:eastAsia="黑体" w:cs="宋体"/>
          <w:b/>
          <w:sz w:val="21"/>
          <w:szCs w:val="20"/>
          <w:u w:val="none"/>
          <w:lang w:val="zh-CN" w:eastAsia="zh-CN" w:bidi="zh-CN"/>
        </w:rPr>
        <w:t>表</w:t>
      </w:r>
      <w:r>
        <w:rPr>
          <w:rFonts w:hint="eastAsia" w:eastAsia="黑体" w:cs="宋体"/>
          <w:b/>
          <w:sz w:val="21"/>
          <w:szCs w:val="20"/>
          <w:u w:val="none"/>
          <w:lang w:val="en-US" w:eastAsia="zh-CN" w:bidi="zh-CN"/>
        </w:rPr>
        <w:t>3.3</w:t>
      </w:r>
      <w:r>
        <w:rPr>
          <w:rFonts w:hint="eastAsia" w:ascii="Times New Roman" w:hAnsi="Times New Roman" w:eastAsia="黑体" w:cs="宋体"/>
          <w:b/>
          <w:sz w:val="21"/>
          <w:szCs w:val="20"/>
          <w:u w:val="none"/>
          <w:lang w:val="en-US" w:eastAsia="zh-CN" w:bidi="zh-CN"/>
        </w:rPr>
        <w:t>-</w:t>
      </w:r>
      <w:r>
        <w:rPr>
          <w:rFonts w:hint="eastAsia" w:eastAsia="黑体" w:cs="宋体"/>
          <w:b/>
          <w:sz w:val="21"/>
          <w:szCs w:val="20"/>
          <w:u w:val="none"/>
          <w:lang w:val="en-US" w:eastAsia="zh-CN" w:bidi="zh-CN"/>
        </w:rPr>
        <w:t>7</w:t>
      </w:r>
      <w:r>
        <w:rPr>
          <w:rFonts w:hint="eastAsia" w:ascii="Times New Roman" w:hAnsi="Times New Roman" w:eastAsia="黑体" w:cs="宋体"/>
          <w:b/>
          <w:sz w:val="21"/>
          <w:szCs w:val="20"/>
          <w:u w:val="none"/>
          <w:lang w:val="en-US" w:eastAsia="zh-CN" w:bidi="zh-CN"/>
        </w:rPr>
        <w:t xml:space="preserve"> </w:t>
      </w:r>
      <w:r>
        <w:rPr>
          <w:rFonts w:hint="eastAsia" w:ascii="Times New Roman" w:hAnsi="Times New Roman" w:eastAsia="黑体" w:cs="宋体"/>
          <w:b/>
          <w:sz w:val="21"/>
          <w:szCs w:val="20"/>
          <w:u w:val="none"/>
          <w:lang w:val="zh-CN" w:eastAsia="zh-CN" w:bidi="zh-CN"/>
        </w:rPr>
        <w:t>污染物COD NH</w:t>
      </w:r>
      <w:r>
        <w:rPr>
          <w:rFonts w:hint="eastAsia" w:ascii="Times New Roman" w:hAnsi="Times New Roman" w:eastAsia="黑体" w:cs="宋体"/>
          <w:b/>
          <w:sz w:val="21"/>
          <w:szCs w:val="20"/>
          <w:u w:val="none"/>
          <w:vertAlign w:val="subscript"/>
          <w:lang w:val="zh-CN" w:eastAsia="zh-CN" w:bidi="zh-CN"/>
        </w:rPr>
        <w:t>3</w:t>
      </w:r>
      <w:r>
        <w:rPr>
          <w:rFonts w:hint="eastAsia" w:ascii="Times New Roman" w:hAnsi="Times New Roman" w:eastAsia="黑体" w:cs="宋体"/>
          <w:b/>
          <w:sz w:val="21"/>
          <w:szCs w:val="20"/>
          <w:u w:val="none"/>
          <w:lang w:val="zh-CN" w:eastAsia="zh-CN" w:bidi="zh-CN"/>
        </w:rPr>
        <w:t>-N安全余量情况一览表</w:t>
      </w:r>
      <w:r>
        <w:rPr>
          <w:rFonts w:ascii="Times New Roman" w:hAnsi="Times New Roman" w:eastAsia="黑体" w:cs="宋体"/>
          <w:b/>
          <w:sz w:val="21"/>
          <w:szCs w:val="20"/>
          <w:u w:val="none"/>
          <w:lang w:val="zh-CN" w:eastAsia="zh-CN" w:bidi="zh-CN"/>
        </w:rPr>
        <w:t xml:space="preserve"> 单位mg/L</w:t>
      </w:r>
    </w:p>
    <w:tbl>
      <w:tblPr>
        <w:tblStyle w:val="33"/>
        <w:tblW w:w="505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71"/>
        <w:gridCol w:w="1021"/>
        <w:gridCol w:w="1559"/>
        <w:gridCol w:w="1577"/>
        <w:gridCol w:w="1218"/>
        <w:gridCol w:w="1560"/>
        <w:gridCol w:w="1092"/>
      </w:tblGrid>
      <w:tr w14:paraId="4C902A4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9" w:type="pct"/>
            <w:tcBorders>
              <w:tl2br w:val="nil"/>
              <w:tr2bl w:val="nil"/>
            </w:tcBorders>
            <w:vAlign w:val="center"/>
          </w:tcPr>
          <w:p w14:paraId="74FC7D03">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污水处理厂</w:t>
            </w:r>
          </w:p>
        </w:tc>
        <w:tc>
          <w:tcPr>
            <w:tcW w:w="543" w:type="pct"/>
            <w:tcBorders>
              <w:tl2br w:val="nil"/>
              <w:tr2bl w:val="nil"/>
            </w:tcBorders>
            <w:vAlign w:val="center"/>
          </w:tcPr>
          <w:p w14:paraId="5E938148">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污染物</w:t>
            </w:r>
          </w:p>
        </w:tc>
        <w:tc>
          <w:tcPr>
            <w:tcW w:w="829" w:type="pct"/>
            <w:tcBorders>
              <w:tl2br w:val="nil"/>
              <w:tr2bl w:val="nil"/>
            </w:tcBorders>
            <w:vAlign w:val="center"/>
          </w:tcPr>
          <w:p w14:paraId="2D021DBB">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污染物预测</w:t>
            </w:r>
          </w:p>
          <w:p w14:paraId="0CBD11FE">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浓度最大值</w:t>
            </w:r>
          </w:p>
          <w:p w14:paraId="7B6EDBAB">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（mg/L）</w:t>
            </w:r>
          </w:p>
        </w:tc>
        <w:tc>
          <w:tcPr>
            <w:tcW w:w="839" w:type="pct"/>
            <w:tcBorders>
              <w:tl2br w:val="nil"/>
              <w:tr2bl w:val="nil"/>
            </w:tcBorders>
            <w:vAlign w:val="center"/>
          </w:tcPr>
          <w:p w14:paraId="1570B393">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标准值</w:t>
            </w:r>
          </w:p>
          <w:p w14:paraId="33770DBC">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（mg/L）</w:t>
            </w:r>
          </w:p>
        </w:tc>
        <w:tc>
          <w:tcPr>
            <w:tcW w:w="648" w:type="pct"/>
            <w:tcBorders>
              <w:tl2br w:val="nil"/>
              <w:tr2bl w:val="nil"/>
            </w:tcBorders>
            <w:vAlign w:val="center"/>
          </w:tcPr>
          <w:p w14:paraId="354F4746">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安全余量</w:t>
            </w:r>
          </w:p>
          <w:p w14:paraId="7BBBCE85">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（mg/L）</w:t>
            </w:r>
          </w:p>
        </w:tc>
        <w:tc>
          <w:tcPr>
            <w:tcW w:w="830" w:type="pct"/>
            <w:tcBorders>
              <w:tl2br w:val="nil"/>
              <w:tr2bl w:val="nil"/>
            </w:tcBorders>
            <w:vAlign w:val="center"/>
          </w:tcPr>
          <w:p w14:paraId="3F62AE74">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环境质量标</w:t>
            </w:r>
          </w:p>
          <w:p w14:paraId="49BB19A5">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准×10%</w:t>
            </w:r>
          </w:p>
          <w:p w14:paraId="70823DFA">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（mg/L）</w:t>
            </w:r>
          </w:p>
        </w:tc>
        <w:tc>
          <w:tcPr>
            <w:tcW w:w="579" w:type="pct"/>
            <w:tcBorders>
              <w:tl2br w:val="nil"/>
              <w:tr2bl w:val="nil"/>
            </w:tcBorders>
            <w:vAlign w:val="center"/>
          </w:tcPr>
          <w:p w14:paraId="5856DE52">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是否满足</w:t>
            </w:r>
          </w:p>
        </w:tc>
      </w:tr>
      <w:tr w14:paraId="172489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9" w:type="pct"/>
            <w:vMerge w:val="restart"/>
            <w:tcBorders>
              <w:tl2br w:val="nil"/>
              <w:tr2bl w:val="nil"/>
            </w:tcBorders>
            <w:vAlign w:val="center"/>
          </w:tcPr>
          <w:p w14:paraId="3B4A4C5A">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eastAsia="zh-CN"/>
              </w:rPr>
            </w:pPr>
            <w:r>
              <w:rPr>
                <w:rFonts w:hint="eastAsia" w:cs="Times New Roman"/>
                <w:sz w:val="21"/>
                <w:szCs w:val="21"/>
                <w:lang w:val="en-US" w:eastAsia="zh-CN"/>
              </w:rPr>
              <w:t>龙山县高铁新区污水处理厂</w:t>
            </w:r>
          </w:p>
        </w:tc>
        <w:tc>
          <w:tcPr>
            <w:tcW w:w="543" w:type="pct"/>
            <w:tcBorders>
              <w:tl2br w:val="nil"/>
              <w:tr2bl w:val="nil"/>
            </w:tcBorders>
            <w:vAlign w:val="center"/>
          </w:tcPr>
          <w:p w14:paraId="00C80161">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COD</w:t>
            </w:r>
          </w:p>
        </w:tc>
        <w:tc>
          <w:tcPr>
            <w:tcW w:w="829" w:type="pct"/>
            <w:tcBorders>
              <w:tl2br w:val="nil"/>
              <w:tr2bl w:val="nil"/>
            </w:tcBorders>
            <w:vAlign w:val="center"/>
          </w:tcPr>
          <w:p w14:paraId="0574054E">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eastAsia="zh-CN"/>
              </w:rPr>
            </w:pPr>
            <w:r>
              <w:rPr>
                <w:rFonts w:hint="eastAsia" w:ascii="Times New Roman" w:hAnsi="Times New Roman" w:eastAsia="宋体" w:cs="Times New Roman"/>
                <w:i w:val="0"/>
                <w:iCs w:val="0"/>
                <w:snapToGrid w:val="0"/>
                <w:color w:val="000000"/>
                <w:kern w:val="0"/>
                <w:sz w:val="21"/>
                <w:szCs w:val="21"/>
                <w:u w:val="single"/>
                <w:lang w:val="en-US" w:eastAsia="zh-CN" w:bidi="ar"/>
              </w:rPr>
              <w:t>12.4417</w:t>
            </w:r>
          </w:p>
        </w:tc>
        <w:tc>
          <w:tcPr>
            <w:tcW w:w="839" w:type="pct"/>
            <w:tcBorders>
              <w:tl2br w:val="nil"/>
              <w:tr2bl w:val="nil"/>
            </w:tcBorders>
            <w:vAlign w:val="center"/>
          </w:tcPr>
          <w:p w14:paraId="6A8AD766">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20</w:t>
            </w:r>
          </w:p>
        </w:tc>
        <w:tc>
          <w:tcPr>
            <w:tcW w:w="648" w:type="pct"/>
            <w:tcBorders>
              <w:tl2br w:val="nil"/>
              <w:tr2bl w:val="nil"/>
            </w:tcBorders>
            <w:vAlign w:val="center"/>
          </w:tcPr>
          <w:p w14:paraId="782927E5">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7.5583</w:t>
            </w:r>
          </w:p>
        </w:tc>
        <w:tc>
          <w:tcPr>
            <w:tcW w:w="830" w:type="pct"/>
            <w:tcBorders>
              <w:tl2br w:val="nil"/>
              <w:tr2bl w:val="nil"/>
            </w:tcBorders>
            <w:vAlign w:val="center"/>
          </w:tcPr>
          <w:p w14:paraId="6A99D9C7">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≥2</w:t>
            </w:r>
          </w:p>
        </w:tc>
        <w:tc>
          <w:tcPr>
            <w:tcW w:w="579" w:type="pct"/>
            <w:tcBorders>
              <w:tl2br w:val="nil"/>
              <w:tr2bl w:val="nil"/>
            </w:tcBorders>
            <w:vAlign w:val="center"/>
          </w:tcPr>
          <w:p w14:paraId="282388F5">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是</w:t>
            </w:r>
          </w:p>
        </w:tc>
      </w:tr>
      <w:tr w14:paraId="5ACCBA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9" w:type="pct"/>
            <w:vMerge w:val="continue"/>
            <w:tcBorders>
              <w:tl2br w:val="nil"/>
              <w:tr2bl w:val="nil"/>
            </w:tcBorders>
            <w:vAlign w:val="center"/>
          </w:tcPr>
          <w:p w14:paraId="6DD3B461">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eastAsia="zh-CN"/>
              </w:rPr>
            </w:pPr>
          </w:p>
        </w:tc>
        <w:tc>
          <w:tcPr>
            <w:tcW w:w="543" w:type="pct"/>
            <w:tcBorders>
              <w:tl2br w:val="nil"/>
              <w:tr2bl w:val="nil"/>
            </w:tcBorders>
            <w:vAlign w:val="center"/>
          </w:tcPr>
          <w:p w14:paraId="3B42F6D5">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NH</w:t>
            </w:r>
            <w:r>
              <w:rPr>
                <w:rFonts w:hint="default" w:ascii="Times New Roman" w:hAnsi="Times New Roman" w:eastAsia="宋体" w:cs="Times New Roman"/>
                <w:sz w:val="21"/>
                <w:szCs w:val="21"/>
                <w:vertAlign w:val="subscript"/>
                <w:lang w:val="en-US" w:eastAsia="zh-CN"/>
              </w:rPr>
              <w:t>3</w:t>
            </w:r>
            <w:r>
              <w:rPr>
                <w:rFonts w:hint="default" w:ascii="Times New Roman" w:hAnsi="Times New Roman" w:eastAsia="宋体" w:cs="Times New Roman"/>
                <w:sz w:val="21"/>
                <w:szCs w:val="21"/>
                <w:lang w:val="en-US" w:eastAsia="zh-CN"/>
              </w:rPr>
              <w:t>-N</w:t>
            </w:r>
          </w:p>
        </w:tc>
        <w:tc>
          <w:tcPr>
            <w:tcW w:w="829" w:type="pct"/>
            <w:tcBorders>
              <w:tl2br w:val="nil"/>
              <w:tr2bl w:val="nil"/>
            </w:tcBorders>
            <w:vAlign w:val="center"/>
          </w:tcPr>
          <w:p w14:paraId="39BD896C">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eastAsia="zh-CN"/>
              </w:rPr>
            </w:pPr>
            <w:r>
              <w:rPr>
                <w:rFonts w:hint="eastAsia" w:ascii="Times New Roman" w:hAnsi="Times New Roman" w:eastAsia="宋体" w:cs="Times New Roman"/>
                <w:i w:val="0"/>
                <w:iCs w:val="0"/>
                <w:snapToGrid w:val="0"/>
                <w:color w:val="000000"/>
                <w:kern w:val="0"/>
                <w:sz w:val="21"/>
                <w:szCs w:val="21"/>
                <w:u w:val="single"/>
                <w:lang w:val="en-US" w:eastAsia="zh-CN" w:bidi="ar"/>
              </w:rPr>
              <w:t>0.5104</w:t>
            </w:r>
          </w:p>
        </w:tc>
        <w:tc>
          <w:tcPr>
            <w:tcW w:w="839" w:type="pct"/>
            <w:tcBorders>
              <w:tl2br w:val="nil"/>
              <w:tr2bl w:val="nil"/>
            </w:tcBorders>
            <w:vAlign w:val="center"/>
          </w:tcPr>
          <w:p w14:paraId="3578CCBC">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1.0</w:t>
            </w:r>
          </w:p>
        </w:tc>
        <w:tc>
          <w:tcPr>
            <w:tcW w:w="648" w:type="pct"/>
            <w:tcBorders>
              <w:tl2br w:val="nil"/>
              <w:tr2bl w:val="nil"/>
            </w:tcBorders>
            <w:vAlign w:val="center"/>
          </w:tcPr>
          <w:p w14:paraId="1C8A56E3">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0.4896</w:t>
            </w:r>
          </w:p>
        </w:tc>
        <w:tc>
          <w:tcPr>
            <w:tcW w:w="830" w:type="pct"/>
            <w:tcBorders>
              <w:tl2br w:val="nil"/>
              <w:tr2bl w:val="nil"/>
            </w:tcBorders>
            <w:vAlign w:val="center"/>
          </w:tcPr>
          <w:p w14:paraId="408232FE">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≥0.1</w:t>
            </w:r>
          </w:p>
        </w:tc>
        <w:tc>
          <w:tcPr>
            <w:tcW w:w="579" w:type="pct"/>
            <w:tcBorders>
              <w:tl2br w:val="nil"/>
              <w:tr2bl w:val="nil"/>
            </w:tcBorders>
            <w:vAlign w:val="center"/>
          </w:tcPr>
          <w:p w14:paraId="1AC300B5">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是</w:t>
            </w:r>
          </w:p>
        </w:tc>
      </w:tr>
      <w:tr w14:paraId="0DA687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9" w:type="pct"/>
            <w:vMerge w:val="continue"/>
            <w:tcBorders>
              <w:tl2br w:val="nil"/>
              <w:tr2bl w:val="nil"/>
            </w:tcBorders>
            <w:vAlign w:val="center"/>
          </w:tcPr>
          <w:p w14:paraId="65475FDE">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eastAsia="zh-CN"/>
              </w:rPr>
            </w:pPr>
          </w:p>
        </w:tc>
        <w:tc>
          <w:tcPr>
            <w:tcW w:w="543" w:type="pct"/>
            <w:tcBorders>
              <w:tl2br w:val="nil"/>
              <w:tr2bl w:val="nil"/>
            </w:tcBorders>
            <w:vAlign w:val="center"/>
          </w:tcPr>
          <w:p w14:paraId="3BFDF83D">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TP</w:t>
            </w:r>
          </w:p>
        </w:tc>
        <w:tc>
          <w:tcPr>
            <w:tcW w:w="829" w:type="pct"/>
            <w:tcBorders>
              <w:tl2br w:val="nil"/>
              <w:tr2bl w:val="nil"/>
            </w:tcBorders>
            <w:vAlign w:val="center"/>
          </w:tcPr>
          <w:p w14:paraId="1E4EA611">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eastAsia="zh-CN"/>
              </w:rPr>
            </w:pPr>
            <w:r>
              <w:rPr>
                <w:rFonts w:hint="eastAsia" w:ascii="Times New Roman" w:hAnsi="Times New Roman" w:eastAsia="宋体" w:cs="Times New Roman"/>
                <w:i w:val="0"/>
                <w:iCs w:val="0"/>
                <w:snapToGrid w:val="0"/>
                <w:color w:val="000000"/>
                <w:kern w:val="0"/>
                <w:sz w:val="21"/>
                <w:szCs w:val="21"/>
                <w:u w:val="single"/>
                <w:lang w:val="en-US" w:eastAsia="zh-CN" w:bidi="ar"/>
              </w:rPr>
              <w:t>0.07964</w:t>
            </w:r>
          </w:p>
        </w:tc>
        <w:tc>
          <w:tcPr>
            <w:tcW w:w="839" w:type="pct"/>
            <w:tcBorders>
              <w:tl2br w:val="nil"/>
              <w:tr2bl w:val="nil"/>
            </w:tcBorders>
            <w:vAlign w:val="center"/>
          </w:tcPr>
          <w:p w14:paraId="5C6A41D2">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0.2</w:t>
            </w:r>
          </w:p>
        </w:tc>
        <w:tc>
          <w:tcPr>
            <w:tcW w:w="648" w:type="pct"/>
            <w:tcBorders>
              <w:tl2br w:val="nil"/>
              <w:tr2bl w:val="nil"/>
            </w:tcBorders>
            <w:vAlign w:val="center"/>
          </w:tcPr>
          <w:p w14:paraId="1126C040">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0.12036</w:t>
            </w:r>
          </w:p>
        </w:tc>
        <w:tc>
          <w:tcPr>
            <w:tcW w:w="830" w:type="pct"/>
            <w:tcBorders>
              <w:tl2br w:val="nil"/>
              <w:tr2bl w:val="nil"/>
            </w:tcBorders>
            <w:vAlign w:val="center"/>
          </w:tcPr>
          <w:p w14:paraId="75F85708">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≥0.02</w:t>
            </w:r>
          </w:p>
        </w:tc>
        <w:tc>
          <w:tcPr>
            <w:tcW w:w="579" w:type="pct"/>
            <w:tcBorders>
              <w:tl2br w:val="nil"/>
              <w:tr2bl w:val="nil"/>
            </w:tcBorders>
            <w:vAlign w:val="center"/>
          </w:tcPr>
          <w:p w14:paraId="0805BF99">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是</w:t>
            </w:r>
          </w:p>
        </w:tc>
      </w:tr>
      <w:tr w14:paraId="72DB3BB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29" w:type="pct"/>
            <w:tcBorders>
              <w:tl2br w:val="nil"/>
              <w:tr2bl w:val="nil"/>
            </w:tcBorders>
            <w:vAlign w:val="center"/>
          </w:tcPr>
          <w:p w14:paraId="577F80FA">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rPr>
            </w:pPr>
            <w:r>
              <w:rPr>
                <w:rFonts w:hint="default" w:ascii="Times New Roman" w:hAnsi="Times New Roman" w:eastAsia="宋体" w:cs="Times New Roman"/>
                <w:sz w:val="21"/>
                <w:szCs w:val="21"/>
                <w:lang w:val="en-US" w:eastAsia="zh-CN"/>
              </w:rPr>
              <w:t>备注</w:t>
            </w:r>
          </w:p>
          <w:p w14:paraId="0CA5BF75">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sz w:val="21"/>
                <w:szCs w:val="21"/>
                <w:lang w:eastAsia="zh-CN"/>
              </w:rPr>
            </w:pPr>
          </w:p>
        </w:tc>
        <w:tc>
          <w:tcPr>
            <w:tcW w:w="4270" w:type="pct"/>
            <w:gridSpan w:val="6"/>
            <w:tcBorders>
              <w:tl2br w:val="nil"/>
              <w:tr2bl w:val="nil"/>
            </w:tcBorders>
            <w:vAlign w:val="center"/>
          </w:tcPr>
          <w:p w14:paraId="217E7940">
            <w:pPr>
              <w:keepNext w:val="0"/>
              <w:keepLines w:val="0"/>
              <w:pageBreakBefore w:val="0"/>
              <w:widowControl/>
              <w:kinsoku/>
              <w:wordWrap/>
              <w:overflowPunct/>
              <w:topLinePunct w:val="0"/>
              <w:autoSpaceDE w:val="0"/>
              <w:autoSpaceDN w:val="0"/>
              <w:bidi w:val="0"/>
              <w:adjustRightInd w:val="0"/>
              <w:snapToGrid w:val="0"/>
              <w:spacing w:line="240" w:lineRule="auto"/>
              <w:ind w:firstLine="0" w:firstLineChars="0"/>
              <w:jc w:val="both"/>
              <w:textAlignment w:val="baseline"/>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val="en-US" w:eastAsia="zh-CN"/>
              </w:rPr>
              <w:t>安全余量的标准限值根据《环境影响评价技术导则地表水环境》（HJ2.3-2018）8.3.3.1；</w:t>
            </w:r>
          </w:p>
        </w:tc>
      </w:tr>
    </w:tbl>
    <w:p w14:paraId="761A9D57">
      <w:pPr>
        <w:kinsoku w:val="0"/>
        <w:wordWrap w:val="0"/>
        <w:overflowPunct w:val="0"/>
        <w:topLinePunct/>
        <w:autoSpaceDE/>
        <w:autoSpaceDN/>
        <w:spacing w:before="0" w:after="0" w:line="360" w:lineRule="auto"/>
        <w:ind w:left="0" w:right="0" w:firstLine="480" w:firstLineChars="200"/>
        <w:rPr>
          <w:rFonts w:cs="宋体"/>
          <w:color w:val="000000"/>
          <w:kern w:val="0"/>
          <w:sz w:val="24"/>
          <w:szCs w:val="20"/>
          <w:u w:val="none"/>
          <w:lang w:val="zh-CN" w:bidi="zh-CN"/>
        </w:rPr>
      </w:pPr>
      <w:r>
        <w:rPr>
          <w:rFonts w:cs="宋体"/>
          <w:color w:val="000000"/>
          <w:kern w:val="0"/>
          <w:sz w:val="24"/>
          <w:szCs w:val="20"/>
          <w:u w:val="none"/>
          <w:lang w:val="zh-CN" w:bidi="zh-CN"/>
        </w:rPr>
        <w:t>根据预测结果，在</w:t>
      </w:r>
      <w:r>
        <w:rPr>
          <w:rFonts w:hint="eastAsia" w:cs="宋体"/>
          <w:color w:val="000000"/>
          <w:kern w:val="0"/>
          <w:sz w:val="24"/>
          <w:szCs w:val="20"/>
          <w:u w:val="none"/>
          <w:lang w:val="zh-CN" w:bidi="zh-CN"/>
        </w:rPr>
        <w:t>枯水</w:t>
      </w:r>
      <w:r>
        <w:rPr>
          <w:rFonts w:cs="宋体"/>
          <w:color w:val="000000"/>
          <w:kern w:val="0"/>
          <w:sz w:val="24"/>
          <w:szCs w:val="20"/>
          <w:u w:val="none"/>
          <w:lang w:val="zh-CN" w:bidi="zh-CN"/>
        </w:rPr>
        <w:t>期污水处理系统正常排污状况下</w:t>
      </w:r>
      <w:r>
        <w:rPr>
          <w:rFonts w:hint="eastAsia" w:cs="宋体"/>
          <w:color w:val="000000"/>
          <w:kern w:val="0"/>
          <w:sz w:val="24"/>
          <w:szCs w:val="20"/>
          <w:u w:val="none"/>
          <w:lang w:val="zh-CN" w:bidi="zh-CN"/>
        </w:rPr>
        <w:t>，污染物均可得到较快稀释扩散，项目</w:t>
      </w:r>
      <w:r>
        <w:rPr>
          <w:rFonts w:cs="宋体"/>
          <w:color w:val="000000"/>
          <w:kern w:val="0"/>
          <w:sz w:val="24"/>
          <w:szCs w:val="20"/>
          <w:u w:val="none"/>
          <w:lang w:val="zh-CN" w:bidi="zh-CN"/>
        </w:rPr>
        <w:t>COD</w:t>
      </w:r>
      <w:r>
        <w:rPr>
          <w:rFonts w:hint="eastAsia" w:cs="宋体"/>
          <w:color w:val="000000"/>
          <w:kern w:val="0"/>
          <w:sz w:val="24"/>
          <w:szCs w:val="20"/>
          <w:u w:val="none"/>
          <w:lang w:val="zh-CN" w:eastAsia="zh-CN" w:bidi="zh-CN"/>
        </w:rPr>
        <w:t xml:space="preserve"> </w:t>
      </w:r>
      <w:r>
        <w:rPr>
          <w:rFonts w:cs="宋体"/>
          <w:color w:val="000000"/>
          <w:kern w:val="0"/>
          <w:sz w:val="24"/>
          <w:szCs w:val="20"/>
          <w:u w:val="none"/>
          <w:lang w:val="zh-CN" w:bidi="zh-CN"/>
        </w:rPr>
        <w:t>氨氮</w:t>
      </w:r>
      <w:r>
        <w:rPr>
          <w:rFonts w:hint="eastAsia" w:cs="宋体"/>
          <w:color w:val="000000"/>
          <w:kern w:val="0"/>
          <w:sz w:val="24"/>
          <w:szCs w:val="20"/>
          <w:u w:val="none"/>
          <w:lang w:val="zh-CN" w:bidi="zh-CN"/>
        </w:rPr>
        <w:t>均能</w:t>
      </w:r>
      <w:r>
        <w:rPr>
          <w:rFonts w:cs="宋体"/>
          <w:color w:val="000000"/>
          <w:kern w:val="0"/>
          <w:sz w:val="24"/>
          <w:szCs w:val="20"/>
          <w:u w:val="none"/>
          <w:lang w:val="zh-CN" w:bidi="zh-CN"/>
        </w:rPr>
        <w:t>满足《地表水环境质量标准》（GB3838-2002）中</w:t>
      </w:r>
      <w:r>
        <w:rPr>
          <w:rFonts w:hint="eastAsia" w:ascii="宋体" w:hAnsi="宋体" w:cs="宋体"/>
          <w:color w:val="000000"/>
          <w:kern w:val="0"/>
          <w:sz w:val="24"/>
          <w:szCs w:val="20"/>
          <w:u w:val="none"/>
          <w:lang w:val="zh-CN" w:bidi="zh-CN"/>
        </w:rPr>
        <w:t>Ⅲ</w:t>
      </w:r>
      <w:r>
        <w:rPr>
          <w:rFonts w:cs="宋体"/>
          <w:color w:val="000000"/>
          <w:kern w:val="0"/>
          <w:sz w:val="24"/>
          <w:szCs w:val="20"/>
          <w:u w:val="none"/>
          <w:lang w:val="zh-CN" w:bidi="zh-CN"/>
        </w:rPr>
        <w:t>类水质标准</w:t>
      </w:r>
      <w:r>
        <w:rPr>
          <w:rFonts w:hint="eastAsia" w:cs="宋体"/>
          <w:color w:val="000000"/>
          <w:kern w:val="0"/>
          <w:sz w:val="24"/>
          <w:szCs w:val="20"/>
          <w:u w:val="none"/>
          <w:lang w:val="zh-CN" w:bidi="zh-CN"/>
        </w:rPr>
        <w:t>，同时各因子均满足导则要求的安全余量；</w:t>
      </w:r>
      <w:r>
        <w:rPr>
          <w:rFonts w:hint="eastAsia" w:cs="宋体"/>
          <w:color w:val="000000"/>
          <w:kern w:val="0"/>
          <w:sz w:val="24"/>
          <w:szCs w:val="20"/>
          <w:u w:val="none"/>
          <w:lang w:val="zh-CN" w:eastAsia="zh-CN" w:bidi="zh-CN"/>
        </w:rPr>
        <w:t>但是</w:t>
      </w:r>
      <w:r>
        <w:rPr>
          <w:rFonts w:hint="eastAsia" w:cs="宋体"/>
          <w:color w:val="000000"/>
          <w:kern w:val="0"/>
          <w:sz w:val="24"/>
          <w:szCs w:val="20"/>
          <w:u w:val="none"/>
          <w:lang w:val="zh-CN" w:bidi="zh-CN"/>
        </w:rPr>
        <w:t>枯水</w:t>
      </w:r>
      <w:r>
        <w:rPr>
          <w:rFonts w:cs="宋体"/>
          <w:color w:val="000000"/>
          <w:kern w:val="0"/>
          <w:sz w:val="24"/>
          <w:szCs w:val="20"/>
          <w:u w:val="none"/>
          <w:lang w:val="zh-CN" w:bidi="zh-CN"/>
        </w:rPr>
        <w:t>期污水处理系统非正常排污状况下排放口下游</w:t>
      </w:r>
      <w:r>
        <w:rPr>
          <w:rFonts w:hint="eastAsia" w:cs="宋体"/>
          <w:color w:val="000000"/>
          <w:kern w:val="0"/>
          <w:sz w:val="24"/>
          <w:szCs w:val="20"/>
          <w:u w:val="none"/>
          <w:lang w:val="zh-CN" w:bidi="zh-CN"/>
        </w:rPr>
        <w:t>10</w:t>
      </w:r>
      <w:r>
        <w:rPr>
          <w:rFonts w:hint="eastAsia" w:cs="宋体"/>
          <w:color w:val="000000"/>
          <w:kern w:val="0"/>
          <w:sz w:val="24"/>
          <w:szCs w:val="20"/>
          <w:u w:val="none"/>
          <w:lang w:val="en-US" w:bidi="zh-CN"/>
        </w:rPr>
        <w:t>00</w:t>
      </w:r>
      <w:r>
        <w:rPr>
          <w:rFonts w:hint="eastAsia" w:cs="宋体"/>
          <w:color w:val="000000"/>
          <w:kern w:val="0"/>
          <w:sz w:val="24"/>
          <w:szCs w:val="20"/>
          <w:u w:val="none"/>
          <w:lang w:val="zh-CN" w:bidi="zh-CN"/>
        </w:rPr>
        <w:t>m之内</w:t>
      </w:r>
      <w:r>
        <w:rPr>
          <w:rFonts w:cs="宋体"/>
          <w:color w:val="000000"/>
          <w:kern w:val="0"/>
          <w:sz w:val="24"/>
          <w:szCs w:val="20"/>
          <w:u w:val="none"/>
          <w:lang w:val="zh-CN" w:bidi="zh-CN"/>
        </w:rPr>
        <w:t>地表水环境</w:t>
      </w:r>
      <w:r>
        <w:rPr>
          <w:rFonts w:hint="eastAsia" w:cs="宋体"/>
          <w:color w:val="000000"/>
          <w:kern w:val="0"/>
          <w:sz w:val="24"/>
          <w:szCs w:val="20"/>
          <w:u w:val="none"/>
          <w:lang w:val="zh-CN" w:eastAsia="zh-CN" w:bidi="zh-CN"/>
        </w:rPr>
        <w:t>不</w:t>
      </w:r>
      <w:r>
        <w:rPr>
          <w:rFonts w:cs="宋体"/>
          <w:color w:val="000000"/>
          <w:kern w:val="0"/>
          <w:sz w:val="24"/>
          <w:szCs w:val="20"/>
          <w:u w:val="none"/>
          <w:lang w:val="zh-CN" w:bidi="zh-CN"/>
        </w:rPr>
        <w:t>能达到</w:t>
      </w:r>
      <w:r>
        <w:rPr>
          <w:rFonts w:hint="eastAsia" w:cs="宋体"/>
          <w:color w:val="000000"/>
          <w:kern w:val="0"/>
          <w:sz w:val="24"/>
          <w:szCs w:val="20"/>
          <w:u w:val="none"/>
          <w:lang w:val="zh-CN" w:bidi="zh-CN"/>
        </w:rPr>
        <w:t>Ⅲ</w:t>
      </w:r>
      <w:r>
        <w:rPr>
          <w:rFonts w:cs="宋体"/>
          <w:color w:val="000000"/>
          <w:kern w:val="0"/>
          <w:sz w:val="24"/>
          <w:szCs w:val="20"/>
          <w:u w:val="none"/>
          <w:lang w:val="zh-CN" w:bidi="zh-CN"/>
        </w:rPr>
        <w:t>类水体标准</w:t>
      </w:r>
      <w:r>
        <w:rPr>
          <w:rFonts w:hint="eastAsia" w:cs="宋体"/>
          <w:color w:val="000000"/>
          <w:kern w:val="0"/>
          <w:sz w:val="24"/>
          <w:szCs w:val="20"/>
          <w:u w:val="none"/>
          <w:lang w:val="zh-CN" w:bidi="zh-CN"/>
        </w:rPr>
        <w:t>，</w:t>
      </w:r>
      <w:r>
        <w:rPr>
          <w:rFonts w:hint="eastAsia" w:cs="宋体"/>
          <w:color w:val="000000"/>
          <w:kern w:val="0"/>
          <w:sz w:val="24"/>
          <w:szCs w:val="20"/>
          <w:u w:val="none"/>
          <w:lang w:val="zh-CN" w:eastAsia="zh-CN" w:bidi="zh-CN"/>
        </w:rPr>
        <w:t>所以必须避免项目污水处理厂的直接排放，</w:t>
      </w:r>
      <w:r>
        <w:rPr>
          <w:rFonts w:hint="eastAsia" w:cs="宋体"/>
          <w:color w:val="000000"/>
          <w:kern w:val="0"/>
          <w:sz w:val="24"/>
          <w:szCs w:val="20"/>
          <w:highlight w:val="none"/>
          <w:u w:val="none"/>
          <w:lang w:val="zh-CN" w:bidi="zh-CN"/>
        </w:rPr>
        <w:t>并且</w:t>
      </w:r>
      <w:r>
        <w:rPr>
          <w:rFonts w:hint="eastAsia" w:cs="宋体"/>
          <w:color w:val="000000"/>
          <w:kern w:val="0"/>
          <w:sz w:val="24"/>
          <w:szCs w:val="20"/>
          <w:u w:val="none"/>
          <w:lang w:val="zh-CN" w:bidi="zh-CN"/>
        </w:rPr>
        <w:t>向河流排放不达标的废水属于违法行为，</w:t>
      </w:r>
      <w:r>
        <w:rPr>
          <w:rFonts w:cs="宋体"/>
          <w:color w:val="000000"/>
          <w:kern w:val="0"/>
          <w:sz w:val="24"/>
          <w:szCs w:val="20"/>
          <w:u w:val="none"/>
          <w:lang w:val="zh-CN" w:bidi="zh-CN"/>
        </w:rPr>
        <w:t>故运营期应加强管理，杜绝非正常排污发生。</w:t>
      </w:r>
    </w:p>
    <w:p w14:paraId="7B312EE5">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default" w:ascii="Times New Roman" w:hAnsi="Times New Roman" w:cs="Times New Roman"/>
          <w:b/>
          <w:bCs/>
          <w:color w:val="auto"/>
          <w:sz w:val="28"/>
          <w:szCs w:val="28"/>
          <w:highlight w:val="green"/>
          <w:lang w:val="en-US" w:eastAsia="zh-CN"/>
        </w:rPr>
      </w:pPr>
      <w:bookmarkStart w:id="77" w:name="_Toc1655"/>
      <w:bookmarkStart w:id="78" w:name="_Toc26075"/>
      <w:r>
        <w:rPr>
          <w:rFonts w:hint="eastAsia" w:cs="Times New Roman"/>
          <w:b/>
          <w:bCs/>
          <w:color w:val="auto"/>
          <w:sz w:val="28"/>
          <w:szCs w:val="28"/>
          <w:lang w:val="en-US" w:eastAsia="zh-CN"/>
        </w:rPr>
        <w:t>3</w:t>
      </w:r>
      <w:r>
        <w:rPr>
          <w:rFonts w:hint="eastAsia" w:ascii="Times New Roman" w:hAnsi="Times New Roman" w:cs="Times New Roman"/>
          <w:b/>
          <w:bCs/>
          <w:color w:val="auto"/>
          <w:sz w:val="28"/>
          <w:szCs w:val="28"/>
          <w:lang w:val="en-US" w:eastAsia="zh-CN"/>
        </w:rPr>
        <w:t>.</w:t>
      </w:r>
      <w:r>
        <w:rPr>
          <w:rFonts w:hint="eastAsia" w:cs="Times New Roman"/>
          <w:b/>
          <w:bCs/>
          <w:color w:val="auto"/>
          <w:sz w:val="28"/>
          <w:szCs w:val="28"/>
          <w:lang w:val="en-US" w:eastAsia="zh-CN"/>
        </w:rPr>
        <w:t>3</w:t>
      </w:r>
      <w:r>
        <w:rPr>
          <w:rFonts w:hint="eastAsia" w:ascii="Times New Roman" w:hAnsi="Times New Roman" w:cs="Times New Roman"/>
          <w:b/>
          <w:bCs/>
          <w:color w:val="auto"/>
          <w:sz w:val="28"/>
          <w:szCs w:val="28"/>
          <w:lang w:val="en-US" w:eastAsia="zh-CN"/>
        </w:rPr>
        <w:t>.</w:t>
      </w:r>
      <w:r>
        <w:rPr>
          <w:rFonts w:hint="eastAsia" w:ascii="Times New Roman" w:hAnsi="Times New Roman" w:cs="Times New Roman"/>
          <w:b/>
          <w:bCs/>
          <w:color w:val="auto"/>
          <w:sz w:val="28"/>
          <w:szCs w:val="28"/>
          <w:highlight w:val="none"/>
          <w:lang w:val="en-US" w:eastAsia="zh-CN"/>
        </w:rPr>
        <w:t>4污染物排放量核算</w:t>
      </w:r>
      <w:bookmarkEnd w:id="77"/>
      <w:bookmarkEnd w:id="78"/>
    </w:p>
    <w:p w14:paraId="55F9A0D0">
      <w:pPr>
        <w:keepNext w:val="0"/>
        <w:keepLines w:val="0"/>
        <w:pageBreakBefore w:val="0"/>
        <w:widowControl w:val="0"/>
        <w:kinsoku/>
        <w:wordWrap/>
        <w:overflowPunct w:val="0"/>
        <w:topLinePunct w:val="0"/>
        <w:autoSpaceDE w:val="0"/>
        <w:autoSpaceDN w:val="0"/>
        <w:bidi w:val="0"/>
        <w:spacing w:before="0" w:after="0" w:line="360" w:lineRule="auto"/>
        <w:ind w:left="0" w:right="0" w:firstLine="480" w:firstLineChars="200"/>
        <w:jc w:val="left"/>
        <w:rPr>
          <w:rFonts w:hint="eastAsia" w:cs="宋体"/>
          <w:kern w:val="0"/>
          <w:sz w:val="24"/>
          <w:u w:val="none"/>
          <w:lang w:val="en-US" w:eastAsia="zh-CN" w:bidi="zh-CN"/>
        </w:rPr>
      </w:pPr>
      <w:r>
        <w:rPr>
          <w:rFonts w:hint="eastAsia" w:cs="宋体"/>
          <w:kern w:val="0"/>
          <w:sz w:val="24"/>
          <w:u w:val="none"/>
          <w:lang w:val="en-US" w:eastAsia="zh-CN" w:bidi="zh-CN"/>
        </w:rPr>
        <w:t>本项目扩建后污染物总排放量如下表所示</w:t>
      </w:r>
    </w:p>
    <w:p w14:paraId="771AF466">
      <w:pPr>
        <w:keepNext w:val="0"/>
        <w:keepLines w:val="0"/>
        <w:pageBreakBefore w:val="0"/>
        <w:widowControl w:val="0"/>
        <w:kinsoku/>
        <w:wordWrap/>
        <w:overflowPunct w:val="0"/>
        <w:topLinePunct w:val="0"/>
        <w:autoSpaceDE w:val="0"/>
        <w:autoSpaceDN w:val="0"/>
        <w:bidi w:val="0"/>
        <w:spacing w:before="0" w:after="0" w:line="240" w:lineRule="auto"/>
        <w:ind w:left="0" w:right="0" w:firstLine="0" w:firstLineChars="0"/>
        <w:jc w:val="center"/>
        <w:rPr>
          <w:rFonts w:hint="default" w:ascii="Times New Roman" w:hAnsi="Times New Roman" w:eastAsia="宋体" w:cs="宋体"/>
          <w:b/>
          <w:bCs/>
          <w:color w:val="auto"/>
          <w:kern w:val="2"/>
          <w:sz w:val="21"/>
          <w:szCs w:val="21"/>
          <w:u w:val="none"/>
          <w:lang w:val="en-US" w:eastAsia="zh-CN" w:bidi="zh-CN"/>
        </w:rPr>
      </w:pPr>
      <w:r>
        <w:rPr>
          <w:rFonts w:ascii="Times New Roman" w:hAnsi="Times New Roman" w:eastAsia="宋体" w:cs="宋体"/>
          <w:b/>
          <w:bCs/>
          <w:color w:val="auto"/>
          <w:kern w:val="2"/>
          <w:sz w:val="21"/>
          <w:szCs w:val="21"/>
          <w:u w:val="none"/>
          <w:lang w:val="zh-CN" w:eastAsia="zh-CN" w:bidi="zh-CN"/>
        </w:rPr>
        <w:t>表</w:t>
      </w:r>
      <w:r>
        <w:rPr>
          <w:rFonts w:hint="eastAsia" w:cs="宋体"/>
          <w:b/>
          <w:bCs/>
          <w:color w:val="auto"/>
          <w:kern w:val="2"/>
          <w:sz w:val="21"/>
          <w:szCs w:val="21"/>
          <w:u w:val="none"/>
          <w:lang w:val="en-US" w:eastAsia="zh-CN" w:bidi="zh-CN"/>
        </w:rPr>
        <w:t>3.3</w:t>
      </w:r>
      <w:r>
        <w:rPr>
          <w:rFonts w:hint="eastAsia" w:ascii="Times New Roman" w:hAnsi="Times New Roman" w:eastAsia="宋体" w:cs="宋体"/>
          <w:b/>
          <w:bCs/>
          <w:color w:val="auto"/>
          <w:kern w:val="2"/>
          <w:sz w:val="21"/>
          <w:szCs w:val="21"/>
          <w:u w:val="none"/>
          <w:lang w:val="en-US" w:eastAsia="zh-CN" w:bidi="zh-CN"/>
        </w:rPr>
        <w:t>-</w:t>
      </w:r>
      <w:r>
        <w:rPr>
          <w:rFonts w:hint="eastAsia" w:cs="宋体"/>
          <w:b/>
          <w:bCs/>
          <w:color w:val="auto"/>
          <w:kern w:val="2"/>
          <w:sz w:val="21"/>
          <w:szCs w:val="21"/>
          <w:u w:val="none"/>
          <w:lang w:val="en-US" w:eastAsia="zh-CN" w:bidi="zh-CN"/>
        </w:rPr>
        <w:t>8</w:t>
      </w:r>
      <w:r>
        <w:rPr>
          <w:rFonts w:hint="eastAsia" w:ascii="Times New Roman" w:hAnsi="Times New Roman" w:eastAsia="宋体" w:cs="宋体"/>
          <w:b/>
          <w:bCs/>
          <w:color w:val="auto"/>
          <w:kern w:val="2"/>
          <w:sz w:val="21"/>
          <w:szCs w:val="21"/>
          <w:u w:val="none"/>
          <w:lang w:val="en-US" w:eastAsia="zh-CN" w:bidi="zh-CN"/>
        </w:rPr>
        <w:t xml:space="preserve">  废水类别 污染物及污染治理涉水信息表</w:t>
      </w:r>
    </w:p>
    <w:tbl>
      <w:tblPr>
        <w:tblStyle w:val="33"/>
        <w:tblW w:w="954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01"/>
        <w:gridCol w:w="502"/>
        <w:gridCol w:w="981"/>
        <w:gridCol w:w="415"/>
        <w:gridCol w:w="949"/>
        <w:gridCol w:w="873"/>
        <w:gridCol w:w="927"/>
        <w:gridCol w:w="1451"/>
        <w:gridCol w:w="709"/>
        <w:gridCol w:w="677"/>
        <w:gridCol w:w="1657"/>
      </w:tblGrid>
      <w:tr w14:paraId="620E9D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01" w:type="dxa"/>
            <w:vMerge w:val="restart"/>
            <w:tcBorders>
              <w:tl2br w:val="nil"/>
              <w:tr2bl w:val="nil"/>
            </w:tcBorders>
            <w:vAlign w:val="center"/>
          </w:tcPr>
          <w:p w14:paraId="673F35CE">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none"/>
                <w:lang w:val="en-US" w:eastAsia="zh-CN" w:bidi="zh-CN"/>
              </w:rPr>
            </w:pPr>
            <w:r>
              <w:rPr>
                <w:rFonts w:hint="eastAsia" w:cs="宋体"/>
                <w:color w:val="000000"/>
                <w:kern w:val="0"/>
                <w:sz w:val="21"/>
                <w:szCs w:val="20"/>
                <w:u w:val="none"/>
                <w:lang w:val="en-US" w:eastAsia="zh-CN" w:bidi="zh-CN"/>
              </w:rPr>
              <w:t>序号</w:t>
            </w:r>
          </w:p>
        </w:tc>
        <w:tc>
          <w:tcPr>
            <w:tcW w:w="502" w:type="dxa"/>
            <w:vMerge w:val="restart"/>
            <w:tcBorders>
              <w:tl2br w:val="nil"/>
              <w:tr2bl w:val="nil"/>
            </w:tcBorders>
            <w:vAlign w:val="center"/>
          </w:tcPr>
          <w:p w14:paraId="26AF09DE">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none"/>
                <w:lang w:val="en-US" w:eastAsia="zh-CN" w:bidi="zh-CN"/>
              </w:rPr>
            </w:pPr>
            <w:r>
              <w:rPr>
                <w:rFonts w:hint="eastAsia" w:cs="宋体"/>
                <w:color w:val="000000"/>
                <w:kern w:val="0"/>
                <w:sz w:val="21"/>
                <w:szCs w:val="20"/>
                <w:u w:val="none"/>
                <w:lang w:val="en-US" w:eastAsia="zh-CN" w:bidi="zh-CN"/>
              </w:rPr>
              <w:t>废水类别</w:t>
            </w:r>
          </w:p>
        </w:tc>
        <w:tc>
          <w:tcPr>
            <w:tcW w:w="981" w:type="dxa"/>
            <w:vMerge w:val="restart"/>
            <w:tcBorders>
              <w:tl2br w:val="nil"/>
              <w:tr2bl w:val="nil"/>
            </w:tcBorders>
            <w:vAlign w:val="center"/>
          </w:tcPr>
          <w:p w14:paraId="266545FE">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none"/>
                <w:lang w:val="en-US" w:eastAsia="zh-CN" w:bidi="zh-CN"/>
              </w:rPr>
            </w:pPr>
            <w:r>
              <w:rPr>
                <w:rFonts w:hint="eastAsia" w:cs="宋体"/>
                <w:color w:val="000000"/>
                <w:kern w:val="0"/>
                <w:sz w:val="21"/>
                <w:szCs w:val="20"/>
                <w:u w:val="none"/>
                <w:lang w:val="en-US" w:eastAsia="zh-CN" w:bidi="zh-CN"/>
              </w:rPr>
              <w:t>污染物种类</w:t>
            </w:r>
          </w:p>
        </w:tc>
        <w:tc>
          <w:tcPr>
            <w:tcW w:w="415" w:type="dxa"/>
            <w:vMerge w:val="restart"/>
            <w:tcBorders>
              <w:tl2br w:val="nil"/>
              <w:tr2bl w:val="nil"/>
            </w:tcBorders>
            <w:vAlign w:val="center"/>
          </w:tcPr>
          <w:p w14:paraId="5B6F14EC">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none"/>
                <w:lang w:val="en-US" w:eastAsia="zh-CN" w:bidi="zh-CN"/>
              </w:rPr>
            </w:pPr>
            <w:r>
              <w:rPr>
                <w:rFonts w:hint="eastAsia" w:cs="宋体"/>
                <w:color w:val="000000"/>
                <w:kern w:val="0"/>
                <w:sz w:val="21"/>
                <w:szCs w:val="20"/>
                <w:u w:val="none"/>
                <w:lang w:val="en-US" w:eastAsia="zh-CN" w:bidi="zh-CN"/>
              </w:rPr>
              <w:t>排放去向</w:t>
            </w:r>
          </w:p>
        </w:tc>
        <w:tc>
          <w:tcPr>
            <w:tcW w:w="949" w:type="dxa"/>
            <w:vMerge w:val="restart"/>
            <w:tcBorders>
              <w:tl2br w:val="nil"/>
              <w:tr2bl w:val="nil"/>
            </w:tcBorders>
            <w:vAlign w:val="center"/>
          </w:tcPr>
          <w:p w14:paraId="14D1391B">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none"/>
                <w:lang w:val="en-US" w:eastAsia="zh-CN" w:bidi="zh-CN"/>
              </w:rPr>
            </w:pPr>
            <w:r>
              <w:rPr>
                <w:rFonts w:hint="eastAsia" w:cs="宋体"/>
                <w:color w:val="000000"/>
                <w:kern w:val="0"/>
                <w:sz w:val="21"/>
                <w:szCs w:val="20"/>
                <w:u w:val="none"/>
                <w:lang w:val="en-US" w:eastAsia="zh-CN" w:bidi="zh-CN"/>
              </w:rPr>
              <w:t>排放规律</w:t>
            </w:r>
          </w:p>
        </w:tc>
        <w:tc>
          <w:tcPr>
            <w:tcW w:w="3251" w:type="dxa"/>
            <w:gridSpan w:val="3"/>
            <w:tcBorders>
              <w:tl2br w:val="nil"/>
              <w:tr2bl w:val="nil"/>
            </w:tcBorders>
            <w:vAlign w:val="center"/>
          </w:tcPr>
          <w:p w14:paraId="6173DA63">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none"/>
                <w:lang w:val="en-US" w:eastAsia="zh-CN" w:bidi="zh-CN"/>
              </w:rPr>
            </w:pPr>
            <w:r>
              <w:rPr>
                <w:rFonts w:hint="eastAsia" w:cs="宋体"/>
                <w:color w:val="000000"/>
                <w:kern w:val="0"/>
                <w:sz w:val="21"/>
                <w:szCs w:val="20"/>
                <w:u w:val="none"/>
                <w:lang w:val="en-US" w:eastAsia="zh-CN" w:bidi="zh-CN"/>
              </w:rPr>
              <w:t>污染防治设施</w:t>
            </w:r>
          </w:p>
        </w:tc>
        <w:tc>
          <w:tcPr>
            <w:tcW w:w="709" w:type="dxa"/>
            <w:vMerge w:val="restart"/>
            <w:tcBorders>
              <w:tl2br w:val="nil"/>
              <w:tr2bl w:val="nil"/>
            </w:tcBorders>
            <w:vAlign w:val="center"/>
          </w:tcPr>
          <w:p w14:paraId="05954852">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none"/>
                <w:lang w:val="en-US" w:eastAsia="zh-CN" w:bidi="zh-CN"/>
              </w:rPr>
            </w:pPr>
            <w:r>
              <w:rPr>
                <w:rFonts w:hint="eastAsia" w:cs="宋体"/>
                <w:color w:val="000000"/>
                <w:kern w:val="0"/>
                <w:sz w:val="21"/>
                <w:szCs w:val="20"/>
                <w:u w:val="none"/>
                <w:lang w:val="en-US" w:eastAsia="zh-CN" w:bidi="zh-CN"/>
              </w:rPr>
              <w:t>排放口编号</w:t>
            </w:r>
          </w:p>
        </w:tc>
        <w:tc>
          <w:tcPr>
            <w:tcW w:w="677" w:type="dxa"/>
            <w:vMerge w:val="restart"/>
            <w:tcBorders>
              <w:tl2br w:val="nil"/>
              <w:tr2bl w:val="nil"/>
            </w:tcBorders>
            <w:vAlign w:val="center"/>
          </w:tcPr>
          <w:p w14:paraId="0EBBD401">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none"/>
                <w:lang w:val="en-US" w:eastAsia="zh-CN" w:bidi="zh-CN"/>
              </w:rPr>
            </w:pPr>
            <w:r>
              <w:rPr>
                <w:rFonts w:hint="eastAsia" w:cs="宋体"/>
                <w:color w:val="000000"/>
                <w:kern w:val="0"/>
                <w:sz w:val="21"/>
                <w:szCs w:val="20"/>
                <w:u w:val="none"/>
                <w:lang w:val="en-US" w:eastAsia="zh-CN" w:bidi="zh-CN"/>
              </w:rPr>
              <w:t>排放口设置是否符合要求</w:t>
            </w:r>
          </w:p>
        </w:tc>
        <w:tc>
          <w:tcPr>
            <w:tcW w:w="1657" w:type="dxa"/>
            <w:vMerge w:val="restart"/>
            <w:tcBorders>
              <w:tl2br w:val="nil"/>
              <w:tr2bl w:val="nil"/>
            </w:tcBorders>
            <w:vAlign w:val="center"/>
          </w:tcPr>
          <w:p w14:paraId="6CED8527">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none"/>
                <w:lang w:val="en-US" w:eastAsia="zh-CN" w:bidi="zh-CN"/>
              </w:rPr>
            </w:pPr>
            <w:r>
              <w:rPr>
                <w:rFonts w:hint="eastAsia" w:cs="宋体"/>
                <w:color w:val="000000"/>
                <w:kern w:val="0"/>
                <w:sz w:val="21"/>
                <w:szCs w:val="20"/>
                <w:u w:val="none"/>
                <w:lang w:val="en-US" w:eastAsia="zh-CN" w:bidi="zh-CN"/>
              </w:rPr>
              <w:t>排放口类型</w:t>
            </w:r>
          </w:p>
        </w:tc>
      </w:tr>
      <w:tr w14:paraId="614369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401" w:type="dxa"/>
            <w:vMerge w:val="continue"/>
            <w:tcBorders>
              <w:tl2br w:val="nil"/>
              <w:tr2bl w:val="nil"/>
            </w:tcBorders>
            <w:vAlign w:val="center"/>
          </w:tcPr>
          <w:p w14:paraId="4D47772E">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eastAsia" w:cs="宋体"/>
                <w:color w:val="000000"/>
                <w:kern w:val="0"/>
                <w:sz w:val="21"/>
                <w:szCs w:val="20"/>
                <w:u w:val="none"/>
                <w:lang w:val="en-US" w:eastAsia="zh-CN" w:bidi="zh-CN"/>
              </w:rPr>
            </w:pPr>
          </w:p>
        </w:tc>
        <w:tc>
          <w:tcPr>
            <w:tcW w:w="502" w:type="dxa"/>
            <w:vMerge w:val="continue"/>
            <w:tcBorders>
              <w:tl2br w:val="nil"/>
              <w:tr2bl w:val="nil"/>
            </w:tcBorders>
            <w:vAlign w:val="center"/>
          </w:tcPr>
          <w:p w14:paraId="032C0BBC">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eastAsia" w:cs="宋体"/>
                <w:color w:val="000000"/>
                <w:kern w:val="0"/>
                <w:sz w:val="21"/>
                <w:szCs w:val="20"/>
                <w:u w:val="none"/>
                <w:lang w:val="en-US" w:eastAsia="zh-CN" w:bidi="zh-CN"/>
              </w:rPr>
            </w:pPr>
          </w:p>
        </w:tc>
        <w:tc>
          <w:tcPr>
            <w:tcW w:w="981" w:type="dxa"/>
            <w:vMerge w:val="continue"/>
            <w:tcBorders>
              <w:tl2br w:val="nil"/>
              <w:tr2bl w:val="nil"/>
            </w:tcBorders>
            <w:vAlign w:val="center"/>
          </w:tcPr>
          <w:p w14:paraId="2A8F87D5">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eastAsia" w:cs="宋体"/>
                <w:color w:val="000000"/>
                <w:kern w:val="0"/>
                <w:sz w:val="21"/>
                <w:szCs w:val="20"/>
                <w:u w:val="none"/>
                <w:lang w:val="en-US" w:eastAsia="zh-CN" w:bidi="zh-CN"/>
              </w:rPr>
            </w:pPr>
          </w:p>
        </w:tc>
        <w:tc>
          <w:tcPr>
            <w:tcW w:w="415" w:type="dxa"/>
            <w:vMerge w:val="continue"/>
            <w:tcBorders>
              <w:tl2br w:val="nil"/>
              <w:tr2bl w:val="nil"/>
            </w:tcBorders>
            <w:vAlign w:val="center"/>
          </w:tcPr>
          <w:p w14:paraId="7A81FA77">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eastAsia" w:cs="宋体"/>
                <w:color w:val="000000"/>
                <w:kern w:val="0"/>
                <w:sz w:val="21"/>
                <w:szCs w:val="20"/>
                <w:u w:val="none"/>
                <w:lang w:val="en-US" w:eastAsia="zh-CN" w:bidi="zh-CN"/>
              </w:rPr>
            </w:pPr>
          </w:p>
        </w:tc>
        <w:tc>
          <w:tcPr>
            <w:tcW w:w="949" w:type="dxa"/>
            <w:vMerge w:val="continue"/>
            <w:tcBorders>
              <w:tl2br w:val="nil"/>
              <w:tr2bl w:val="nil"/>
            </w:tcBorders>
            <w:vAlign w:val="center"/>
          </w:tcPr>
          <w:p w14:paraId="27B3209D">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eastAsia" w:cs="宋体"/>
                <w:color w:val="000000"/>
                <w:kern w:val="0"/>
                <w:sz w:val="21"/>
                <w:szCs w:val="20"/>
                <w:u w:val="none"/>
                <w:lang w:val="en-US" w:eastAsia="zh-CN" w:bidi="zh-CN"/>
              </w:rPr>
            </w:pPr>
          </w:p>
        </w:tc>
        <w:tc>
          <w:tcPr>
            <w:tcW w:w="873" w:type="dxa"/>
            <w:tcBorders>
              <w:tl2br w:val="nil"/>
              <w:tr2bl w:val="nil"/>
            </w:tcBorders>
            <w:vAlign w:val="center"/>
          </w:tcPr>
          <w:p w14:paraId="2D3247E0">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none"/>
                <w:lang w:val="en-US" w:eastAsia="zh-CN" w:bidi="zh-CN"/>
              </w:rPr>
            </w:pPr>
            <w:r>
              <w:rPr>
                <w:rFonts w:hint="eastAsia" w:cs="宋体"/>
                <w:color w:val="000000"/>
                <w:kern w:val="0"/>
                <w:sz w:val="21"/>
                <w:szCs w:val="20"/>
                <w:u w:val="none"/>
                <w:lang w:val="en-US" w:eastAsia="zh-CN" w:bidi="zh-CN"/>
              </w:rPr>
              <w:t>污染治理设施编号</w:t>
            </w:r>
          </w:p>
        </w:tc>
        <w:tc>
          <w:tcPr>
            <w:tcW w:w="927" w:type="dxa"/>
            <w:tcBorders>
              <w:tl2br w:val="nil"/>
              <w:tr2bl w:val="nil"/>
            </w:tcBorders>
            <w:vAlign w:val="center"/>
          </w:tcPr>
          <w:p w14:paraId="4591A58E">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none"/>
                <w:lang w:val="en-US" w:eastAsia="zh-CN" w:bidi="zh-CN"/>
              </w:rPr>
            </w:pPr>
            <w:r>
              <w:rPr>
                <w:rFonts w:hint="eastAsia" w:cs="宋体"/>
                <w:color w:val="000000"/>
                <w:kern w:val="0"/>
                <w:sz w:val="21"/>
                <w:szCs w:val="20"/>
                <w:u w:val="none"/>
                <w:lang w:val="en-US" w:eastAsia="zh-CN" w:bidi="zh-CN"/>
              </w:rPr>
              <w:t>污染治理设施名称</w:t>
            </w:r>
          </w:p>
        </w:tc>
        <w:tc>
          <w:tcPr>
            <w:tcW w:w="1451" w:type="dxa"/>
            <w:tcBorders>
              <w:tl2br w:val="nil"/>
              <w:tr2bl w:val="nil"/>
            </w:tcBorders>
            <w:vAlign w:val="center"/>
          </w:tcPr>
          <w:p w14:paraId="72026839">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none"/>
                <w:lang w:val="en-US" w:eastAsia="zh-CN" w:bidi="zh-CN"/>
              </w:rPr>
            </w:pPr>
            <w:r>
              <w:rPr>
                <w:rFonts w:hint="eastAsia" w:cs="宋体"/>
                <w:color w:val="000000"/>
                <w:kern w:val="0"/>
                <w:sz w:val="21"/>
                <w:szCs w:val="20"/>
                <w:u w:val="none"/>
                <w:lang w:val="en-US" w:eastAsia="zh-CN" w:bidi="zh-CN"/>
              </w:rPr>
              <w:t>污染治理设施工艺</w:t>
            </w:r>
          </w:p>
        </w:tc>
        <w:tc>
          <w:tcPr>
            <w:tcW w:w="709" w:type="dxa"/>
            <w:vMerge w:val="continue"/>
            <w:tcBorders>
              <w:tl2br w:val="nil"/>
              <w:tr2bl w:val="nil"/>
            </w:tcBorders>
            <w:vAlign w:val="center"/>
          </w:tcPr>
          <w:p w14:paraId="1C1B0E0C">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eastAsia" w:cs="宋体"/>
                <w:color w:val="000000"/>
                <w:kern w:val="0"/>
                <w:sz w:val="21"/>
                <w:szCs w:val="20"/>
                <w:u w:val="none"/>
                <w:lang w:val="en-US" w:eastAsia="zh-CN" w:bidi="zh-CN"/>
              </w:rPr>
            </w:pPr>
          </w:p>
        </w:tc>
        <w:tc>
          <w:tcPr>
            <w:tcW w:w="677" w:type="dxa"/>
            <w:vMerge w:val="continue"/>
            <w:tcBorders>
              <w:tl2br w:val="nil"/>
              <w:tr2bl w:val="nil"/>
            </w:tcBorders>
            <w:vAlign w:val="center"/>
          </w:tcPr>
          <w:p w14:paraId="1C8232F6">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eastAsia" w:cs="宋体"/>
                <w:color w:val="000000"/>
                <w:kern w:val="0"/>
                <w:sz w:val="21"/>
                <w:szCs w:val="20"/>
                <w:u w:val="none"/>
                <w:lang w:val="en-US" w:eastAsia="zh-CN" w:bidi="zh-CN"/>
              </w:rPr>
            </w:pPr>
          </w:p>
        </w:tc>
        <w:tc>
          <w:tcPr>
            <w:tcW w:w="1657" w:type="dxa"/>
            <w:vMerge w:val="continue"/>
            <w:tcBorders>
              <w:tl2br w:val="nil"/>
              <w:tr2bl w:val="nil"/>
            </w:tcBorders>
            <w:vAlign w:val="center"/>
          </w:tcPr>
          <w:p w14:paraId="1D0A06D2">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eastAsia" w:cs="宋体"/>
                <w:color w:val="000000"/>
                <w:kern w:val="0"/>
                <w:sz w:val="21"/>
                <w:szCs w:val="20"/>
                <w:u w:val="none"/>
                <w:lang w:val="en-US" w:eastAsia="zh-CN" w:bidi="zh-CN"/>
              </w:rPr>
            </w:pPr>
          </w:p>
        </w:tc>
      </w:tr>
      <w:tr w14:paraId="2A3AA7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401" w:type="dxa"/>
            <w:tcBorders>
              <w:tl2br w:val="nil"/>
              <w:tr2bl w:val="nil"/>
            </w:tcBorders>
            <w:vAlign w:val="center"/>
          </w:tcPr>
          <w:p w14:paraId="29D1CC0A">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none"/>
                <w:lang w:val="en-US" w:eastAsia="zh-CN" w:bidi="zh-CN"/>
              </w:rPr>
            </w:pPr>
            <w:r>
              <w:rPr>
                <w:rFonts w:hint="eastAsia" w:cs="宋体"/>
                <w:color w:val="000000"/>
                <w:kern w:val="0"/>
                <w:sz w:val="21"/>
                <w:szCs w:val="20"/>
                <w:u w:val="none"/>
                <w:lang w:val="en-US" w:eastAsia="zh-CN" w:bidi="zh-CN"/>
              </w:rPr>
              <w:t>1</w:t>
            </w:r>
          </w:p>
        </w:tc>
        <w:tc>
          <w:tcPr>
            <w:tcW w:w="502" w:type="dxa"/>
            <w:tcBorders>
              <w:tl2br w:val="nil"/>
              <w:tr2bl w:val="nil"/>
            </w:tcBorders>
            <w:vAlign w:val="center"/>
          </w:tcPr>
          <w:p w14:paraId="385641AB">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none"/>
                <w:lang w:val="en-US" w:eastAsia="zh-CN" w:bidi="zh-CN"/>
              </w:rPr>
            </w:pPr>
            <w:r>
              <w:rPr>
                <w:rFonts w:hint="eastAsia" w:cs="宋体"/>
                <w:color w:val="000000"/>
                <w:kern w:val="0"/>
                <w:sz w:val="21"/>
                <w:szCs w:val="20"/>
                <w:u w:val="none"/>
                <w:lang w:val="en-US" w:eastAsia="zh-CN" w:bidi="zh-CN"/>
              </w:rPr>
              <w:t>综合废水</w:t>
            </w:r>
          </w:p>
        </w:tc>
        <w:tc>
          <w:tcPr>
            <w:tcW w:w="981" w:type="dxa"/>
            <w:tcBorders>
              <w:tl2br w:val="nil"/>
              <w:tr2bl w:val="nil"/>
            </w:tcBorders>
            <w:vAlign w:val="center"/>
          </w:tcPr>
          <w:p w14:paraId="4469A68C">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en-US" w:eastAsia="zh-CN" w:bidi="zh-CN"/>
              </w:rPr>
              <w:t>COD BOD</w:t>
            </w:r>
            <w:r>
              <w:rPr>
                <w:rFonts w:hint="eastAsia" w:cs="宋体"/>
                <w:color w:val="000000"/>
                <w:kern w:val="0"/>
                <w:sz w:val="21"/>
                <w:szCs w:val="21"/>
                <w:u w:val="none"/>
                <w:vertAlign w:val="subscript"/>
                <w:lang w:val="en-US" w:eastAsia="zh-CN" w:bidi="zh-CN"/>
              </w:rPr>
              <w:t>5</w:t>
            </w:r>
            <w:r>
              <w:rPr>
                <w:rFonts w:hint="eastAsia" w:cs="宋体"/>
                <w:color w:val="000000"/>
                <w:kern w:val="0"/>
                <w:sz w:val="21"/>
                <w:szCs w:val="21"/>
                <w:u w:val="none"/>
                <w:lang w:val="en-US" w:eastAsia="zh-CN" w:bidi="zh-CN"/>
              </w:rPr>
              <w:t xml:space="preserve"> SS 氨氮 总氮 总磷</w:t>
            </w:r>
          </w:p>
        </w:tc>
        <w:tc>
          <w:tcPr>
            <w:tcW w:w="415" w:type="dxa"/>
            <w:tcBorders>
              <w:tl2br w:val="nil"/>
              <w:tr2bl w:val="nil"/>
            </w:tcBorders>
            <w:vAlign w:val="center"/>
          </w:tcPr>
          <w:p w14:paraId="45B2D1DB">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zh-CN" w:eastAsia="zh-CN" w:bidi="zh-CN"/>
              </w:rPr>
              <w:t xml:space="preserve"> 果利河</w:t>
            </w:r>
          </w:p>
        </w:tc>
        <w:tc>
          <w:tcPr>
            <w:tcW w:w="949" w:type="dxa"/>
            <w:tcBorders>
              <w:tl2br w:val="nil"/>
              <w:tr2bl w:val="nil"/>
            </w:tcBorders>
            <w:vAlign w:val="center"/>
          </w:tcPr>
          <w:p w14:paraId="100EC9D5">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en-US" w:eastAsia="zh-CN" w:bidi="zh-CN"/>
              </w:rPr>
              <w:t>连续排放，流量不稳定但有规律</w:t>
            </w:r>
          </w:p>
        </w:tc>
        <w:tc>
          <w:tcPr>
            <w:tcW w:w="873" w:type="dxa"/>
            <w:tcBorders>
              <w:tl2br w:val="nil"/>
              <w:tr2bl w:val="nil"/>
            </w:tcBorders>
            <w:vAlign w:val="center"/>
          </w:tcPr>
          <w:p w14:paraId="6B5ED8FA">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none"/>
                <w:lang w:val="en-US" w:eastAsia="zh-CN" w:bidi="zh-CN"/>
              </w:rPr>
            </w:pPr>
            <w:r>
              <w:rPr>
                <w:rFonts w:hint="eastAsia" w:cs="宋体"/>
                <w:color w:val="000000"/>
                <w:kern w:val="0"/>
                <w:sz w:val="21"/>
                <w:szCs w:val="20"/>
                <w:u w:val="none"/>
                <w:lang w:val="en-US" w:eastAsia="zh-CN" w:bidi="zh-CN"/>
              </w:rPr>
              <w:t>/</w:t>
            </w:r>
          </w:p>
        </w:tc>
        <w:tc>
          <w:tcPr>
            <w:tcW w:w="927" w:type="dxa"/>
            <w:tcBorders>
              <w:tl2br w:val="nil"/>
              <w:tr2bl w:val="nil"/>
            </w:tcBorders>
            <w:vAlign w:val="center"/>
          </w:tcPr>
          <w:p w14:paraId="4781FDCF">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none"/>
                <w:lang w:val="en-US" w:eastAsia="zh-CN" w:bidi="zh-CN"/>
              </w:rPr>
            </w:pPr>
            <w:r>
              <w:rPr>
                <w:rFonts w:hint="eastAsia" w:cs="宋体"/>
                <w:color w:val="000000"/>
                <w:kern w:val="0"/>
                <w:sz w:val="21"/>
                <w:szCs w:val="20"/>
                <w:u w:val="none"/>
                <w:lang w:val="en-US" w:eastAsia="zh-CN" w:bidi="zh-CN"/>
              </w:rPr>
              <w:t>污水处理设施</w:t>
            </w:r>
          </w:p>
        </w:tc>
        <w:tc>
          <w:tcPr>
            <w:tcW w:w="1451" w:type="dxa"/>
            <w:tcBorders>
              <w:tl2br w:val="nil"/>
              <w:tr2bl w:val="nil"/>
            </w:tcBorders>
            <w:vAlign w:val="center"/>
          </w:tcPr>
          <w:p w14:paraId="45AFDEEE">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none"/>
                <w:lang w:val="en-US" w:eastAsia="zh-CN" w:bidi="zh-CN"/>
              </w:rPr>
            </w:pPr>
            <w:r>
              <w:rPr>
                <w:rFonts w:hint="eastAsia" w:cs="宋体"/>
                <w:color w:val="000000"/>
                <w:kern w:val="0"/>
                <w:sz w:val="21"/>
                <w:szCs w:val="20"/>
                <w:u w:val="none"/>
                <w:lang w:val="en-US" w:eastAsia="zh-CN" w:bidi="zh-CN"/>
              </w:rPr>
              <w:t>厂外污水提升+厂内预处理+AAO生化处理+二沉池+高效沉淀池+滤布滤池+紫外消毒</w:t>
            </w:r>
          </w:p>
        </w:tc>
        <w:tc>
          <w:tcPr>
            <w:tcW w:w="709" w:type="dxa"/>
            <w:tcBorders>
              <w:tl2br w:val="nil"/>
              <w:tr2bl w:val="nil"/>
            </w:tcBorders>
            <w:vAlign w:val="center"/>
          </w:tcPr>
          <w:p w14:paraId="694F6F41">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none"/>
                <w:lang w:val="en-US" w:eastAsia="zh-CN" w:bidi="zh-CN"/>
              </w:rPr>
            </w:pPr>
            <w:r>
              <w:rPr>
                <w:rFonts w:hint="eastAsia" w:cs="宋体"/>
                <w:color w:val="000000"/>
                <w:kern w:val="0"/>
                <w:sz w:val="21"/>
                <w:szCs w:val="20"/>
                <w:u w:val="none"/>
                <w:lang w:val="en-US" w:eastAsia="zh-CN" w:bidi="zh-CN"/>
              </w:rPr>
              <w:t>DW001</w:t>
            </w:r>
          </w:p>
        </w:tc>
        <w:tc>
          <w:tcPr>
            <w:tcW w:w="677" w:type="dxa"/>
            <w:tcBorders>
              <w:tl2br w:val="nil"/>
              <w:tr2bl w:val="nil"/>
            </w:tcBorders>
            <w:vAlign w:val="center"/>
          </w:tcPr>
          <w:p w14:paraId="43994424">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eastAsia" w:cs="宋体"/>
                <w:color w:val="000000"/>
                <w:kern w:val="0"/>
                <w:sz w:val="21"/>
                <w:szCs w:val="20"/>
                <w:u w:val="none"/>
                <w:lang w:val="en-US" w:eastAsia="zh-CN" w:bidi="zh-CN"/>
              </w:rPr>
            </w:pPr>
            <w:r>
              <w:rPr>
                <w:rFonts w:hint="eastAsia" w:cs="宋体"/>
                <w:color w:val="000000"/>
                <w:kern w:val="0"/>
                <w:sz w:val="21"/>
                <w:szCs w:val="20"/>
                <w:u w:val="none"/>
                <w:lang w:val="en-US" w:eastAsia="zh-CN" w:bidi="zh-CN"/>
              </w:rPr>
              <w:sym w:font="Wingdings 2" w:char="0052"/>
            </w:r>
            <w:r>
              <w:rPr>
                <w:rFonts w:hint="eastAsia" w:cs="宋体"/>
                <w:color w:val="000000"/>
                <w:kern w:val="0"/>
                <w:sz w:val="21"/>
                <w:szCs w:val="20"/>
                <w:u w:val="none"/>
                <w:lang w:val="en-US" w:eastAsia="zh-CN" w:bidi="zh-CN"/>
              </w:rPr>
              <w:t>是</w:t>
            </w:r>
          </w:p>
          <w:p w14:paraId="5F7D1C76">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none"/>
                <w:lang w:val="en-US" w:eastAsia="zh-CN" w:bidi="zh-CN"/>
              </w:rPr>
            </w:pPr>
            <w:r>
              <w:rPr>
                <w:rFonts w:hint="eastAsia" w:cs="宋体"/>
                <w:color w:val="000000"/>
                <w:kern w:val="0"/>
                <w:sz w:val="21"/>
                <w:szCs w:val="20"/>
                <w:u w:val="none"/>
                <w:lang w:val="en-US" w:eastAsia="zh-CN" w:bidi="zh-CN"/>
              </w:rPr>
              <w:sym w:font="Wingdings 2" w:char="00A3"/>
            </w:r>
            <w:r>
              <w:rPr>
                <w:rFonts w:hint="eastAsia" w:cs="宋体"/>
                <w:color w:val="000000"/>
                <w:kern w:val="0"/>
                <w:sz w:val="21"/>
                <w:szCs w:val="20"/>
                <w:u w:val="none"/>
                <w:lang w:val="en-US" w:eastAsia="zh-CN" w:bidi="zh-CN"/>
              </w:rPr>
              <w:t>否</w:t>
            </w:r>
          </w:p>
        </w:tc>
        <w:tc>
          <w:tcPr>
            <w:tcW w:w="1657" w:type="dxa"/>
            <w:tcBorders>
              <w:tl2br w:val="nil"/>
              <w:tr2bl w:val="nil"/>
            </w:tcBorders>
            <w:vAlign w:val="center"/>
          </w:tcPr>
          <w:p w14:paraId="5E62E782">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eastAsia" w:cs="宋体"/>
                <w:color w:val="000000"/>
                <w:kern w:val="0"/>
                <w:sz w:val="21"/>
                <w:szCs w:val="20"/>
                <w:u w:val="none"/>
                <w:lang w:val="en-US" w:eastAsia="zh-CN" w:bidi="zh-CN"/>
              </w:rPr>
            </w:pPr>
            <w:r>
              <w:rPr>
                <w:rFonts w:hint="eastAsia" w:cs="宋体"/>
                <w:color w:val="000000"/>
                <w:kern w:val="0"/>
                <w:sz w:val="21"/>
                <w:szCs w:val="20"/>
                <w:u w:val="none"/>
                <w:lang w:val="en-US" w:eastAsia="zh-CN" w:bidi="zh-CN"/>
              </w:rPr>
              <w:sym w:font="Wingdings 2" w:char="0052"/>
            </w:r>
            <w:r>
              <w:rPr>
                <w:rFonts w:hint="eastAsia" w:cs="宋体"/>
                <w:color w:val="000000"/>
                <w:kern w:val="0"/>
                <w:sz w:val="21"/>
                <w:szCs w:val="20"/>
                <w:u w:val="none"/>
                <w:lang w:val="en-US" w:eastAsia="zh-CN" w:bidi="zh-CN"/>
              </w:rPr>
              <w:t>企业总排</w:t>
            </w:r>
          </w:p>
          <w:p w14:paraId="561583E5">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firstLine="0" w:firstLineChars="0"/>
              <w:jc w:val="center"/>
              <w:outlineLvl w:val="4"/>
              <w:rPr>
                <w:rFonts w:hint="eastAsia" w:cs="宋体"/>
                <w:color w:val="000000"/>
                <w:kern w:val="0"/>
                <w:sz w:val="21"/>
                <w:szCs w:val="20"/>
                <w:u w:val="none"/>
                <w:lang w:val="en-US" w:eastAsia="zh-CN" w:bidi="zh-CN"/>
              </w:rPr>
            </w:pPr>
            <w:r>
              <w:rPr>
                <w:rFonts w:hint="eastAsia" w:cs="宋体"/>
                <w:color w:val="000000"/>
                <w:kern w:val="0"/>
                <w:sz w:val="21"/>
                <w:szCs w:val="20"/>
                <w:u w:val="none"/>
                <w:lang w:val="en-US" w:eastAsia="zh-CN" w:bidi="zh-CN"/>
              </w:rPr>
              <w:sym w:font="Wingdings 2" w:char="00A3"/>
            </w:r>
            <w:r>
              <w:rPr>
                <w:rFonts w:hint="eastAsia" w:cs="宋体"/>
                <w:color w:val="000000"/>
                <w:kern w:val="0"/>
                <w:sz w:val="21"/>
                <w:szCs w:val="20"/>
                <w:u w:val="none"/>
                <w:lang w:val="en-US" w:eastAsia="zh-CN" w:bidi="zh-CN"/>
              </w:rPr>
              <w:t>雨水排放</w:t>
            </w:r>
          </w:p>
          <w:p w14:paraId="2F6D473C">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firstLine="0" w:firstLineChars="0"/>
              <w:jc w:val="center"/>
              <w:outlineLvl w:val="4"/>
              <w:rPr>
                <w:rFonts w:hint="eastAsia" w:cs="宋体"/>
                <w:color w:val="000000"/>
                <w:kern w:val="0"/>
                <w:sz w:val="21"/>
                <w:szCs w:val="20"/>
                <w:u w:val="none"/>
                <w:lang w:val="en-US" w:eastAsia="zh-CN" w:bidi="zh-CN"/>
              </w:rPr>
            </w:pPr>
            <w:r>
              <w:rPr>
                <w:rFonts w:hint="eastAsia" w:cs="宋体"/>
                <w:color w:val="000000"/>
                <w:kern w:val="0"/>
                <w:sz w:val="21"/>
                <w:szCs w:val="20"/>
                <w:u w:val="none"/>
                <w:lang w:val="en-US" w:eastAsia="zh-CN" w:bidi="zh-CN"/>
              </w:rPr>
              <w:sym w:font="Wingdings 2" w:char="00A3"/>
            </w:r>
            <w:r>
              <w:rPr>
                <w:rFonts w:hint="eastAsia" w:cs="宋体"/>
                <w:color w:val="000000"/>
                <w:kern w:val="0"/>
                <w:sz w:val="21"/>
                <w:szCs w:val="20"/>
                <w:u w:val="none"/>
                <w:lang w:val="en-US" w:eastAsia="zh-CN" w:bidi="zh-CN"/>
              </w:rPr>
              <w:t>洁净下水排放</w:t>
            </w:r>
          </w:p>
          <w:p w14:paraId="538EBFC4">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firstLine="0" w:firstLineChars="0"/>
              <w:jc w:val="center"/>
              <w:outlineLvl w:val="4"/>
              <w:rPr>
                <w:rFonts w:hint="eastAsia" w:cs="宋体"/>
                <w:color w:val="000000"/>
                <w:kern w:val="0"/>
                <w:sz w:val="21"/>
                <w:szCs w:val="20"/>
                <w:u w:val="none"/>
                <w:lang w:val="en-US" w:eastAsia="zh-CN" w:bidi="zh-CN"/>
              </w:rPr>
            </w:pPr>
            <w:r>
              <w:rPr>
                <w:rFonts w:hint="eastAsia" w:cs="宋体"/>
                <w:color w:val="000000"/>
                <w:kern w:val="0"/>
                <w:sz w:val="21"/>
                <w:szCs w:val="20"/>
                <w:u w:val="none"/>
                <w:lang w:val="en-US" w:eastAsia="zh-CN" w:bidi="zh-CN"/>
              </w:rPr>
              <w:sym w:font="Wingdings 2" w:char="00A3"/>
            </w:r>
            <w:r>
              <w:rPr>
                <w:rFonts w:hint="eastAsia" w:cs="宋体"/>
                <w:color w:val="000000"/>
                <w:kern w:val="0"/>
                <w:sz w:val="21"/>
                <w:szCs w:val="20"/>
                <w:u w:val="none"/>
                <w:lang w:val="en-US" w:eastAsia="zh-CN" w:bidi="zh-CN"/>
              </w:rPr>
              <w:t>温排水排放</w:t>
            </w:r>
          </w:p>
          <w:p w14:paraId="4084BE46">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firstLine="0" w:firstLineChars="0"/>
              <w:jc w:val="center"/>
              <w:outlineLvl w:val="4"/>
              <w:rPr>
                <w:rFonts w:hint="default" w:cs="宋体"/>
                <w:color w:val="000000"/>
                <w:kern w:val="0"/>
                <w:sz w:val="21"/>
                <w:szCs w:val="20"/>
                <w:u w:val="none"/>
                <w:lang w:val="en-US" w:eastAsia="zh-CN" w:bidi="zh-CN"/>
              </w:rPr>
            </w:pPr>
            <w:r>
              <w:rPr>
                <w:rFonts w:hint="eastAsia" w:cs="宋体"/>
                <w:color w:val="000000"/>
                <w:kern w:val="0"/>
                <w:sz w:val="21"/>
                <w:szCs w:val="20"/>
                <w:u w:val="none"/>
                <w:lang w:val="en-US" w:eastAsia="zh-CN" w:bidi="zh-CN"/>
              </w:rPr>
              <w:sym w:font="Wingdings 2" w:char="00A3"/>
            </w:r>
            <w:r>
              <w:rPr>
                <w:rFonts w:hint="eastAsia" w:cs="宋体"/>
                <w:color w:val="000000"/>
                <w:kern w:val="0"/>
                <w:sz w:val="21"/>
                <w:szCs w:val="20"/>
                <w:u w:val="none"/>
                <w:lang w:val="en-US" w:eastAsia="zh-CN" w:bidi="zh-CN"/>
              </w:rPr>
              <w:t>车间或车间处理设施排放口</w:t>
            </w:r>
          </w:p>
        </w:tc>
      </w:tr>
    </w:tbl>
    <w:p w14:paraId="7891090F">
      <w:pPr>
        <w:keepNext w:val="0"/>
        <w:keepLines w:val="0"/>
        <w:pageBreakBefore w:val="0"/>
        <w:widowControl w:val="0"/>
        <w:tabs>
          <w:tab w:val="left" w:pos="940"/>
        </w:tabs>
        <w:kinsoku/>
        <w:wordWrap/>
        <w:overflowPunct w:val="0"/>
        <w:topLinePunct w:val="0"/>
        <w:autoSpaceDE w:val="0"/>
        <w:autoSpaceDN w:val="0"/>
        <w:bidi w:val="0"/>
        <w:snapToGrid w:val="0"/>
        <w:spacing w:before="120" w:beforeLines="50" w:after="120" w:afterLines="50" w:line="240" w:lineRule="auto"/>
        <w:ind w:left="0" w:right="0" w:firstLine="0" w:firstLineChars="0"/>
        <w:jc w:val="center"/>
        <w:rPr>
          <w:rFonts w:hint="eastAsia" w:ascii="Times New Roman" w:hAnsi="Times New Roman" w:eastAsia="黑体" w:cs="宋体"/>
          <w:b/>
          <w:sz w:val="21"/>
          <w:szCs w:val="20"/>
          <w:u w:val="none"/>
          <w:lang w:val="en-US" w:eastAsia="zh-CN" w:bidi="zh-CN"/>
        </w:rPr>
      </w:pPr>
      <w:r>
        <w:rPr>
          <w:rFonts w:ascii="Times New Roman" w:hAnsi="Times New Roman" w:eastAsia="黑体" w:cs="宋体"/>
          <w:b/>
          <w:sz w:val="21"/>
          <w:szCs w:val="20"/>
          <w:u w:val="none"/>
          <w:lang w:val="zh-CN" w:eastAsia="zh-CN" w:bidi="zh-CN"/>
        </w:rPr>
        <w:t>表</w:t>
      </w:r>
      <w:r>
        <w:rPr>
          <w:rFonts w:hint="eastAsia" w:eastAsia="黑体" w:cs="宋体"/>
          <w:b/>
          <w:sz w:val="21"/>
          <w:szCs w:val="20"/>
          <w:u w:val="none"/>
          <w:lang w:val="en-US" w:eastAsia="zh-CN" w:bidi="zh-CN"/>
        </w:rPr>
        <w:t>3.3</w:t>
      </w:r>
      <w:r>
        <w:rPr>
          <w:rFonts w:hint="eastAsia" w:ascii="Times New Roman" w:hAnsi="Times New Roman" w:eastAsia="黑体" w:cs="宋体"/>
          <w:b/>
          <w:sz w:val="21"/>
          <w:szCs w:val="20"/>
          <w:u w:val="none"/>
          <w:lang w:val="en-US" w:eastAsia="zh-CN" w:bidi="zh-CN"/>
        </w:rPr>
        <w:t>-</w:t>
      </w:r>
      <w:r>
        <w:rPr>
          <w:rFonts w:hint="eastAsia" w:eastAsia="黑体" w:cs="宋体"/>
          <w:b/>
          <w:sz w:val="21"/>
          <w:szCs w:val="20"/>
          <w:u w:val="none"/>
          <w:lang w:val="en-US" w:eastAsia="zh-CN" w:bidi="zh-CN"/>
        </w:rPr>
        <w:t>9</w:t>
      </w:r>
      <w:r>
        <w:rPr>
          <w:rFonts w:hint="eastAsia" w:ascii="Times New Roman" w:hAnsi="Times New Roman" w:eastAsia="黑体" w:cs="宋体"/>
          <w:b/>
          <w:sz w:val="21"/>
          <w:szCs w:val="20"/>
          <w:u w:val="none"/>
          <w:lang w:val="en-US" w:eastAsia="zh-CN" w:bidi="zh-CN"/>
        </w:rPr>
        <w:t xml:space="preserve"> 废水直接排放口基本情况表</w:t>
      </w:r>
    </w:p>
    <w:tbl>
      <w:tblPr>
        <w:tblStyle w:val="33"/>
        <w:tblW w:w="4998" w:type="pct"/>
        <w:jc w:val="center"/>
        <w:tblBorders>
          <w:top w:val="single" w:color="auto" w:sz="12" w:space="0"/>
          <w:left w:val="single" w:color="auto" w:sz="12" w:space="0"/>
          <w:bottom w:val="single" w:color="auto" w:sz="12"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9"/>
        <w:gridCol w:w="673"/>
        <w:gridCol w:w="1048"/>
        <w:gridCol w:w="780"/>
        <w:gridCol w:w="806"/>
        <w:gridCol w:w="754"/>
        <w:gridCol w:w="648"/>
        <w:gridCol w:w="648"/>
        <w:gridCol w:w="925"/>
        <w:gridCol w:w="840"/>
        <w:gridCol w:w="887"/>
        <w:gridCol w:w="796"/>
      </w:tblGrid>
      <w:tr w14:paraId="04F29A39">
        <w:tblPrEx>
          <w:tblBorders>
            <w:top w:val="single" w:color="auto" w:sz="12" w:space="0"/>
            <w:left w:val="single" w:color="auto" w:sz="12"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 w:type="pct"/>
            <w:vMerge w:val="restart"/>
            <w:tcBorders>
              <w:tl2br w:val="nil"/>
              <w:tr2bl w:val="nil"/>
            </w:tcBorders>
            <w:vAlign w:val="center"/>
          </w:tcPr>
          <w:p w14:paraId="2E8CC90B">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eastAsia" w:cs="宋体"/>
                <w:color w:val="000000"/>
                <w:kern w:val="0"/>
                <w:sz w:val="21"/>
                <w:szCs w:val="21"/>
                <w:u w:val="none"/>
                <w:lang w:val="en-US" w:eastAsia="zh-CN" w:bidi="zh-CN"/>
              </w:rPr>
            </w:pPr>
            <w:r>
              <w:rPr>
                <w:rFonts w:hint="eastAsia" w:cs="宋体"/>
                <w:color w:val="000000"/>
                <w:kern w:val="0"/>
                <w:sz w:val="21"/>
                <w:szCs w:val="21"/>
                <w:u w:val="none"/>
                <w:lang w:val="en-US" w:eastAsia="zh-CN" w:bidi="zh-CN"/>
              </w:rPr>
              <w:t>序号</w:t>
            </w:r>
          </w:p>
          <w:p w14:paraId="674E2FD7">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9"/>
              <w:rPr>
                <w:rFonts w:hint="default" w:cs="宋体"/>
                <w:color w:val="000000"/>
                <w:kern w:val="0"/>
                <w:sz w:val="21"/>
                <w:szCs w:val="21"/>
                <w:u w:val="none"/>
                <w:lang w:val="en-US" w:eastAsia="zh-CN" w:bidi="zh-CN"/>
              </w:rPr>
            </w:pPr>
          </w:p>
        </w:tc>
        <w:tc>
          <w:tcPr>
            <w:tcW w:w="362" w:type="pct"/>
            <w:vMerge w:val="restart"/>
            <w:tcBorders>
              <w:tl2br w:val="nil"/>
              <w:tr2bl w:val="nil"/>
            </w:tcBorders>
            <w:vAlign w:val="center"/>
          </w:tcPr>
          <w:p w14:paraId="5F558F52">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en-US" w:eastAsia="zh-CN" w:bidi="zh-CN"/>
              </w:rPr>
              <w:t>排放口编号</w:t>
            </w:r>
          </w:p>
        </w:tc>
        <w:tc>
          <w:tcPr>
            <w:tcW w:w="984" w:type="pct"/>
            <w:gridSpan w:val="2"/>
            <w:tcBorders>
              <w:tl2br w:val="nil"/>
              <w:tr2bl w:val="nil"/>
            </w:tcBorders>
            <w:vAlign w:val="center"/>
          </w:tcPr>
          <w:p w14:paraId="57C6596C">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en-US" w:eastAsia="zh-CN" w:bidi="zh-CN"/>
              </w:rPr>
              <w:t>排放口地理坐标</w:t>
            </w:r>
          </w:p>
        </w:tc>
        <w:tc>
          <w:tcPr>
            <w:tcW w:w="434" w:type="pct"/>
            <w:vMerge w:val="restart"/>
            <w:tcBorders>
              <w:tl2br w:val="nil"/>
              <w:tr2bl w:val="nil"/>
            </w:tcBorders>
            <w:vAlign w:val="center"/>
          </w:tcPr>
          <w:p w14:paraId="00FA1FB3">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en-US" w:eastAsia="zh-CN" w:bidi="zh-CN"/>
              </w:rPr>
              <w:t>废水排放量</w:t>
            </w:r>
          </w:p>
        </w:tc>
        <w:tc>
          <w:tcPr>
            <w:tcW w:w="406" w:type="pct"/>
            <w:vMerge w:val="restart"/>
            <w:tcBorders>
              <w:tl2br w:val="nil"/>
              <w:tr2bl w:val="nil"/>
            </w:tcBorders>
            <w:vAlign w:val="center"/>
          </w:tcPr>
          <w:p w14:paraId="62936263">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en-US" w:eastAsia="zh-CN" w:bidi="zh-CN"/>
              </w:rPr>
              <w:t>排放去向</w:t>
            </w:r>
          </w:p>
        </w:tc>
        <w:tc>
          <w:tcPr>
            <w:tcW w:w="349" w:type="pct"/>
            <w:vMerge w:val="restart"/>
            <w:tcBorders>
              <w:tl2br w:val="nil"/>
              <w:tr2bl w:val="nil"/>
            </w:tcBorders>
            <w:vAlign w:val="center"/>
          </w:tcPr>
          <w:p w14:paraId="0D304DB9">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en-US" w:eastAsia="zh-CN" w:bidi="zh-CN"/>
              </w:rPr>
              <w:t>排放规律</w:t>
            </w:r>
          </w:p>
        </w:tc>
        <w:tc>
          <w:tcPr>
            <w:tcW w:w="349" w:type="pct"/>
            <w:vMerge w:val="restart"/>
            <w:tcBorders>
              <w:tl2br w:val="nil"/>
              <w:tr2bl w:val="nil"/>
            </w:tcBorders>
            <w:vAlign w:val="center"/>
          </w:tcPr>
          <w:p w14:paraId="31114164">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en-US" w:eastAsia="zh-CN" w:bidi="zh-CN"/>
              </w:rPr>
              <w:t>间歇排放时段</w:t>
            </w:r>
          </w:p>
        </w:tc>
        <w:tc>
          <w:tcPr>
            <w:tcW w:w="950" w:type="pct"/>
            <w:gridSpan w:val="2"/>
            <w:tcBorders>
              <w:tl2br w:val="nil"/>
              <w:tr2bl w:val="nil"/>
            </w:tcBorders>
            <w:vAlign w:val="center"/>
          </w:tcPr>
          <w:p w14:paraId="2B6B5167">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en-US" w:eastAsia="zh-CN" w:bidi="zh-CN"/>
              </w:rPr>
              <w:t>收纳自然水体信息</w:t>
            </w:r>
          </w:p>
        </w:tc>
        <w:tc>
          <w:tcPr>
            <w:tcW w:w="905" w:type="pct"/>
            <w:gridSpan w:val="2"/>
            <w:tcBorders>
              <w:tl2br w:val="nil"/>
              <w:tr2bl w:val="nil"/>
            </w:tcBorders>
            <w:vAlign w:val="center"/>
          </w:tcPr>
          <w:p w14:paraId="1BD83E64">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en-US" w:eastAsia="zh-CN" w:bidi="zh-CN"/>
              </w:rPr>
              <w:t>汇入受纳自然水体地理坐标</w:t>
            </w:r>
          </w:p>
        </w:tc>
      </w:tr>
      <w:tr w14:paraId="4FE48EB8">
        <w:tblPrEx>
          <w:tblBorders>
            <w:top w:val="single" w:color="auto" w:sz="12" w:space="0"/>
            <w:left w:val="single" w:color="auto" w:sz="12"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 w:type="pct"/>
            <w:vMerge w:val="continue"/>
            <w:tcBorders>
              <w:tl2br w:val="nil"/>
              <w:tr2bl w:val="nil"/>
            </w:tcBorders>
            <w:vAlign w:val="center"/>
          </w:tcPr>
          <w:p w14:paraId="068BC0BF">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9"/>
              <w:rPr>
                <w:rFonts w:hint="default" w:cs="宋体"/>
                <w:color w:val="000000"/>
                <w:kern w:val="0"/>
                <w:sz w:val="21"/>
                <w:szCs w:val="21"/>
                <w:u w:val="none"/>
                <w:lang w:val="en-US" w:eastAsia="zh-CN" w:bidi="zh-CN"/>
              </w:rPr>
            </w:pPr>
          </w:p>
        </w:tc>
        <w:tc>
          <w:tcPr>
            <w:tcW w:w="362" w:type="pct"/>
            <w:vMerge w:val="continue"/>
            <w:tcBorders>
              <w:tl2br w:val="nil"/>
              <w:tr2bl w:val="nil"/>
            </w:tcBorders>
            <w:vAlign w:val="center"/>
          </w:tcPr>
          <w:p w14:paraId="0B4D0103">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9"/>
              <w:rPr>
                <w:rFonts w:hint="default" w:cs="宋体"/>
                <w:color w:val="000000"/>
                <w:kern w:val="0"/>
                <w:sz w:val="21"/>
                <w:szCs w:val="21"/>
                <w:u w:val="none"/>
                <w:lang w:val="en-US" w:eastAsia="zh-CN" w:bidi="zh-CN"/>
              </w:rPr>
            </w:pPr>
          </w:p>
        </w:tc>
        <w:tc>
          <w:tcPr>
            <w:tcW w:w="564" w:type="pct"/>
            <w:tcBorders>
              <w:tl2br w:val="nil"/>
              <w:tr2bl w:val="nil"/>
            </w:tcBorders>
            <w:vAlign w:val="center"/>
          </w:tcPr>
          <w:p w14:paraId="52FC6B3B">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en-US" w:eastAsia="zh-CN" w:bidi="zh-CN"/>
              </w:rPr>
              <w:t>经度</w:t>
            </w:r>
          </w:p>
        </w:tc>
        <w:tc>
          <w:tcPr>
            <w:tcW w:w="420" w:type="pct"/>
            <w:tcBorders>
              <w:tl2br w:val="nil"/>
              <w:tr2bl w:val="nil"/>
            </w:tcBorders>
            <w:vAlign w:val="center"/>
          </w:tcPr>
          <w:p w14:paraId="3E0C12B4">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en-US" w:eastAsia="zh-CN" w:bidi="zh-CN"/>
              </w:rPr>
              <w:t>纬度</w:t>
            </w:r>
          </w:p>
        </w:tc>
        <w:tc>
          <w:tcPr>
            <w:tcW w:w="434" w:type="pct"/>
            <w:vMerge w:val="continue"/>
            <w:tcBorders>
              <w:tl2br w:val="nil"/>
              <w:tr2bl w:val="nil"/>
            </w:tcBorders>
            <w:vAlign w:val="center"/>
          </w:tcPr>
          <w:p w14:paraId="31714E70">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9"/>
              <w:rPr>
                <w:rFonts w:hint="default" w:cs="宋体"/>
                <w:color w:val="000000"/>
                <w:kern w:val="0"/>
                <w:sz w:val="21"/>
                <w:szCs w:val="21"/>
                <w:u w:val="none"/>
                <w:lang w:val="en-US" w:eastAsia="zh-CN" w:bidi="zh-CN"/>
              </w:rPr>
            </w:pPr>
          </w:p>
        </w:tc>
        <w:tc>
          <w:tcPr>
            <w:tcW w:w="406" w:type="pct"/>
            <w:vMerge w:val="continue"/>
            <w:tcBorders>
              <w:tl2br w:val="nil"/>
              <w:tr2bl w:val="nil"/>
            </w:tcBorders>
            <w:vAlign w:val="center"/>
          </w:tcPr>
          <w:p w14:paraId="105D05A1">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9"/>
              <w:rPr>
                <w:rFonts w:hint="default" w:cs="宋体"/>
                <w:color w:val="000000"/>
                <w:kern w:val="0"/>
                <w:sz w:val="21"/>
                <w:szCs w:val="21"/>
                <w:u w:val="none"/>
                <w:lang w:val="en-US" w:eastAsia="zh-CN" w:bidi="zh-CN"/>
              </w:rPr>
            </w:pPr>
          </w:p>
        </w:tc>
        <w:tc>
          <w:tcPr>
            <w:tcW w:w="349" w:type="pct"/>
            <w:vMerge w:val="continue"/>
            <w:tcBorders>
              <w:tl2br w:val="nil"/>
              <w:tr2bl w:val="nil"/>
            </w:tcBorders>
            <w:vAlign w:val="center"/>
          </w:tcPr>
          <w:p w14:paraId="4084A16B">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9"/>
              <w:rPr>
                <w:rFonts w:hint="default" w:cs="宋体"/>
                <w:color w:val="000000"/>
                <w:kern w:val="0"/>
                <w:sz w:val="21"/>
                <w:szCs w:val="21"/>
                <w:u w:val="none"/>
                <w:lang w:val="en-US" w:eastAsia="zh-CN" w:bidi="zh-CN"/>
              </w:rPr>
            </w:pPr>
          </w:p>
        </w:tc>
        <w:tc>
          <w:tcPr>
            <w:tcW w:w="349" w:type="pct"/>
            <w:vMerge w:val="continue"/>
            <w:tcBorders>
              <w:tl2br w:val="nil"/>
              <w:tr2bl w:val="nil"/>
            </w:tcBorders>
            <w:vAlign w:val="center"/>
          </w:tcPr>
          <w:p w14:paraId="198B9C01">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9"/>
              <w:rPr>
                <w:rFonts w:hint="default" w:cs="宋体"/>
                <w:color w:val="000000"/>
                <w:kern w:val="0"/>
                <w:sz w:val="21"/>
                <w:szCs w:val="21"/>
                <w:u w:val="none"/>
                <w:lang w:val="en-US" w:eastAsia="zh-CN" w:bidi="zh-CN"/>
              </w:rPr>
            </w:pPr>
          </w:p>
        </w:tc>
        <w:tc>
          <w:tcPr>
            <w:tcW w:w="498" w:type="pct"/>
            <w:tcBorders>
              <w:tl2br w:val="nil"/>
              <w:tr2bl w:val="nil"/>
            </w:tcBorders>
            <w:vAlign w:val="center"/>
          </w:tcPr>
          <w:p w14:paraId="30083AA2">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en-US" w:eastAsia="zh-CN" w:bidi="zh-CN"/>
              </w:rPr>
              <w:t>名称</w:t>
            </w:r>
          </w:p>
        </w:tc>
        <w:tc>
          <w:tcPr>
            <w:tcW w:w="452" w:type="pct"/>
            <w:tcBorders>
              <w:tl2br w:val="nil"/>
              <w:tr2bl w:val="nil"/>
            </w:tcBorders>
            <w:vAlign w:val="center"/>
          </w:tcPr>
          <w:p w14:paraId="2916DD0C">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en-US" w:eastAsia="zh-CN" w:bidi="zh-CN"/>
              </w:rPr>
              <w:t>受纳水体功能目标</w:t>
            </w:r>
          </w:p>
        </w:tc>
        <w:tc>
          <w:tcPr>
            <w:tcW w:w="477" w:type="pct"/>
            <w:tcBorders>
              <w:tl2br w:val="nil"/>
              <w:tr2bl w:val="nil"/>
            </w:tcBorders>
            <w:vAlign w:val="center"/>
          </w:tcPr>
          <w:p w14:paraId="389DD5A1">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en-US" w:eastAsia="zh-CN" w:bidi="zh-CN"/>
              </w:rPr>
              <w:t>经度</w:t>
            </w:r>
          </w:p>
        </w:tc>
        <w:tc>
          <w:tcPr>
            <w:tcW w:w="427" w:type="pct"/>
            <w:tcBorders>
              <w:tl2br w:val="nil"/>
              <w:tr2bl w:val="nil"/>
            </w:tcBorders>
            <w:vAlign w:val="center"/>
          </w:tcPr>
          <w:p w14:paraId="1E06EB0B">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en-US" w:eastAsia="zh-CN" w:bidi="zh-CN"/>
              </w:rPr>
              <w:t>纬度</w:t>
            </w:r>
          </w:p>
        </w:tc>
      </w:tr>
      <w:tr w14:paraId="0CB3A0E7">
        <w:tblPrEx>
          <w:tblBorders>
            <w:top w:val="single" w:color="auto" w:sz="12" w:space="0"/>
            <w:left w:val="single" w:color="auto" w:sz="12"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8" w:type="pct"/>
            <w:tcBorders>
              <w:tl2br w:val="nil"/>
              <w:tr2bl w:val="nil"/>
            </w:tcBorders>
            <w:vAlign w:val="center"/>
          </w:tcPr>
          <w:p w14:paraId="1DCD6FE4">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en-US" w:eastAsia="zh-CN" w:bidi="zh-CN"/>
              </w:rPr>
              <w:t>1</w:t>
            </w:r>
          </w:p>
        </w:tc>
        <w:tc>
          <w:tcPr>
            <w:tcW w:w="362" w:type="pct"/>
            <w:tcBorders>
              <w:tl2br w:val="nil"/>
              <w:tr2bl w:val="nil"/>
            </w:tcBorders>
            <w:vAlign w:val="center"/>
          </w:tcPr>
          <w:p w14:paraId="7F811323">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en-US" w:eastAsia="zh-CN" w:bidi="zh-CN"/>
              </w:rPr>
              <w:t>DW001</w:t>
            </w:r>
          </w:p>
        </w:tc>
        <w:tc>
          <w:tcPr>
            <w:tcW w:w="564" w:type="pct"/>
            <w:tcBorders>
              <w:tl2br w:val="nil"/>
              <w:tr2bl w:val="nil"/>
            </w:tcBorders>
            <w:vAlign w:val="center"/>
          </w:tcPr>
          <w:p w14:paraId="088C0CA8">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olor w:val="auto"/>
                <w:sz w:val="21"/>
                <w:szCs w:val="21"/>
                <w:highlight w:val="none"/>
                <w:u w:val="none"/>
                <w:lang w:val="en-US" w:eastAsia="zh-CN"/>
              </w:rPr>
              <w:t>E</w:t>
            </w:r>
            <w:r>
              <w:rPr>
                <w:rFonts w:hint="eastAsia"/>
                <w:color w:val="auto"/>
                <w:sz w:val="21"/>
                <w:szCs w:val="21"/>
                <w:highlight w:val="none"/>
                <w:u w:val="none"/>
              </w:rPr>
              <w:t>109°28′0.182″</w:t>
            </w:r>
          </w:p>
        </w:tc>
        <w:tc>
          <w:tcPr>
            <w:tcW w:w="420" w:type="pct"/>
            <w:tcBorders>
              <w:tl2br w:val="nil"/>
              <w:tr2bl w:val="nil"/>
            </w:tcBorders>
            <w:vAlign w:val="center"/>
          </w:tcPr>
          <w:p w14:paraId="0AAC8298">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olor w:val="auto"/>
                <w:sz w:val="21"/>
                <w:szCs w:val="21"/>
                <w:highlight w:val="none"/>
                <w:u w:val="none"/>
                <w:lang w:val="en-US" w:eastAsia="zh-CN"/>
              </w:rPr>
              <w:t>N</w:t>
            </w:r>
            <w:r>
              <w:rPr>
                <w:rFonts w:hint="eastAsia"/>
                <w:color w:val="auto"/>
                <w:sz w:val="21"/>
                <w:szCs w:val="21"/>
                <w:highlight w:val="none"/>
                <w:u w:val="none"/>
              </w:rPr>
              <w:t>29°27′48.434″</w:t>
            </w:r>
          </w:p>
        </w:tc>
        <w:tc>
          <w:tcPr>
            <w:tcW w:w="434" w:type="pct"/>
            <w:tcBorders>
              <w:tl2br w:val="nil"/>
              <w:tr2bl w:val="nil"/>
            </w:tcBorders>
            <w:vAlign w:val="center"/>
          </w:tcPr>
          <w:p w14:paraId="13512B08">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en-US" w:eastAsia="zh-CN" w:bidi="zh-CN"/>
              </w:rPr>
              <w:t>1.5万m</w:t>
            </w:r>
            <w:r>
              <w:rPr>
                <w:rFonts w:hint="eastAsia" w:cs="宋体"/>
                <w:color w:val="000000"/>
                <w:kern w:val="0"/>
                <w:sz w:val="21"/>
                <w:szCs w:val="21"/>
                <w:u w:val="none"/>
                <w:vertAlign w:val="superscript"/>
                <w:lang w:val="en-US" w:eastAsia="zh-CN" w:bidi="zh-CN"/>
              </w:rPr>
              <w:t>3</w:t>
            </w:r>
            <w:r>
              <w:rPr>
                <w:rFonts w:hint="eastAsia" w:cs="宋体"/>
                <w:color w:val="000000"/>
                <w:kern w:val="0"/>
                <w:sz w:val="21"/>
                <w:szCs w:val="21"/>
                <w:u w:val="none"/>
                <w:lang w:val="en-US" w:eastAsia="zh-CN" w:bidi="zh-CN"/>
              </w:rPr>
              <w:t>/d</w:t>
            </w:r>
          </w:p>
        </w:tc>
        <w:tc>
          <w:tcPr>
            <w:tcW w:w="406" w:type="pct"/>
            <w:tcBorders>
              <w:tl2br w:val="nil"/>
              <w:tr2bl w:val="nil"/>
            </w:tcBorders>
            <w:vAlign w:val="center"/>
          </w:tcPr>
          <w:p w14:paraId="3A172494">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zh-CN" w:eastAsia="zh-CN" w:bidi="zh-CN"/>
              </w:rPr>
              <w:t xml:space="preserve"> 果利河</w:t>
            </w:r>
          </w:p>
        </w:tc>
        <w:tc>
          <w:tcPr>
            <w:tcW w:w="349" w:type="pct"/>
            <w:tcBorders>
              <w:tl2br w:val="nil"/>
              <w:tr2bl w:val="nil"/>
            </w:tcBorders>
            <w:vAlign w:val="center"/>
          </w:tcPr>
          <w:p w14:paraId="62AD4EAE">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en-US" w:eastAsia="zh-CN" w:bidi="zh-CN"/>
              </w:rPr>
              <w:t>连续排放</w:t>
            </w:r>
          </w:p>
        </w:tc>
        <w:tc>
          <w:tcPr>
            <w:tcW w:w="349" w:type="pct"/>
            <w:tcBorders>
              <w:tl2br w:val="nil"/>
              <w:tr2bl w:val="nil"/>
            </w:tcBorders>
            <w:vAlign w:val="center"/>
          </w:tcPr>
          <w:p w14:paraId="1434BC15">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en-US" w:eastAsia="zh-CN" w:bidi="zh-CN"/>
              </w:rPr>
              <w:t>/</w:t>
            </w:r>
          </w:p>
        </w:tc>
        <w:tc>
          <w:tcPr>
            <w:tcW w:w="498" w:type="pct"/>
            <w:tcBorders>
              <w:tl2br w:val="nil"/>
              <w:tr2bl w:val="nil"/>
            </w:tcBorders>
            <w:vAlign w:val="center"/>
          </w:tcPr>
          <w:p w14:paraId="494B6934">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zh-CN" w:eastAsia="zh-CN" w:bidi="zh-CN"/>
              </w:rPr>
              <w:t xml:space="preserve"> 果利河</w:t>
            </w:r>
          </w:p>
        </w:tc>
        <w:tc>
          <w:tcPr>
            <w:tcW w:w="452" w:type="pct"/>
            <w:tcBorders>
              <w:tl2br w:val="nil"/>
              <w:tr2bl w:val="nil"/>
            </w:tcBorders>
            <w:vAlign w:val="center"/>
          </w:tcPr>
          <w:p w14:paraId="2ECEEFB1">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right="0" w:firstLine="0" w:firstLineChars="0"/>
              <w:jc w:val="center"/>
              <w:textAlignment w:val="auto"/>
              <w:outlineLvl w:val="4"/>
              <w:rPr>
                <w:rFonts w:hint="default" w:cs="宋体"/>
                <w:color w:val="000000"/>
                <w:kern w:val="0"/>
                <w:sz w:val="21"/>
                <w:szCs w:val="21"/>
                <w:u w:val="none"/>
                <w:lang w:val="en-US" w:eastAsia="zh-CN" w:bidi="zh-CN"/>
              </w:rPr>
            </w:pPr>
            <w:r>
              <w:rPr>
                <w:rFonts w:hint="eastAsia" w:cs="宋体"/>
                <w:color w:val="000000"/>
                <w:kern w:val="0"/>
                <w:sz w:val="21"/>
                <w:szCs w:val="21"/>
                <w:u w:val="none"/>
                <w:lang w:val="en-US" w:eastAsia="zh-CN" w:bidi="zh-CN"/>
              </w:rPr>
              <w:t>III类</w:t>
            </w:r>
          </w:p>
        </w:tc>
        <w:tc>
          <w:tcPr>
            <w:tcW w:w="887" w:type="dxa"/>
            <w:tcBorders>
              <w:tl2br w:val="nil"/>
              <w:tr2bl w:val="nil"/>
            </w:tcBorders>
            <w:vAlign w:val="center"/>
          </w:tcPr>
          <w:p w14:paraId="089AA2D8">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leftChars="0" w:right="0" w:rightChars="0" w:firstLine="0" w:firstLineChars="0"/>
              <w:jc w:val="center"/>
              <w:textAlignment w:val="auto"/>
              <w:outlineLvl w:val="4"/>
              <w:rPr>
                <w:rFonts w:hint="default" w:cs="宋体"/>
                <w:color w:val="000000"/>
                <w:kern w:val="0"/>
                <w:sz w:val="21"/>
                <w:szCs w:val="21"/>
                <w:u w:val="none"/>
                <w:lang w:val="en-US" w:eastAsia="zh-CN" w:bidi="zh-CN"/>
              </w:rPr>
            </w:pPr>
            <w:r>
              <w:rPr>
                <w:rFonts w:hint="eastAsia"/>
                <w:color w:val="auto"/>
                <w:sz w:val="21"/>
                <w:szCs w:val="21"/>
                <w:highlight w:val="none"/>
                <w:u w:val="none"/>
                <w:lang w:val="en-US" w:eastAsia="zh-CN"/>
              </w:rPr>
              <w:t>E</w:t>
            </w:r>
            <w:r>
              <w:rPr>
                <w:rFonts w:hint="eastAsia"/>
                <w:color w:val="auto"/>
                <w:sz w:val="21"/>
                <w:szCs w:val="21"/>
                <w:highlight w:val="none"/>
                <w:u w:val="none"/>
              </w:rPr>
              <w:t>109°28′0.182″</w:t>
            </w:r>
          </w:p>
        </w:tc>
        <w:tc>
          <w:tcPr>
            <w:tcW w:w="796" w:type="dxa"/>
            <w:tcBorders>
              <w:tl2br w:val="nil"/>
              <w:tr2bl w:val="nil"/>
            </w:tcBorders>
            <w:vAlign w:val="center"/>
          </w:tcPr>
          <w:p w14:paraId="63B0E0B4">
            <w:pPr>
              <w:keepNext w:val="0"/>
              <w:keepLines w:val="0"/>
              <w:pageBreakBefore w:val="0"/>
              <w:widowControl w:val="0"/>
              <w:tabs>
                <w:tab w:val="left" w:pos="2976"/>
                <w:tab w:val="left" w:pos="8820"/>
                <w:tab w:val="left" w:pos="9000"/>
              </w:tabs>
              <w:kinsoku/>
              <w:wordWrap w:val="0"/>
              <w:overflowPunct w:val="0"/>
              <w:topLinePunct w:val="0"/>
              <w:autoSpaceDE w:val="0"/>
              <w:autoSpaceDN w:val="0"/>
              <w:bidi w:val="0"/>
              <w:adjustRightInd w:val="0"/>
              <w:snapToGrid w:val="0"/>
              <w:spacing w:before="0" w:after="0" w:line="240" w:lineRule="auto"/>
              <w:ind w:left="0" w:leftChars="0" w:right="0" w:rightChars="0" w:firstLine="0" w:firstLineChars="0"/>
              <w:jc w:val="center"/>
              <w:textAlignment w:val="auto"/>
              <w:outlineLvl w:val="4"/>
              <w:rPr>
                <w:rFonts w:hint="default" w:cs="宋体"/>
                <w:color w:val="000000"/>
                <w:kern w:val="0"/>
                <w:sz w:val="21"/>
                <w:szCs w:val="21"/>
                <w:u w:val="none"/>
                <w:lang w:val="en-US" w:eastAsia="zh-CN" w:bidi="zh-CN"/>
              </w:rPr>
            </w:pPr>
            <w:r>
              <w:rPr>
                <w:rFonts w:hint="eastAsia"/>
                <w:color w:val="auto"/>
                <w:sz w:val="21"/>
                <w:szCs w:val="21"/>
                <w:highlight w:val="none"/>
                <w:u w:val="none"/>
                <w:lang w:val="en-US" w:eastAsia="zh-CN"/>
              </w:rPr>
              <w:t>N</w:t>
            </w:r>
            <w:r>
              <w:rPr>
                <w:rFonts w:hint="eastAsia"/>
                <w:color w:val="auto"/>
                <w:sz w:val="21"/>
                <w:szCs w:val="21"/>
                <w:highlight w:val="none"/>
                <w:u w:val="none"/>
              </w:rPr>
              <w:t>29°27′48.434″</w:t>
            </w:r>
          </w:p>
        </w:tc>
      </w:tr>
    </w:tbl>
    <w:p w14:paraId="0683875A">
      <w:pPr>
        <w:keepNext w:val="0"/>
        <w:keepLines w:val="0"/>
        <w:pageBreakBefore w:val="0"/>
        <w:widowControl w:val="0"/>
        <w:tabs>
          <w:tab w:val="left" w:pos="940"/>
        </w:tabs>
        <w:kinsoku/>
        <w:wordWrap/>
        <w:overflowPunct w:val="0"/>
        <w:topLinePunct w:val="0"/>
        <w:autoSpaceDE w:val="0"/>
        <w:autoSpaceDN w:val="0"/>
        <w:bidi w:val="0"/>
        <w:snapToGrid w:val="0"/>
        <w:spacing w:before="120" w:beforeLines="50" w:after="120" w:afterLines="50" w:line="240" w:lineRule="auto"/>
        <w:ind w:left="0" w:right="0" w:firstLine="0" w:firstLineChars="0"/>
        <w:jc w:val="center"/>
        <w:rPr>
          <w:rFonts w:hint="default" w:ascii="Times New Roman" w:hAnsi="Times New Roman" w:eastAsia="宋体" w:cs="宋体"/>
          <w:b/>
          <w:sz w:val="21"/>
          <w:szCs w:val="20"/>
          <w:u w:val="single"/>
          <w:lang w:val="en-US" w:eastAsia="zh-CN" w:bidi="zh-CN"/>
        </w:rPr>
      </w:pPr>
      <w:r>
        <w:rPr>
          <w:rFonts w:ascii="Times New Roman" w:hAnsi="Times New Roman" w:eastAsia="黑体" w:cs="宋体"/>
          <w:b/>
          <w:sz w:val="21"/>
          <w:szCs w:val="20"/>
          <w:u w:val="single"/>
          <w:lang w:val="zh-CN" w:eastAsia="zh-CN" w:bidi="zh-CN"/>
        </w:rPr>
        <w:t>表</w:t>
      </w:r>
      <w:r>
        <w:rPr>
          <w:rFonts w:hint="eastAsia" w:eastAsia="黑体" w:cs="宋体"/>
          <w:b/>
          <w:sz w:val="21"/>
          <w:szCs w:val="20"/>
          <w:u w:val="single"/>
          <w:lang w:val="en-US" w:eastAsia="zh-CN" w:bidi="zh-CN"/>
        </w:rPr>
        <w:t>3.3</w:t>
      </w:r>
      <w:r>
        <w:rPr>
          <w:rFonts w:hint="eastAsia" w:ascii="Times New Roman" w:hAnsi="Times New Roman" w:eastAsia="黑体" w:cs="宋体"/>
          <w:b/>
          <w:sz w:val="21"/>
          <w:szCs w:val="20"/>
          <w:u w:val="single"/>
          <w:lang w:val="en-US" w:eastAsia="zh-CN" w:bidi="zh-CN"/>
        </w:rPr>
        <w:t>-1</w:t>
      </w:r>
      <w:r>
        <w:rPr>
          <w:rFonts w:hint="eastAsia" w:eastAsia="黑体" w:cs="宋体"/>
          <w:b/>
          <w:sz w:val="21"/>
          <w:szCs w:val="20"/>
          <w:u w:val="single"/>
          <w:lang w:val="en-US" w:eastAsia="zh-CN" w:bidi="zh-CN"/>
        </w:rPr>
        <w:t>0</w:t>
      </w:r>
      <w:r>
        <w:rPr>
          <w:rFonts w:hint="eastAsia" w:ascii="Times New Roman" w:hAnsi="Times New Roman" w:eastAsia="黑体" w:cs="宋体"/>
          <w:b/>
          <w:sz w:val="21"/>
          <w:szCs w:val="20"/>
          <w:u w:val="single"/>
          <w:lang w:val="en-US" w:eastAsia="zh-CN" w:bidi="zh-CN"/>
        </w:rPr>
        <w:t xml:space="preserve"> 废水污染物排放信息表</w:t>
      </w:r>
    </w:p>
    <w:tbl>
      <w:tblPr>
        <w:tblStyle w:val="33"/>
        <w:tblW w:w="883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44"/>
        <w:gridCol w:w="1347"/>
        <w:gridCol w:w="1575"/>
        <w:gridCol w:w="1849"/>
        <w:gridCol w:w="1649"/>
        <w:gridCol w:w="1472"/>
      </w:tblGrid>
      <w:tr w14:paraId="644043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4" w:type="dxa"/>
            <w:tcBorders>
              <w:tl2br w:val="nil"/>
              <w:tr2bl w:val="nil"/>
            </w:tcBorders>
            <w:vAlign w:val="center"/>
          </w:tcPr>
          <w:p w14:paraId="7593F425">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序号</w:t>
            </w:r>
          </w:p>
        </w:tc>
        <w:tc>
          <w:tcPr>
            <w:tcW w:w="1347" w:type="dxa"/>
            <w:tcBorders>
              <w:tl2br w:val="nil"/>
              <w:tr2bl w:val="nil"/>
            </w:tcBorders>
            <w:vAlign w:val="center"/>
          </w:tcPr>
          <w:p w14:paraId="28DC2565">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排放口编号</w:t>
            </w:r>
          </w:p>
        </w:tc>
        <w:tc>
          <w:tcPr>
            <w:tcW w:w="1575" w:type="dxa"/>
            <w:tcBorders>
              <w:tl2br w:val="nil"/>
              <w:tr2bl w:val="nil"/>
            </w:tcBorders>
            <w:vAlign w:val="center"/>
          </w:tcPr>
          <w:p w14:paraId="6F6482B9">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污染物种类</w:t>
            </w:r>
          </w:p>
        </w:tc>
        <w:tc>
          <w:tcPr>
            <w:tcW w:w="1849" w:type="dxa"/>
            <w:tcBorders>
              <w:tl2br w:val="nil"/>
              <w:tr2bl w:val="nil"/>
            </w:tcBorders>
            <w:vAlign w:val="center"/>
          </w:tcPr>
          <w:p w14:paraId="694065D8">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排放浓度mg/L</w:t>
            </w:r>
          </w:p>
        </w:tc>
        <w:tc>
          <w:tcPr>
            <w:tcW w:w="1649" w:type="dxa"/>
            <w:tcBorders>
              <w:tl2br w:val="nil"/>
              <w:tr2bl w:val="nil"/>
            </w:tcBorders>
            <w:vAlign w:val="center"/>
          </w:tcPr>
          <w:p w14:paraId="1F093675">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日排放量t/d</w:t>
            </w:r>
          </w:p>
        </w:tc>
        <w:tc>
          <w:tcPr>
            <w:tcW w:w="1472" w:type="dxa"/>
            <w:tcBorders>
              <w:tl2br w:val="nil"/>
              <w:tr2bl w:val="nil"/>
            </w:tcBorders>
            <w:vAlign w:val="center"/>
          </w:tcPr>
          <w:p w14:paraId="63E65533">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年排放量t/a</w:t>
            </w:r>
          </w:p>
        </w:tc>
      </w:tr>
      <w:tr w14:paraId="630C7D0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4" w:type="dxa"/>
            <w:vMerge w:val="restart"/>
            <w:tcBorders>
              <w:tl2br w:val="nil"/>
              <w:tr2bl w:val="nil"/>
            </w:tcBorders>
            <w:vAlign w:val="center"/>
          </w:tcPr>
          <w:p w14:paraId="510D4B8A">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1</w:t>
            </w:r>
          </w:p>
        </w:tc>
        <w:tc>
          <w:tcPr>
            <w:tcW w:w="1347" w:type="dxa"/>
            <w:vMerge w:val="restart"/>
            <w:tcBorders>
              <w:tl2br w:val="nil"/>
              <w:tr2bl w:val="nil"/>
            </w:tcBorders>
            <w:vAlign w:val="center"/>
          </w:tcPr>
          <w:p w14:paraId="41D00FEA">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DW001</w:t>
            </w:r>
          </w:p>
        </w:tc>
        <w:tc>
          <w:tcPr>
            <w:tcW w:w="1575" w:type="dxa"/>
            <w:tcBorders>
              <w:tl2br w:val="nil"/>
              <w:tr2bl w:val="nil"/>
            </w:tcBorders>
            <w:vAlign w:val="center"/>
          </w:tcPr>
          <w:p w14:paraId="0BBF4288">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CODcr</w:t>
            </w:r>
          </w:p>
        </w:tc>
        <w:tc>
          <w:tcPr>
            <w:tcW w:w="1849" w:type="dxa"/>
            <w:tcBorders>
              <w:tl2br w:val="nil"/>
              <w:tr2bl w:val="nil"/>
            </w:tcBorders>
            <w:vAlign w:val="center"/>
          </w:tcPr>
          <w:p w14:paraId="5A6FFE92">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40</w:t>
            </w:r>
          </w:p>
        </w:tc>
        <w:tc>
          <w:tcPr>
            <w:tcW w:w="1649" w:type="dxa"/>
            <w:tcBorders>
              <w:tl2br w:val="nil"/>
              <w:tr2bl w:val="nil"/>
            </w:tcBorders>
            <w:vAlign w:val="center"/>
          </w:tcPr>
          <w:p w14:paraId="0125D4FD">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0.6</w:t>
            </w:r>
          </w:p>
        </w:tc>
        <w:tc>
          <w:tcPr>
            <w:tcW w:w="1472" w:type="dxa"/>
            <w:tcBorders>
              <w:tl2br w:val="nil"/>
              <w:tr2bl w:val="nil"/>
            </w:tcBorders>
            <w:vAlign w:val="center"/>
          </w:tcPr>
          <w:p w14:paraId="67B18DBD">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219</w:t>
            </w:r>
          </w:p>
        </w:tc>
      </w:tr>
      <w:tr w14:paraId="469630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4" w:type="dxa"/>
            <w:vMerge w:val="continue"/>
            <w:tcBorders>
              <w:tl2br w:val="nil"/>
              <w:tr2bl w:val="nil"/>
            </w:tcBorders>
            <w:vAlign w:val="center"/>
          </w:tcPr>
          <w:p w14:paraId="7F2EF8DB">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default" w:cs="宋体"/>
                <w:color w:val="000000"/>
                <w:kern w:val="0"/>
                <w:sz w:val="21"/>
                <w:szCs w:val="20"/>
                <w:u w:val="single"/>
                <w:lang w:val="en-US" w:eastAsia="zh-CN" w:bidi="zh-CN"/>
              </w:rPr>
            </w:pPr>
          </w:p>
        </w:tc>
        <w:tc>
          <w:tcPr>
            <w:tcW w:w="1347" w:type="dxa"/>
            <w:vMerge w:val="continue"/>
            <w:tcBorders>
              <w:tl2br w:val="nil"/>
              <w:tr2bl w:val="nil"/>
            </w:tcBorders>
            <w:vAlign w:val="center"/>
          </w:tcPr>
          <w:p w14:paraId="1078D931">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default" w:cs="宋体"/>
                <w:color w:val="000000"/>
                <w:kern w:val="0"/>
                <w:sz w:val="21"/>
                <w:szCs w:val="20"/>
                <w:u w:val="single"/>
                <w:lang w:val="en-US" w:eastAsia="zh-CN" w:bidi="zh-CN"/>
              </w:rPr>
            </w:pPr>
          </w:p>
        </w:tc>
        <w:tc>
          <w:tcPr>
            <w:tcW w:w="1575" w:type="dxa"/>
            <w:tcBorders>
              <w:tl2br w:val="nil"/>
              <w:tr2bl w:val="nil"/>
            </w:tcBorders>
            <w:vAlign w:val="center"/>
          </w:tcPr>
          <w:p w14:paraId="5A55923D">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BOD</w:t>
            </w:r>
            <w:r>
              <w:rPr>
                <w:rFonts w:hint="eastAsia" w:cs="宋体"/>
                <w:color w:val="000000"/>
                <w:kern w:val="0"/>
                <w:sz w:val="21"/>
                <w:szCs w:val="20"/>
                <w:u w:val="single"/>
                <w:vertAlign w:val="subscript"/>
                <w:lang w:val="en-US" w:eastAsia="zh-CN" w:bidi="zh-CN"/>
              </w:rPr>
              <w:t>5</w:t>
            </w:r>
          </w:p>
        </w:tc>
        <w:tc>
          <w:tcPr>
            <w:tcW w:w="1849" w:type="dxa"/>
            <w:tcBorders>
              <w:tl2br w:val="nil"/>
              <w:tr2bl w:val="nil"/>
            </w:tcBorders>
            <w:vAlign w:val="center"/>
          </w:tcPr>
          <w:p w14:paraId="71892A44">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10</w:t>
            </w:r>
          </w:p>
        </w:tc>
        <w:tc>
          <w:tcPr>
            <w:tcW w:w="1649" w:type="dxa"/>
            <w:tcBorders>
              <w:tl2br w:val="nil"/>
              <w:tr2bl w:val="nil"/>
            </w:tcBorders>
            <w:vAlign w:val="center"/>
          </w:tcPr>
          <w:p w14:paraId="38BDBA0B">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0.15</w:t>
            </w:r>
          </w:p>
        </w:tc>
        <w:tc>
          <w:tcPr>
            <w:tcW w:w="1472" w:type="dxa"/>
            <w:tcBorders>
              <w:tl2br w:val="nil"/>
              <w:tr2bl w:val="nil"/>
            </w:tcBorders>
            <w:vAlign w:val="center"/>
          </w:tcPr>
          <w:p w14:paraId="24584E22">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54.75</w:t>
            </w:r>
          </w:p>
        </w:tc>
      </w:tr>
      <w:tr w14:paraId="47AC66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4" w:type="dxa"/>
            <w:vMerge w:val="continue"/>
            <w:tcBorders>
              <w:tl2br w:val="nil"/>
              <w:tr2bl w:val="nil"/>
            </w:tcBorders>
            <w:vAlign w:val="center"/>
          </w:tcPr>
          <w:p w14:paraId="28F3C572">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default" w:cs="宋体"/>
                <w:color w:val="000000"/>
                <w:kern w:val="0"/>
                <w:sz w:val="21"/>
                <w:szCs w:val="20"/>
                <w:u w:val="single"/>
                <w:lang w:val="en-US" w:eastAsia="zh-CN" w:bidi="zh-CN"/>
              </w:rPr>
            </w:pPr>
          </w:p>
        </w:tc>
        <w:tc>
          <w:tcPr>
            <w:tcW w:w="1347" w:type="dxa"/>
            <w:vMerge w:val="continue"/>
            <w:tcBorders>
              <w:tl2br w:val="nil"/>
              <w:tr2bl w:val="nil"/>
            </w:tcBorders>
            <w:vAlign w:val="center"/>
          </w:tcPr>
          <w:p w14:paraId="201AAB2D">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default" w:cs="宋体"/>
                <w:color w:val="000000"/>
                <w:kern w:val="0"/>
                <w:sz w:val="21"/>
                <w:szCs w:val="20"/>
                <w:u w:val="single"/>
                <w:lang w:val="en-US" w:eastAsia="zh-CN" w:bidi="zh-CN"/>
              </w:rPr>
            </w:pPr>
          </w:p>
        </w:tc>
        <w:tc>
          <w:tcPr>
            <w:tcW w:w="1575" w:type="dxa"/>
            <w:tcBorders>
              <w:tl2br w:val="nil"/>
              <w:tr2bl w:val="nil"/>
            </w:tcBorders>
            <w:vAlign w:val="center"/>
          </w:tcPr>
          <w:p w14:paraId="374E5C0B">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SS</w:t>
            </w:r>
          </w:p>
        </w:tc>
        <w:tc>
          <w:tcPr>
            <w:tcW w:w="1849" w:type="dxa"/>
            <w:tcBorders>
              <w:tl2br w:val="nil"/>
              <w:tr2bl w:val="nil"/>
            </w:tcBorders>
            <w:vAlign w:val="center"/>
          </w:tcPr>
          <w:p w14:paraId="764999A8">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10</w:t>
            </w:r>
          </w:p>
        </w:tc>
        <w:tc>
          <w:tcPr>
            <w:tcW w:w="1649" w:type="dxa"/>
            <w:tcBorders>
              <w:tl2br w:val="nil"/>
              <w:tr2bl w:val="nil"/>
            </w:tcBorders>
            <w:vAlign w:val="center"/>
          </w:tcPr>
          <w:p w14:paraId="77B7D448">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0.15</w:t>
            </w:r>
          </w:p>
        </w:tc>
        <w:tc>
          <w:tcPr>
            <w:tcW w:w="1472" w:type="dxa"/>
            <w:tcBorders>
              <w:tl2br w:val="nil"/>
              <w:tr2bl w:val="nil"/>
            </w:tcBorders>
            <w:vAlign w:val="center"/>
          </w:tcPr>
          <w:p w14:paraId="40EF7C59">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54.75</w:t>
            </w:r>
          </w:p>
        </w:tc>
      </w:tr>
      <w:tr w14:paraId="4E762A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4" w:type="dxa"/>
            <w:vMerge w:val="continue"/>
            <w:tcBorders>
              <w:tl2br w:val="nil"/>
              <w:tr2bl w:val="nil"/>
            </w:tcBorders>
            <w:vAlign w:val="center"/>
          </w:tcPr>
          <w:p w14:paraId="3C595DD1">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default" w:cs="宋体"/>
                <w:color w:val="000000"/>
                <w:kern w:val="0"/>
                <w:sz w:val="21"/>
                <w:szCs w:val="20"/>
                <w:u w:val="single"/>
                <w:lang w:val="en-US" w:eastAsia="zh-CN" w:bidi="zh-CN"/>
              </w:rPr>
            </w:pPr>
          </w:p>
        </w:tc>
        <w:tc>
          <w:tcPr>
            <w:tcW w:w="1347" w:type="dxa"/>
            <w:vMerge w:val="continue"/>
            <w:tcBorders>
              <w:tl2br w:val="nil"/>
              <w:tr2bl w:val="nil"/>
            </w:tcBorders>
            <w:vAlign w:val="center"/>
          </w:tcPr>
          <w:p w14:paraId="29D4B144">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default" w:cs="宋体"/>
                <w:color w:val="000000"/>
                <w:kern w:val="0"/>
                <w:sz w:val="21"/>
                <w:szCs w:val="20"/>
                <w:u w:val="single"/>
                <w:lang w:val="en-US" w:eastAsia="zh-CN" w:bidi="zh-CN"/>
              </w:rPr>
            </w:pPr>
          </w:p>
        </w:tc>
        <w:tc>
          <w:tcPr>
            <w:tcW w:w="1575" w:type="dxa"/>
            <w:tcBorders>
              <w:tl2br w:val="nil"/>
              <w:tr2bl w:val="nil"/>
            </w:tcBorders>
            <w:vAlign w:val="center"/>
          </w:tcPr>
          <w:p w14:paraId="7D191FA3">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氨氮</w:t>
            </w:r>
          </w:p>
        </w:tc>
        <w:tc>
          <w:tcPr>
            <w:tcW w:w="1849" w:type="dxa"/>
            <w:tcBorders>
              <w:tl2br w:val="nil"/>
              <w:tr2bl w:val="nil"/>
            </w:tcBorders>
            <w:vAlign w:val="center"/>
          </w:tcPr>
          <w:p w14:paraId="743F9AA0">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3</w:t>
            </w:r>
          </w:p>
        </w:tc>
        <w:tc>
          <w:tcPr>
            <w:tcW w:w="1649" w:type="dxa"/>
            <w:tcBorders>
              <w:tl2br w:val="nil"/>
              <w:tr2bl w:val="nil"/>
            </w:tcBorders>
            <w:vAlign w:val="center"/>
          </w:tcPr>
          <w:p w14:paraId="448DFAFC">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0.045</w:t>
            </w:r>
          </w:p>
        </w:tc>
        <w:tc>
          <w:tcPr>
            <w:tcW w:w="1472" w:type="dxa"/>
            <w:tcBorders>
              <w:tl2br w:val="nil"/>
              <w:tr2bl w:val="nil"/>
            </w:tcBorders>
            <w:vAlign w:val="center"/>
          </w:tcPr>
          <w:p w14:paraId="7C12C6C7">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16.425</w:t>
            </w:r>
          </w:p>
        </w:tc>
      </w:tr>
      <w:tr w14:paraId="69F40A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4" w:type="dxa"/>
            <w:vMerge w:val="continue"/>
            <w:tcBorders>
              <w:tl2br w:val="nil"/>
              <w:tr2bl w:val="nil"/>
            </w:tcBorders>
            <w:vAlign w:val="center"/>
          </w:tcPr>
          <w:p w14:paraId="225103AD">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default" w:cs="宋体"/>
                <w:color w:val="000000"/>
                <w:kern w:val="0"/>
                <w:sz w:val="21"/>
                <w:szCs w:val="20"/>
                <w:u w:val="single"/>
                <w:lang w:val="en-US" w:eastAsia="zh-CN" w:bidi="zh-CN"/>
              </w:rPr>
            </w:pPr>
          </w:p>
        </w:tc>
        <w:tc>
          <w:tcPr>
            <w:tcW w:w="1347" w:type="dxa"/>
            <w:vMerge w:val="continue"/>
            <w:tcBorders>
              <w:tl2br w:val="nil"/>
              <w:tr2bl w:val="nil"/>
            </w:tcBorders>
            <w:vAlign w:val="center"/>
          </w:tcPr>
          <w:p w14:paraId="5D1DCED2">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default" w:cs="宋体"/>
                <w:color w:val="000000"/>
                <w:kern w:val="0"/>
                <w:sz w:val="21"/>
                <w:szCs w:val="20"/>
                <w:u w:val="single"/>
                <w:lang w:val="en-US" w:eastAsia="zh-CN" w:bidi="zh-CN"/>
              </w:rPr>
            </w:pPr>
          </w:p>
        </w:tc>
        <w:tc>
          <w:tcPr>
            <w:tcW w:w="1575" w:type="dxa"/>
            <w:tcBorders>
              <w:tl2br w:val="nil"/>
              <w:tr2bl w:val="nil"/>
            </w:tcBorders>
            <w:vAlign w:val="center"/>
          </w:tcPr>
          <w:p w14:paraId="5E3454BA">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TN</w:t>
            </w:r>
          </w:p>
        </w:tc>
        <w:tc>
          <w:tcPr>
            <w:tcW w:w="1849" w:type="dxa"/>
            <w:tcBorders>
              <w:tl2br w:val="nil"/>
              <w:tr2bl w:val="nil"/>
            </w:tcBorders>
            <w:vAlign w:val="center"/>
          </w:tcPr>
          <w:p w14:paraId="133CF978">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15</w:t>
            </w:r>
          </w:p>
        </w:tc>
        <w:tc>
          <w:tcPr>
            <w:tcW w:w="1649" w:type="dxa"/>
            <w:tcBorders>
              <w:tl2br w:val="nil"/>
              <w:tr2bl w:val="nil"/>
            </w:tcBorders>
            <w:vAlign w:val="center"/>
          </w:tcPr>
          <w:p w14:paraId="4D57CB08">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0.225</w:t>
            </w:r>
          </w:p>
        </w:tc>
        <w:tc>
          <w:tcPr>
            <w:tcW w:w="1472" w:type="dxa"/>
            <w:tcBorders>
              <w:tl2br w:val="nil"/>
              <w:tr2bl w:val="nil"/>
            </w:tcBorders>
            <w:vAlign w:val="center"/>
          </w:tcPr>
          <w:p w14:paraId="54D1BAFE">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82.125</w:t>
            </w:r>
          </w:p>
        </w:tc>
      </w:tr>
      <w:tr w14:paraId="4DAB25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4" w:type="dxa"/>
            <w:vMerge w:val="continue"/>
            <w:tcBorders>
              <w:tl2br w:val="nil"/>
              <w:tr2bl w:val="nil"/>
            </w:tcBorders>
            <w:vAlign w:val="center"/>
          </w:tcPr>
          <w:p w14:paraId="5EAA0843">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default" w:cs="宋体"/>
                <w:color w:val="000000"/>
                <w:kern w:val="0"/>
                <w:sz w:val="21"/>
                <w:szCs w:val="20"/>
                <w:u w:val="single"/>
                <w:lang w:val="en-US" w:eastAsia="zh-CN" w:bidi="zh-CN"/>
              </w:rPr>
            </w:pPr>
          </w:p>
        </w:tc>
        <w:tc>
          <w:tcPr>
            <w:tcW w:w="1347" w:type="dxa"/>
            <w:vMerge w:val="continue"/>
            <w:tcBorders>
              <w:tl2br w:val="nil"/>
              <w:tr2bl w:val="nil"/>
            </w:tcBorders>
            <w:vAlign w:val="center"/>
          </w:tcPr>
          <w:p w14:paraId="15A80581">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default" w:cs="宋体"/>
                <w:color w:val="000000"/>
                <w:kern w:val="0"/>
                <w:sz w:val="21"/>
                <w:szCs w:val="20"/>
                <w:u w:val="single"/>
                <w:lang w:val="en-US" w:eastAsia="zh-CN" w:bidi="zh-CN"/>
              </w:rPr>
            </w:pPr>
          </w:p>
        </w:tc>
        <w:tc>
          <w:tcPr>
            <w:tcW w:w="1575" w:type="dxa"/>
            <w:tcBorders>
              <w:tl2br w:val="nil"/>
              <w:tr2bl w:val="nil"/>
            </w:tcBorders>
            <w:vAlign w:val="center"/>
          </w:tcPr>
          <w:p w14:paraId="1607020F">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TP</w:t>
            </w:r>
          </w:p>
        </w:tc>
        <w:tc>
          <w:tcPr>
            <w:tcW w:w="1849" w:type="dxa"/>
            <w:tcBorders>
              <w:tl2br w:val="nil"/>
              <w:tr2bl w:val="nil"/>
            </w:tcBorders>
            <w:vAlign w:val="center"/>
          </w:tcPr>
          <w:p w14:paraId="2C6ECE88">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0.5</w:t>
            </w:r>
          </w:p>
        </w:tc>
        <w:tc>
          <w:tcPr>
            <w:tcW w:w="1649" w:type="dxa"/>
            <w:tcBorders>
              <w:tl2br w:val="nil"/>
              <w:tr2bl w:val="nil"/>
            </w:tcBorders>
            <w:vAlign w:val="center"/>
          </w:tcPr>
          <w:p w14:paraId="365E14F3">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0.0075</w:t>
            </w:r>
          </w:p>
        </w:tc>
        <w:tc>
          <w:tcPr>
            <w:tcW w:w="1472" w:type="dxa"/>
            <w:tcBorders>
              <w:tl2br w:val="nil"/>
              <w:tr2bl w:val="nil"/>
            </w:tcBorders>
            <w:vAlign w:val="center"/>
          </w:tcPr>
          <w:p w14:paraId="41DC6A9D">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2.74</w:t>
            </w:r>
          </w:p>
        </w:tc>
      </w:tr>
      <w:tr w14:paraId="7503712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91" w:type="dxa"/>
            <w:gridSpan w:val="2"/>
            <w:vMerge w:val="restart"/>
            <w:tcBorders>
              <w:tl2br w:val="nil"/>
              <w:tr2bl w:val="nil"/>
            </w:tcBorders>
            <w:vAlign w:val="center"/>
          </w:tcPr>
          <w:p w14:paraId="61FB279B">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全厂排放口合计</w:t>
            </w:r>
          </w:p>
        </w:tc>
        <w:tc>
          <w:tcPr>
            <w:tcW w:w="5073" w:type="dxa"/>
            <w:gridSpan w:val="3"/>
            <w:tcBorders>
              <w:tl2br w:val="nil"/>
              <w:tr2bl w:val="nil"/>
            </w:tcBorders>
            <w:vAlign w:val="center"/>
          </w:tcPr>
          <w:p w14:paraId="1F4BC1EF">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ascii="Times New Roman" w:hAnsi="Times New Roman" w:eastAsia="宋体"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CODcr</w:t>
            </w:r>
          </w:p>
        </w:tc>
        <w:tc>
          <w:tcPr>
            <w:tcW w:w="1472" w:type="dxa"/>
            <w:tcBorders>
              <w:tl2br w:val="nil"/>
              <w:tr2bl w:val="nil"/>
            </w:tcBorders>
            <w:vAlign w:val="center"/>
          </w:tcPr>
          <w:p w14:paraId="739A3B40">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219</w:t>
            </w:r>
          </w:p>
        </w:tc>
      </w:tr>
      <w:tr w14:paraId="238C121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91" w:type="dxa"/>
            <w:gridSpan w:val="2"/>
            <w:vMerge w:val="continue"/>
            <w:tcBorders>
              <w:tl2br w:val="nil"/>
              <w:tr2bl w:val="nil"/>
            </w:tcBorders>
            <w:vAlign w:val="center"/>
          </w:tcPr>
          <w:p w14:paraId="6CAF7061">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default" w:cs="宋体"/>
                <w:color w:val="000000"/>
                <w:kern w:val="0"/>
                <w:sz w:val="21"/>
                <w:szCs w:val="20"/>
                <w:u w:val="single"/>
                <w:lang w:val="en-US" w:eastAsia="zh-CN" w:bidi="zh-CN"/>
              </w:rPr>
            </w:pPr>
          </w:p>
        </w:tc>
        <w:tc>
          <w:tcPr>
            <w:tcW w:w="5073" w:type="dxa"/>
            <w:gridSpan w:val="3"/>
            <w:tcBorders>
              <w:tl2br w:val="nil"/>
              <w:tr2bl w:val="nil"/>
            </w:tcBorders>
            <w:vAlign w:val="center"/>
          </w:tcPr>
          <w:p w14:paraId="6B167012">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ascii="Times New Roman" w:hAnsi="Times New Roman" w:eastAsia="宋体"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BOD</w:t>
            </w:r>
            <w:r>
              <w:rPr>
                <w:rFonts w:hint="eastAsia" w:cs="宋体"/>
                <w:color w:val="000000"/>
                <w:kern w:val="0"/>
                <w:sz w:val="21"/>
                <w:szCs w:val="20"/>
                <w:u w:val="single"/>
                <w:vertAlign w:val="subscript"/>
                <w:lang w:val="en-US" w:eastAsia="zh-CN" w:bidi="zh-CN"/>
              </w:rPr>
              <w:t>5</w:t>
            </w:r>
          </w:p>
        </w:tc>
        <w:tc>
          <w:tcPr>
            <w:tcW w:w="1472" w:type="dxa"/>
            <w:tcBorders>
              <w:tl2br w:val="nil"/>
              <w:tr2bl w:val="nil"/>
            </w:tcBorders>
            <w:vAlign w:val="center"/>
          </w:tcPr>
          <w:p w14:paraId="59F60B31">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54.75</w:t>
            </w:r>
          </w:p>
        </w:tc>
      </w:tr>
      <w:tr w14:paraId="1190ADD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91" w:type="dxa"/>
            <w:gridSpan w:val="2"/>
            <w:vMerge w:val="continue"/>
            <w:tcBorders>
              <w:tl2br w:val="nil"/>
              <w:tr2bl w:val="nil"/>
            </w:tcBorders>
            <w:vAlign w:val="center"/>
          </w:tcPr>
          <w:p w14:paraId="672EFF34">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default" w:cs="宋体"/>
                <w:color w:val="000000"/>
                <w:kern w:val="0"/>
                <w:sz w:val="21"/>
                <w:szCs w:val="20"/>
                <w:u w:val="single"/>
                <w:lang w:val="en-US" w:eastAsia="zh-CN" w:bidi="zh-CN"/>
              </w:rPr>
            </w:pPr>
          </w:p>
        </w:tc>
        <w:tc>
          <w:tcPr>
            <w:tcW w:w="5073" w:type="dxa"/>
            <w:gridSpan w:val="3"/>
            <w:tcBorders>
              <w:tl2br w:val="nil"/>
              <w:tr2bl w:val="nil"/>
            </w:tcBorders>
            <w:vAlign w:val="center"/>
          </w:tcPr>
          <w:p w14:paraId="6623E4D5">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ascii="Times New Roman" w:hAnsi="Times New Roman" w:eastAsia="宋体"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SS</w:t>
            </w:r>
          </w:p>
        </w:tc>
        <w:tc>
          <w:tcPr>
            <w:tcW w:w="1472" w:type="dxa"/>
            <w:tcBorders>
              <w:tl2br w:val="nil"/>
              <w:tr2bl w:val="nil"/>
            </w:tcBorders>
            <w:vAlign w:val="center"/>
          </w:tcPr>
          <w:p w14:paraId="64743959">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54.75</w:t>
            </w:r>
          </w:p>
        </w:tc>
      </w:tr>
      <w:tr w14:paraId="7F7F81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91" w:type="dxa"/>
            <w:gridSpan w:val="2"/>
            <w:vMerge w:val="continue"/>
            <w:tcBorders>
              <w:tl2br w:val="nil"/>
              <w:tr2bl w:val="nil"/>
            </w:tcBorders>
            <w:vAlign w:val="center"/>
          </w:tcPr>
          <w:p w14:paraId="68268775">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default" w:cs="宋体"/>
                <w:color w:val="000000"/>
                <w:kern w:val="0"/>
                <w:sz w:val="21"/>
                <w:szCs w:val="20"/>
                <w:u w:val="single"/>
                <w:lang w:val="en-US" w:eastAsia="zh-CN" w:bidi="zh-CN"/>
              </w:rPr>
            </w:pPr>
          </w:p>
        </w:tc>
        <w:tc>
          <w:tcPr>
            <w:tcW w:w="5073" w:type="dxa"/>
            <w:gridSpan w:val="3"/>
            <w:tcBorders>
              <w:tl2br w:val="nil"/>
              <w:tr2bl w:val="nil"/>
            </w:tcBorders>
            <w:vAlign w:val="center"/>
          </w:tcPr>
          <w:p w14:paraId="2D1F0D62">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ascii="Times New Roman" w:hAnsi="Times New Roman" w:eastAsia="宋体"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氨氮</w:t>
            </w:r>
          </w:p>
        </w:tc>
        <w:tc>
          <w:tcPr>
            <w:tcW w:w="1472" w:type="dxa"/>
            <w:tcBorders>
              <w:tl2br w:val="nil"/>
              <w:tr2bl w:val="nil"/>
            </w:tcBorders>
            <w:vAlign w:val="center"/>
          </w:tcPr>
          <w:p w14:paraId="0B5CF341">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16.425</w:t>
            </w:r>
          </w:p>
        </w:tc>
      </w:tr>
      <w:tr w14:paraId="33B5C57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91" w:type="dxa"/>
            <w:gridSpan w:val="2"/>
            <w:vMerge w:val="continue"/>
            <w:tcBorders>
              <w:tl2br w:val="nil"/>
              <w:tr2bl w:val="nil"/>
            </w:tcBorders>
            <w:vAlign w:val="center"/>
          </w:tcPr>
          <w:p w14:paraId="10BFA446">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default" w:cs="宋体"/>
                <w:color w:val="000000"/>
                <w:kern w:val="0"/>
                <w:sz w:val="21"/>
                <w:szCs w:val="20"/>
                <w:u w:val="single"/>
                <w:lang w:val="en-US" w:eastAsia="zh-CN" w:bidi="zh-CN"/>
              </w:rPr>
            </w:pPr>
          </w:p>
        </w:tc>
        <w:tc>
          <w:tcPr>
            <w:tcW w:w="5073" w:type="dxa"/>
            <w:gridSpan w:val="3"/>
            <w:tcBorders>
              <w:tl2br w:val="nil"/>
              <w:tr2bl w:val="nil"/>
            </w:tcBorders>
            <w:vAlign w:val="center"/>
          </w:tcPr>
          <w:p w14:paraId="1061B531">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ascii="Times New Roman" w:hAnsi="Times New Roman" w:eastAsia="宋体"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TN</w:t>
            </w:r>
          </w:p>
        </w:tc>
        <w:tc>
          <w:tcPr>
            <w:tcW w:w="1472" w:type="dxa"/>
            <w:tcBorders>
              <w:tl2br w:val="nil"/>
              <w:tr2bl w:val="nil"/>
            </w:tcBorders>
            <w:vAlign w:val="center"/>
          </w:tcPr>
          <w:p w14:paraId="780F10C7">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82.125</w:t>
            </w:r>
          </w:p>
        </w:tc>
      </w:tr>
      <w:tr w14:paraId="118544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91" w:type="dxa"/>
            <w:gridSpan w:val="2"/>
            <w:vMerge w:val="continue"/>
            <w:tcBorders>
              <w:tl2br w:val="nil"/>
              <w:tr2bl w:val="nil"/>
            </w:tcBorders>
            <w:vAlign w:val="center"/>
          </w:tcPr>
          <w:p w14:paraId="1FF46527">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right="0" w:firstLine="0" w:firstLineChars="0"/>
              <w:jc w:val="center"/>
              <w:outlineLvl w:val="9"/>
              <w:rPr>
                <w:rFonts w:hint="default" w:cs="宋体"/>
                <w:color w:val="000000"/>
                <w:kern w:val="0"/>
                <w:sz w:val="21"/>
                <w:szCs w:val="20"/>
                <w:u w:val="single"/>
                <w:lang w:val="en-US" w:eastAsia="zh-CN" w:bidi="zh-CN"/>
              </w:rPr>
            </w:pPr>
          </w:p>
        </w:tc>
        <w:tc>
          <w:tcPr>
            <w:tcW w:w="5073" w:type="dxa"/>
            <w:gridSpan w:val="3"/>
            <w:tcBorders>
              <w:tl2br w:val="nil"/>
              <w:tr2bl w:val="nil"/>
            </w:tcBorders>
            <w:vAlign w:val="center"/>
          </w:tcPr>
          <w:p w14:paraId="32FC4B5B">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ascii="Times New Roman" w:hAnsi="Times New Roman" w:eastAsia="宋体"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TP</w:t>
            </w:r>
          </w:p>
        </w:tc>
        <w:tc>
          <w:tcPr>
            <w:tcW w:w="1472" w:type="dxa"/>
            <w:tcBorders>
              <w:tl2br w:val="nil"/>
              <w:tr2bl w:val="nil"/>
            </w:tcBorders>
            <w:vAlign w:val="center"/>
          </w:tcPr>
          <w:p w14:paraId="4B516ED6">
            <w:pPr>
              <w:keepNext w:val="0"/>
              <w:keepLines w:val="0"/>
              <w:pageBreakBefore w:val="0"/>
              <w:widowControl w:val="0"/>
              <w:tabs>
                <w:tab w:val="left" w:pos="2976"/>
                <w:tab w:val="left" w:pos="8820"/>
                <w:tab w:val="left" w:pos="9000"/>
              </w:tabs>
              <w:kinsoku/>
              <w:wordWrap/>
              <w:overflowPunct w:val="0"/>
              <w:topLinePunct w:val="0"/>
              <w:autoSpaceDE w:val="0"/>
              <w:autoSpaceDN w:val="0"/>
              <w:bidi w:val="0"/>
              <w:adjustRightInd w:val="0"/>
              <w:snapToGrid w:val="0"/>
              <w:spacing w:before="0" w:after="0" w:line="240" w:lineRule="auto"/>
              <w:ind w:left="0" w:leftChars="0" w:right="0" w:rightChars="0" w:firstLine="0" w:firstLineChars="0"/>
              <w:jc w:val="center"/>
              <w:outlineLvl w:val="4"/>
              <w:rPr>
                <w:rFonts w:hint="default" w:cs="宋体"/>
                <w:color w:val="000000"/>
                <w:kern w:val="0"/>
                <w:sz w:val="21"/>
                <w:szCs w:val="20"/>
                <w:u w:val="single"/>
                <w:lang w:val="en-US" w:eastAsia="zh-CN" w:bidi="zh-CN"/>
              </w:rPr>
            </w:pPr>
            <w:r>
              <w:rPr>
                <w:rFonts w:hint="eastAsia" w:cs="宋体"/>
                <w:color w:val="000000"/>
                <w:kern w:val="0"/>
                <w:sz w:val="21"/>
                <w:szCs w:val="20"/>
                <w:u w:val="single"/>
                <w:lang w:val="en-US" w:eastAsia="zh-CN" w:bidi="zh-CN"/>
              </w:rPr>
              <w:t>2.74</w:t>
            </w:r>
          </w:p>
        </w:tc>
      </w:tr>
    </w:tbl>
    <w:p w14:paraId="067B74B4">
      <w:pPr>
        <w:spacing w:line="360" w:lineRule="auto"/>
        <w:ind w:firstLine="480" w:firstLineChars="200"/>
        <w:rPr>
          <w:rFonts w:hint="eastAsia" w:ascii="Times New Roman" w:hAnsi="Times New Roman" w:eastAsia="宋体" w:cs="Times New Roman"/>
          <w:color w:val="auto"/>
          <w:kern w:val="0"/>
          <w:sz w:val="24"/>
          <w:szCs w:val="24"/>
        </w:rPr>
      </w:pPr>
      <w:r>
        <w:rPr>
          <w:rFonts w:hint="eastAsia" w:ascii="Times New Roman" w:hAnsi="Times New Roman" w:eastAsia="宋体" w:cs="Times New Roman"/>
          <w:color w:val="auto"/>
          <w:kern w:val="0"/>
          <w:sz w:val="24"/>
          <w:szCs w:val="24"/>
        </w:rPr>
        <w:t>。</w:t>
      </w:r>
    </w:p>
    <w:p w14:paraId="1CBBAF9D">
      <w:pPr>
        <w:spacing w:line="360" w:lineRule="auto"/>
        <w:ind w:firstLine="480" w:firstLineChars="200"/>
        <w:rPr>
          <w:rFonts w:hint="default" w:ascii="Times New Roman" w:hAnsi="Times New Roman" w:eastAsia="宋体" w:cs="Times New Roman"/>
          <w:color w:val="auto"/>
          <w:kern w:val="0"/>
          <w:sz w:val="24"/>
          <w:szCs w:val="24"/>
          <w:lang w:val="en-US" w:eastAsia="zh-CN"/>
        </w:rPr>
      </w:pPr>
    </w:p>
    <w:p w14:paraId="156BEAE5">
      <w:pPr>
        <w:spacing w:line="360" w:lineRule="auto"/>
        <w:ind w:firstLine="480" w:firstLineChars="200"/>
        <w:rPr>
          <w:rFonts w:hint="eastAsia" w:ascii="Times New Roman" w:hAnsi="Times New Roman" w:eastAsia="宋体" w:cs="Times New Roman"/>
          <w:color w:val="auto"/>
          <w:kern w:val="0"/>
          <w:sz w:val="24"/>
          <w:szCs w:val="24"/>
        </w:rPr>
      </w:pPr>
    </w:p>
    <w:p w14:paraId="02D6FEC8">
      <w:pPr>
        <w:ind w:firstLine="420" w:firstLineChars="200"/>
        <w:rPr>
          <w:color w:val="auto"/>
        </w:rPr>
      </w:pPr>
    </w:p>
    <w:p w14:paraId="135776D2">
      <w:pPr>
        <w:spacing w:line="360" w:lineRule="auto"/>
        <w:ind w:firstLine="480" w:firstLineChars="200"/>
        <w:rPr>
          <w:rFonts w:hint="eastAsia" w:ascii="Times New Roman" w:hAnsi="Times New Roman" w:eastAsia="宋体" w:cs="Times New Roman"/>
          <w:color w:val="auto"/>
          <w:kern w:val="0"/>
          <w:sz w:val="24"/>
          <w:szCs w:val="24"/>
        </w:rPr>
      </w:pPr>
    </w:p>
    <w:p w14:paraId="371F1F06">
      <w:pPr>
        <w:spacing w:line="360" w:lineRule="auto"/>
        <w:ind w:firstLine="480" w:firstLineChars="200"/>
        <w:rPr>
          <w:rFonts w:hint="eastAsia" w:ascii="Times New Roman" w:hAnsi="Times New Roman" w:eastAsia="宋体" w:cs="Times New Roman"/>
          <w:color w:val="auto"/>
          <w:kern w:val="0"/>
          <w:sz w:val="24"/>
          <w:szCs w:val="24"/>
        </w:rPr>
      </w:pPr>
    </w:p>
    <w:p w14:paraId="5987FB2B">
      <w:pPr>
        <w:pStyle w:val="3"/>
        <w:rPr>
          <w:rFonts w:hint="eastAsia"/>
          <w:color w:val="auto"/>
        </w:rPr>
        <w:sectPr>
          <w:pgSz w:w="11906" w:h="16838"/>
          <w:pgMar w:top="1440" w:right="1417" w:bottom="1440" w:left="1417" w:header="851" w:footer="850"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385CDA58">
      <w:pPr>
        <w:spacing w:line="360" w:lineRule="auto"/>
        <w:outlineLvl w:val="0"/>
        <w:rPr>
          <w:rFonts w:ascii="Times New Roman" w:hAnsi="Times New Roman" w:eastAsia="宋体" w:cs="Times New Roman"/>
          <w:b/>
          <w:bCs/>
          <w:color w:val="auto"/>
          <w:sz w:val="32"/>
          <w:szCs w:val="32"/>
        </w:rPr>
      </w:pPr>
      <w:bookmarkStart w:id="79" w:name="_Toc1937"/>
      <w:bookmarkStart w:id="80" w:name="_Toc21636"/>
      <w:r>
        <w:rPr>
          <w:rFonts w:hint="eastAsia" w:cs="Times New Roman"/>
          <w:b/>
          <w:bCs/>
          <w:color w:val="auto"/>
          <w:sz w:val="32"/>
          <w:szCs w:val="32"/>
          <w:lang w:val="en-US" w:eastAsia="zh-CN"/>
        </w:rPr>
        <w:t>4</w:t>
      </w:r>
      <w:r>
        <w:rPr>
          <w:rFonts w:hint="eastAsia" w:ascii="Times New Roman" w:hAnsi="Times New Roman" w:eastAsia="宋体" w:cs="Times New Roman"/>
          <w:b/>
          <w:bCs/>
          <w:color w:val="auto"/>
          <w:sz w:val="32"/>
          <w:szCs w:val="32"/>
        </w:rPr>
        <w:t>环境保护措施与监测计划</w:t>
      </w:r>
      <w:bookmarkEnd w:id="79"/>
      <w:bookmarkEnd w:id="80"/>
    </w:p>
    <w:p w14:paraId="0E673386">
      <w:pPr>
        <w:spacing w:line="360" w:lineRule="auto"/>
        <w:outlineLvl w:val="1"/>
        <w:rPr>
          <w:rFonts w:ascii="Times New Roman" w:hAnsi="Times New Roman" w:eastAsia="宋体" w:cs="Times New Roman"/>
          <w:b/>
          <w:bCs/>
          <w:color w:val="auto"/>
          <w:sz w:val="30"/>
          <w:szCs w:val="30"/>
        </w:rPr>
      </w:pPr>
      <w:bookmarkStart w:id="81" w:name="_Toc13119"/>
      <w:bookmarkStart w:id="82" w:name="_Toc8336"/>
      <w:r>
        <w:rPr>
          <w:rFonts w:hint="eastAsia" w:cs="Times New Roman"/>
          <w:b/>
          <w:bCs/>
          <w:color w:val="auto"/>
          <w:sz w:val="30"/>
          <w:szCs w:val="30"/>
          <w:lang w:val="en-US" w:eastAsia="zh-CN"/>
        </w:rPr>
        <w:t>4</w:t>
      </w:r>
      <w:r>
        <w:rPr>
          <w:rFonts w:ascii="Times New Roman" w:hAnsi="Times New Roman" w:eastAsia="宋体" w:cs="Times New Roman"/>
          <w:b/>
          <w:bCs/>
          <w:color w:val="auto"/>
          <w:sz w:val="30"/>
          <w:szCs w:val="30"/>
        </w:rPr>
        <w:t>.1</w:t>
      </w:r>
      <w:r>
        <w:rPr>
          <w:rFonts w:hint="eastAsia" w:ascii="Times New Roman" w:hAnsi="Times New Roman" w:eastAsia="宋体" w:cs="Times New Roman"/>
          <w:b/>
          <w:bCs/>
          <w:color w:val="auto"/>
          <w:sz w:val="30"/>
          <w:szCs w:val="30"/>
        </w:rPr>
        <w:t>环境保护措施</w:t>
      </w:r>
      <w:bookmarkEnd w:id="81"/>
      <w:bookmarkEnd w:id="82"/>
    </w:p>
    <w:p w14:paraId="5054299F">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default" w:ascii="Times New Roman" w:hAnsi="Times New Roman" w:cs="Times New Roman"/>
          <w:b/>
          <w:bCs/>
          <w:color w:val="auto"/>
          <w:sz w:val="28"/>
          <w:szCs w:val="28"/>
          <w:lang w:val="en-US" w:eastAsia="zh-CN"/>
        </w:rPr>
      </w:pPr>
      <w:bookmarkStart w:id="83" w:name="_Toc148"/>
      <w:bookmarkStart w:id="84" w:name="_Toc14043"/>
      <w:r>
        <w:rPr>
          <w:rFonts w:hint="eastAsia" w:cs="Times New Roman"/>
          <w:b/>
          <w:bCs/>
          <w:color w:val="auto"/>
          <w:sz w:val="28"/>
          <w:szCs w:val="28"/>
          <w:lang w:val="en-US" w:eastAsia="zh-CN"/>
        </w:rPr>
        <w:t>4</w:t>
      </w:r>
      <w:r>
        <w:rPr>
          <w:rFonts w:hint="eastAsia" w:ascii="Times New Roman" w:hAnsi="Times New Roman" w:cs="Times New Roman"/>
          <w:b/>
          <w:bCs/>
          <w:color w:val="auto"/>
          <w:sz w:val="28"/>
          <w:szCs w:val="28"/>
          <w:lang w:val="en-US" w:eastAsia="zh-CN"/>
        </w:rPr>
        <w:t>.1.1工程措施</w:t>
      </w:r>
      <w:bookmarkEnd w:id="83"/>
      <w:bookmarkEnd w:id="84"/>
    </w:p>
    <w:p w14:paraId="3638C9AF">
      <w:pPr>
        <w:pStyle w:val="141"/>
        <w:spacing w:afterLines="0" w:line="360" w:lineRule="auto"/>
        <w:ind w:firstLine="480"/>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为了保证污水得到有效处理，实现污水达标排放，避免工程运行期间出现污水非正常排放，或将非正常排放损失降至最低，提出以下水污染防治措施：</w:t>
      </w:r>
    </w:p>
    <w:p w14:paraId="28C3908C">
      <w:pPr>
        <w:pStyle w:val="141"/>
        <w:spacing w:afterLines="0" w:line="360" w:lineRule="auto"/>
        <w:ind w:firstLine="480"/>
        <w:rPr>
          <w:rFonts w:hint="eastAsia" w:ascii="Times New Roman" w:hAnsi="Times New Roman" w:eastAsia="宋体" w:cs="Times New Roman"/>
          <w:color w:val="auto"/>
          <w:sz w:val="24"/>
          <w:szCs w:val="24"/>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1</w:t>
      </w:r>
      <w:r>
        <w:rPr>
          <w:rFonts w:hint="eastAsia" w:ascii="Times New Roman" w:hAnsi="Times New Roman" w:cs="Times New Roman"/>
          <w:color w:val="auto"/>
          <w:sz w:val="24"/>
          <w:szCs w:val="24"/>
          <w:lang w:eastAsia="zh-CN"/>
        </w:rPr>
        <w:t>）</w:t>
      </w:r>
      <w:r>
        <w:rPr>
          <w:rFonts w:hint="eastAsia" w:ascii="Times New Roman" w:hAnsi="Times New Roman" w:eastAsia="宋体" w:cs="Times New Roman"/>
          <w:color w:val="auto"/>
          <w:sz w:val="24"/>
          <w:szCs w:val="24"/>
        </w:rPr>
        <w:t>加强对各类机械设备定期检查、维护和管理，同时配备必要的备用设备，当设备出现运转故障时及时更换，以减少事故的隐患。</w:t>
      </w:r>
    </w:p>
    <w:p w14:paraId="01EF0D47">
      <w:pPr>
        <w:pStyle w:val="141"/>
        <w:spacing w:afterLines="0" w:line="360" w:lineRule="auto"/>
        <w:ind w:firstLine="480"/>
        <w:rPr>
          <w:rFonts w:hint="eastAsia" w:ascii="Times New Roman" w:hAnsi="Times New Roman" w:eastAsia="宋体" w:cs="Times New Roman"/>
          <w:color w:val="auto"/>
          <w:sz w:val="24"/>
          <w:szCs w:val="24"/>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2</w:t>
      </w:r>
      <w:r>
        <w:rPr>
          <w:rFonts w:hint="eastAsia" w:ascii="Times New Roman" w:hAnsi="Times New Roman" w:cs="Times New Roman"/>
          <w:color w:val="auto"/>
          <w:sz w:val="24"/>
          <w:szCs w:val="24"/>
          <w:lang w:eastAsia="zh-CN"/>
        </w:rPr>
        <w:t>）</w:t>
      </w:r>
      <w:r>
        <w:rPr>
          <w:rFonts w:hint="eastAsia" w:ascii="Times New Roman" w:hAnsi="Times New Roman" w:eastAsia="宋体" w:cs="Times New Roman"/>
          <w:color w:val="auto"/>
          <w:sz w:val="24"/>
          <w:szCs w:val="24"/>
        </w:rPr>
        <w:t>污水处理</w:t>
      </w:r>
      <w:r>
        <w:rPr>
          <w:rFonts w:hint="eastAsia" w:ascii="Times New Roman" w:hAnsi="Times New Roman" w:cs="Times New Roman"/>
          <w:color w:val="auto"/>
          <w:sz w:val="24"/>
          <w:szCs w:val="24"/>
          <w:lang w:val="en-US" w:eastAsia="zh-CN"/>
        </w:rPr>
        <w:t>厂</w:t>
      </w:r>
      <w:r>
        <w:rPr>
          <w:rFonts w:hint="eastAsia" w:ascii="Times New Roman" w:hAnsi="Times New Roman" w:eastAsia="宋体" w:cs="Times New Roman"/>
          <w:color w:val="auto"/>
          <w:sz w:val="24"/>
          <w:szCs w:val="24"/>
        </w:rPr>
        <w:t>要采用双回路供电，防止因停电造成的运转事故。</w:t>
      </w:r>
    </w:p>
    <w:p w14:paraId="6EADEAD6">
      <w:pPr>
        <w:pStyle w:val="141"/>
        <w:spacing w:afterLines="0" w:line="360" w:lineRule="auto"/>
        <w:ind w:firstLine="480"/>
        <w:rPr>
          <w:rFonts w:hint="eastAsia" w:ascii="Times New Roman" w:hAnsi="Times New Roman" w:eastAsia="宋体" w:cs="Times New Roman"/>
          <w:color w:val="auto"/>
          <w:sz w:val="24"/>
          <w:szCs w:val="24"/>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3</w:t>
      </w:r>
      <w:r>
        <w:rPr>
          <w:rFonts w:hint="eastAsia" w:ascii="Times New Roman" w:hAnsi="Times New Roman" w:cs="Times New Roman"/>
          <w:color w:val="auto"/>
          <w:sz w:val="24"/>
          <w:szCs w:val="24"/>
          <w:lang w:eastAsia="zh-CN"/>
        </w:rPr>
        <w:t>）</w:t>
      </w:r>
      <w:r>
        <w:rPr>
          <w:rFonts w:hint="eastAsia" w:ascii="Times New Roman" w:hAnsi="Times New Roman" w:eastAsia="宋体" w:cs="Times New Roman"/>
          <w:color w:val="auto"/>
          <w:sz w:val="24"/>
          <w:szCs w:val="24"/>
        </w:rPr>
        <w:t>对污水处理设施的运转情况要及时监测，确保处理装置正常高效运转，对进水和出水水质要定期监测，根据不同的水质水量及时调整处理单元的运转参数，以保证最佳的处理效率。</w:t>
      </w:r>
    </w:p>
    <w:p w14:paraId="374CB4DA">
      <w:pPr>
        <w:pStyle w:val="141"/>
        <w:spacing w:afterLines="0" w:line="360" w:lineRule="auto"/>
        <w:ind w:firstLine="480"/>
        <w:rPr>
          <w:rFonts w:hint="eastAsia" w:ascii="Times New Roman" w:hAnsi="Times New Roman" w:eastAsia="宋体" w:cs="Times New Roman"/>
          <w:color w:val="auto"/>
          <w:sz w:val="24"/>
          <w:szCs w:val="24"/>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4</w:t>
      </w:r>
      <w:r>
        <w:rPr>
          <w:rFonts w:hint="eastAsia" w:ascii="Times New Roman" w:hAnsi="Times New Roman" w:cs="Times New Roman"/>
          <w:color w:val="auto"/>
          <w:sz w:val="24"/>
          <w:szCs w:val="24"/>
          <w:lang w:eastAsia="zh-CN"/>
        </w:rPr>
        <w:t>）</w:t>
      </w:r>
      <w:r>
        <w:rPr>
          <w:rFonts w:hint="eastAsia" w:ascii="Times New Roman" w:hAnsi="Times New Roman" w:eastAsia="宋体" w:cs="Times New Roman"/>
          <w:color w:val="auto"/>
          <w:sz w:val="24"/>
          <w:szCs w:val="24"/>
        </w:rPr>
        <w:t>污水处理</w:t>
      </w:r>
      <w:r>
        <w:rPr>
          <w:rFonts w:hint="eastAsia" w:ascii="Times New Roman" w:hAnsi="Times New Roman" w:cs="Times New Roman"/>
          <w:color w:val="auto"/>
          <w:sz w:val="24"/>
          <w:szCs w:val="24"/>
          <w:lang w:val="en-US" w:eastAsia="zh-CN"/>
        </w:rPr>
        <w:t>厂</w:t>
      </w:r>
      <w:r>
        <w:rPr>
          <w:rFonts w:hint="eastAsia" w:ascii="Times New Roman" w:hAnsi="Times New Roman" w:eastAsia="宋体" w:cs="Times New Roman"/>
          <w:color w:val="auto"/>
          <w:sz w:val="24"/>
          <w:szCs w:val="24"/>
        </w:rPr>
        <w:t>设立标准排放井并安装在线监测系统，以时刻监控和预防事故性排放发生，并方便环保管理部门的监督管理。</w:t>
      </w:r>
    </w:p>
    <w:p w14:paraId="663B8FE7">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eastAsia" w:ascii="Times New Roman" w:hAnsi="Times New Roman" w:cs="Times New Roman"/>
          <w:b/>
          <w:bCs/>
          <w:color w:val="auto"/>
          <w:sz w:val="28"/>
          <w:szCs w:val="28"/>
          <w:lang w:val="en-US" w:eastAsia="zh-CN"/>
        </w:rPr>
      </w:pPr>
      <w:bookmarkStart w:id="85" w:name="_Toc20339"/>
      <w:bookmarkStart w:id="86" w:name="_Toc32021"/>
      <w:bookmarkStart w:id="87" w:name="_Toc20008"/>
      <w:r>
        <w:rPr>
          <w:rFonts w:hint="eastAsia" w:cs="Times New Roman"/>
          <w:b/>
          <w:bCs/>
          <w:color w:val="auto"/>
          <w:sz w:val="28"/>
          <w:szCs w:val="28"/>
          <w:lang w:val="en-US" w:eastAsia="zh-CN"/>
        </w:rPr>
        <w:t>4</w:t>
      </w:r>
      <w:r>
        <w:rPr>
          <w:rFonts w:hint="eastAsia" w:ascii="Times New Roman" w:hAnsi="Times New Roman" w:cs="Times New Roman"/>
          <w:b/>
          <w:bCs/>
          <w:color w:val="auto"/>
          <w:sz w:val="28"/>
          <w:szCs w:val="28"/>
          <w:lang w:val="en-US" w:eastAsia="zh-CN"/>
        </w:rPr>
        <w:t>.1.2管理措施</w:t>
      </w:r>
      <w:bookmarkEnd w:id="85"/>
      <w:bookmarkEnd w:id="86"/>
      <w:bookmarkEnd w:id="87"/>
    </w:p>
    <w:p w14:paraId="4E73BCB2">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3"/>
        <w:rPr>
          <w:rFonts w:hint="eastAsia" w:ascii="Times New Roman" w:hAnsi="Times New Roman" w:cs="Times New Roman"/>
          <w:b/>
          <w:bCs/>
          <w:color w:val="auto"/>
          <w:sz w:val="28"/>
          <w:szCs w:val="28"/>
          <w:lang w:val="en-US" w:eastAsia="zh-CN"/>
        </w:rPr>
      </w:pPr>
      <w:bookmarkStart w:id="88" w:name="_Toc9153"/>
      <w:bookmarkStart w:id="89" w:name="_Toc31457"/>
      <w:bookmarkStart w:id="90" w:name="_Toc6461"/>
      <w:r>
        <w:rPr>
          <w:rFonts w:hint="eastAsia" w:cs="Times New Roman"/>
          <w:b/>
          <w:bCs/>
          <w:color w:val="auto"/>
          <w:sz w:val="28"/>
          <w:szCs w:val="28"/>
          <w:lang w:val="en-US" w:eastAsia="zh-CN"/>
        </w:rPr>
        <w:t>4</w:t>
      </w:r>
      <w:r>
        <w:rPr>
          <w:rFonts w:hint="eastAsia" w:ascii="Times New Roman" w:hAnsi="Times New Roman" w:cs="Times New Roman"/>
          <w:b/>
          <w:bCs/>
          <w:color w:val="auto"/>
          <w:sz w:val="28"/>
          <w:szCs w:val="28"/>
          <w:lang w:val="en-US" w:eastAsia="zh-CN"/>
        </w:rPr>
        <w:t>.1.2.1组织管理</w:t>
      </w:r>
      <w:bookmarkEnd w:id="88"/>
      <w:bookmarkEnd w:id="89"/>
      <w:bookmarkEnd w:id="90"/>
    </w:p>
    <w:p w14:paraId="18F84211">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1）</w:t>
      </w:r>
      <w:r>
        <w:rPr>
          <w:rFonts w:hint="eastAsia" w:ascii="Times New Roman" w:hAnsi="Times New Roman" w:cs="Times New Roman"/>
          <w:color w:val="auto"/>
          <w:sz w:val="24"/>
          <w:szCs w:val="24"/>
          <w:lang w:eastAsia="zh-CN"/>
        </w:rPr>
        <w:t>建立完备的生产管理层次；</w:t>
      </w:r>
    </w:p>
    <w:p w14:paraId="11C5E3E1">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（2）对生产操作工人、管理职工进行必要的资格审查，并组织进行上岗前的专业技术培训；</w:t>
      </w:r>
    </w:p>
    <w:p w14:paraId="00611DDB">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（3）聘请有资历有经验的专业技术人员负责厂内的技术管理工作；</w:t>
      </w:r>
    </w:p>
    <w:p w14:paraId="3974248D">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（4）制定健全的岗位负责制，安全操作规程等工厂管理规章制度。</w:t>
      </w:r>
    </w:p>
    <w:p w14:paraId="28CD9506">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3"/>
        <w:rPr>
          <w:rFonts w:hint="eastAsia" w:ascii="Times New Roman" w:hAnsi="Times New Roman" w:cs="Times New Roman"/>
          <w:b/>
          <w:bCs/>
          <w:color w:val="auto"/>
          <w:sz w:val="28"/>
          <w:szCs w:val="28"/>
          <w:lang w:val="en-US" w:eastAsia="zh-CN"/>
        </w:rPr>
      </w:pPr>
      <w:bookmarkStart w:id="91" w:name="_Toc30753"/>
      <w:bookmarkStart w:id="92" w:name="_Toc8487"/>
      <w:bookmarkStart w:id="93" w:name="_Toc30171"/>
      <w:r>
        <w:rPr>
          <w:rFonts w:hint="eastAsia" w:cs="Times New Roman"/>
          <w:b/>
          <w:bCs/>
          <w:color w:val="auto"/>
          <w:sz w:val="28"/>
          <w:szCs w:val="28"/>
          <w:lang w:val="en-US" w:eastAsia="zh-CN"/>
        </w:rPr>
        <w:t>4</w:t>
      </w:r>
      <w:r>
        <w:rPr>
          <w:rFonts w:hint="eastAsia" w:ascii="Times New Roman" w:hAnsi="Times New Roman" w:cs="Times New Roman"/>
          <w:b/>
          <w:bCs/>
          <w:color w:val="auto"/>
          <w:sz w:val="28"/>
          <w:szCs w:val="28"/>
          <w:lang w:val="en-US" w:eastAsia="zh-CN"/>
        </w:rPr>
        <w:t>.1.2.2技术管理</w:t>
      </w:r>
      <w:bookmarkEnd w:id="91"/>
      <w:bookmarkEnd w:id="92"/>
      <w:bookmarkEnd w:id="93"/>
    </w:p>
    <w:p w14:paraId="16D958F4">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1）</w:t>
      </w:r>
      <w:r>
        <w:rPr>
          <w:rFonts w:hint="eastAsia" w:ascii="Times New Roman" w:hAnsi="Times New Roman" w:cs="Times New Roman"/>
          <w:color w:val="auto"/>
          <w:sz w:val="24"/>
          <w:szCs w:val="24"/>
          <w:lang w:eastAsia="zh-CN"/>
        </w:rPr>
        <w:t>与环保部门监测污水系统水质，监督企业废水排放水质满足接管要求；</w:t>
      </w:r>
    </w:p>
    <w:p w14:paraId="7B5C291D">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2）</w:t>
      </w:r>
      <w:r>
        <w:rPr>
          <w:rFonts w:hint="eastAsia" w:ascii="Times New Roman" w:hAnsi="Times New Roman" w:cs="Times New Roman"/>
          <w:color w:val="auto"/>
          <w:sz w:val="24"/>
          <w:szCs w:val="24"/>
          <w:lang w:eastAsia="zh-CN"/>
        </w:rPr>
        <w:t>根据进厂水质、水量变化，调整运行条件，做好日常水质化验、分析，保存记录完整的各项资料；</w:t>
      </w:r>
    </w:p>
    <w:p w14:paraId="0C31019F">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3）</w:t>
      </w:r>
      <w:r>
        <w:rPr>
          <w:rFonts w:hint="eastAsia" w:ascii="Times New Roman" w:hAnsi="Times New Roman" w:cs="Times New Roman"/>
          <w:color w:val="auto"/>
          <w:sz w:val="24"/>
          <w:szCs w:val="24"/>
          <w:lang w:eastAsia="zh-CN"/>
        </w:rPr>
        <w:t>及时整理汇总、分析运行记录，建立运行技术档案；</w:t>
      </w:r>
    </w:p>
    <w:p w14:paraId="66C125B1">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4）</w:t>
      </w:r>
      <w:r>
        <w:rPr>
          <w:rFonts w:hint="eastAsia" w:ascii="Times New Roman" w:hAnsi="Times New Roman" w:cs="Times New Roman"/>
          <w:color w:val="auto"/>
          <w:sz w:val="24"/>
          <w:szCs w:val="24"/>
          <w:lang w:eastAsia="zh-CN"/>
        </w:rPr>
        <w:t>建立处理构筑物和设备的维护保养工作和维护记录的存档；</w:t>
      </w:r>
    </w:p>
    <w:p w14:paraId="268C8F82">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5）建立信息系统，定期总结运行经验。</w:t>
      </w:r>
    </w:p>
    <w:p w14:paraId="198DA169">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3"/>
        <w:rPr>
          <w:rFonts w:hint="eastAsia" w:ascii="Times New Roman" w:hAnsi="Times New Roman" w:cs="Times New Roman"/>
          <w:b/>
          <w:bCs/>
          <w:color w:val="auto"/>
          <w:sz w:val="28"/>
          <w:szCs w:val="28"/>
          <w:lang w:val="en-US" w:eastAsia="zh-CN"/>
        </w:rPr>
      </w:pPr>
      <w:bookmarkStart w:id="94" w:name="_Toc3736"/>
      <w:bookmarkStart w:id="95" w:name="_Toc15887"/>
      <w:bookmarkStart w:id="96" w:name="_Toc31830"/>
      <w:r>
        <w:rPr>
          <w:rFonts w:hint="eastAsia" w:cs="Times New Roman"/>
          <w:b/>
          <w:bCs/>
          <w:color w:val="auto"/>
          <w:sz w:val="28"/>
          <w:szCs w:val="28"/>
          <w:lang w:val="en-US" w:eastAsia="zh-CN"/>
        </w:rPr>
        <w:t>4</w:t>
      </w:r>
      <w:r>
        <w:rPr>
          <w:rFonts w:hint="eastAsia" w:ascii="Times New Roman" w:hAnsi="Times New Roman" w:cs="Times New Roman"/>
          <w:b/>
          <w:bCs/>
          <w:color w:val="auto"/>
          <w:sz w:val="28"/>
          <w:szCs w:val="28"/>
          <w:lang w:val="en-US" w:eastAsia="zh-CN"/>
        </w:rPr>
        <w:t>.1.2.3环境管理</w:t>
      </w:r>
      <w:bookmarkEnd w:id="94"/>
      <w:bookmarkEnd w:id="95"/>
      <w:bookmarkEnd w:id="96"/>
    </w:p>
    <w:p w14:paraId="0AF6F0BE">
      <w:pPr>
        <w:pStyle w:val="141"/>
        <w:spacing w:afterLines="0" w:line="360" w:lineRule="auto"/>
        <w:ind w:firstLine="480"/>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项目环境保护管理是建设单位、</w:t>
      </w:r>
      <w:r>
        <w:rPr>
          <w:rFonts w:hint="eastAsia" w:ascii="Times New Roman" w:hAnsi="Times New Roman" w:cs="Times New Roman"/>
          <w:color w:val="auto"/>
          <w:sz w:val="24"/>
          <w:szCs w:val="24"/>
          <w:lang w:val="en-US" w:eastAsia="zh-CN"/>
        </w:rPr>
        <w:t>运营</w:t>
      </w:r>
      <w:r>
        <w:rPr>
          <w:rFonts w:hint="eastAsia" w:ascii="Times New Roman" w:hAnsi="Times New Roman" w:cs="Times New Roman"/>
          <w:color w:val="auto"/>
          <w:sz w:val="24"/>
          <w:szCs w:val="24"/>
          <w:lang w:eastAsia="zh-CN"/>
        </w:rPr>
        <w:t>单位运行期必须遵守国家、省市的有关环境保护法规、标准，同时落实环境影响评价报告中拟定采取的减缓措施，并确保污水处理设施处于正常运行状态。环境管理计划应制定出机构的能力建设、执行各项防治措施的职责、实施进度、监测内容等方面。在项目运行期，接受省、市环境保护主管部门的监督和指导，并配合环境保护主管部门完成对项目建设的“三同时”审查。</w:t>
      </w:r>
    </w:p>
    <w:p w14:paraId="69C0D980">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2" w:firstLineChars="200"/>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1、营运期环境管理机构及职责</w:t>
      </w:r>
    </w:p>
    <w:p w14:paraId="64BA6957">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污水处理厂建立由厂长负责的环境管理机构，从上到下建立起环境目标责任制、岗位责任制。环境管理机构的基本职责为：</w:t>
      </w:r>
    </w:p>
    <w:p w14:paraId="63BC1DFF">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1）</w:t>
      </w:r>
      <w:r>
        <w:rPr>
          <w:rFonts w:hint="eastAsia" w:ascii="Times New Roman" w:hAnsi="Times New Roman" w:cs="Times New Roman"/>
          <w:color w:val="auto"/>
          <w:sz w:val="24"/>
          <w:szCs w:val="24"/>
          <w:lang w:eastAsia="zh-CN"/>
        </w:rPr>
        <w:t>宣传、组织贯彻国家有关环境保护的方针、政策、法令和条例，搞好范围内的环境保护工作；</w:t>
      </w:r>
    </w:p>
    <w:p w14:paraId="0F3909EB">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2）</w:t>
      </w:r>
      <w:r>
        <w:rPr>
          <w:rFonts w:hint="eastAsia" w:ascii="Times New Roman" w:hAnsi="Times New Roman" w:cs="Times New Roman"/>
          <w:color w:val="auto"/>
          <w:sz w:val="24"/>
          <w:szCs w:val="24"/>
          <w:lang w:eastAsia="zh-CN"/>
        </w:rPr>
        <w:t>执行上级主管部门建立的各种环境管理制度；</w:t>
      </w:r>
    </w:p>
    <w:p w14:paraId="06D21437">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3）</w:t>
      </w:r>
      <w:r>
        <w:rPr>
          <w:rFonts w:hint="eastAsia" w:ascii="Times New Roman" w:hAnsi="Times New Roman" w:cs="Times New Roman"/>
          <w:color w:val="auto"/>
          <w:sz w:val="24"/>
          <w:szCs w:val="24"/>
          <w:lang w:eastAsia="zh-CN"/>
        </w:rPr>
        <w:t>监督项目环保设施和设备的安装、调试和运行，保证“三同时”验收合格；</w:t>
      </w:r>
    </w:p>
    <w:p w14:paraId="1A7A8B5D">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4）</w:t>
      </w:r>
      <w:r>
        <w:rPr>
          <w:rFonts w:hint="eastAsia" w:ascii="Times New Roman" w:hAnsi="Times New Roman" w:cs="Times New Roman"/>
          <w:color w:val="auto"/>
          <w:sz w:val="24"/>
          <w:szCs w:val="24"/>
          <w:lang w:eastAsia="zh-CN"/>
        </w:rPr>
        <w:t>领导并组织项目运行期（包括非正常运行期）的环境监测工作，建立档案。依据核定的污染物排放总量控制指标和污染物排放标准来指导和规范污水处理厂各部门的运行管理；</w:t>
      </w:r>
    </w:p>
    <w:p w14:paraId="1BE88ED8">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5）</w:t>
      </w:r>
      <w:r>
        <w:rPr>
          <w:rFonts w:hint="eastAsia" w:ascii="Times New Roman" w:hAnsi="Times New Roman" w:cs="Times New Roman"/>
          <w:color w:val="auto"/>
          <w:sz w:val="24"/>
          <w:szCs w:val="24"/>
          <w:lang w:eastAsia="zh-CN"/>
        </w:rPr>
        <w:t>调查、处理污染事故与污染纠纷；</w:t>
      </w:r>
    </w:p>
    <w:p w14:paraId="42FEE7B6">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6）</w:t>
      </w:r>
      <w:r>
        <w:rPr>
          <w:rFonts w:hint="eastAsia" w:ascii="Times New Roman" w:hAnsi="Times New Roman" w:cs="Times New Roman"/>
          <w:color w:val="auto"/>
          <w:sz w:val="24"/>
          <w:szCs w:val="24"/>
          <w:lang w:eastAsia="zh-CN"/>
        </w:rPr>
        <w:t>开展环保教育、技术培训和学术交流活动，提高工作人员素质；</w:t>
      </w:r>
    </w:p>
    <w:p w14:paraId="610718E4">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val="en-US" w:eastAsia="zh-CN"/>
        </w:rPr>
        <w:t>（7）</w:t>
      </w:r>
      <w:r>
        <w:rPr>
          <w:rFonts w:hint="eastAsia" w:ascii="Times New Roman" w:hAnsi="Times New Roman" w:cs="Times New Roman"/>
          <w:color w:val="auto"/>
          <w:sz w:val="24"/>
          <w:szCs w:val="24"/>
          <w:lang w:eastAsia="zh-CN"/>
        </w:rPr>
        <w:t>对服务范围内的废水进行审计与监测是运行期环境管理的重要内容。应加强进厂水质和水量控制管理，对进入污水管网的排污单位的废水量和水质进行登记，与排污单位签订废水处理服务合同，规定各排污单位的废水排放量和排放水质。</w:t>
      </w:r>
    </w:p>
    <w:p w14:paraId="52F46279">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2" w:firstLineChars="200"/>
        <w:textAlignment w:val="auto"/>
        <w:rPr>
          <w:rFonts w:hint="eastAsia" w:ascii="Times New Roman" w:hAnsi="Times New Roman" w:cs="Times New Roman"/>
          <w:b/>
          <w:bCs/>
          <w:color w:val="auto"/>
          <w:sz w:val="24"/>
          <w:szCs w:val="24"/>
          <w:u w:val="none"/>
          <w:lang w:val="en-US" w:eastAsia="zh-CN"/>
        </w:rPr>
      </w:pPr>
      <w:r>
        <w:rPr>
          <w:rFonts w:hint="eastAsia" w:ascii="Times New Roman" w:hAnsi="Times New Roman" w:cs="Times New Roman"/>
          <w:b/>
          <w:bCs/>
          <w:color w:val="auto"/>
          <w:sz w:val="24"/>
          <w:szCs w:val="24"/>
          <w:u w:val="none"/>
          <w:lang w:val="en-US" w:eastAsia="zh-CN"/>
        </w:rPr>
        <w:t>2、排污口规范化建设及管理</w:t>
      </w:r>
    </w:p>
    <w:p w14:paraId="50BBF641">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u w:val="none"/>
          <w:lang w:eastAsia="zh-CN"/>
        </w:rPr>
      </w:pPr>
      <w:r>
        <w:rPr>
          <w:rFonts w:hint="eastAsia" w:ascii="Times New Roman" w:hAnsi="Times New Roman" w:cs="Times New Roman"/>
          <w:color w:val="auto"/>
          <w:sz w:val="24"/>
          <w:szCs w:val="24"/>
          <w:u w:val="none"/>
          <w:lang w:eastAsia="zh-CN"/>
        </w:rPr>
        <w:t>污水处理厂应根据国家有关标准和规范的要求，在管道前设置监测窗口，满足“便于采集样品、便于计量监测、便于日常现场监督检查”管理要求；</w:t>
      </w:r>
      <w:r>
        <w:rPr>
          <w:rFonts w:hint="eastAsia" w:ascii="Times New Roman" w:hAnsi="Times New Roman" w:cs="Times New Roman"/>
          <w:color w:val="auto"/>
          <w:sz w:val="24"/>
          <w:szCs w:val="24"/>
          <w:highlight w:val="none"/>
          <w:u w:val="none"/>
          <w:lang w:eastAsia="zh-CN"/>
        </w:rPr>
        <w:t>排污口入河处</w:t>
      </w:r>
      <w:r>
        <w:rPr>
          <w:rFonts w:hint="eastAsia" w:cs="Times New Roman"/>
          <w:color w:val="auto"/>
          <w:sz w:val="24"/>
          <w:szCs w:val="24"/>
          <w:highlight w:val="none"/>
          <w:u w:val="none"/>
          <w:lang w:eastAsia="zh-CN"/>
        </w:rPr>
        <w:t>应按照规范建立</w:t>
      </w:r>
      <w:r>
        <w:rPr>
          <w:rFonts w:hint="eastAsia" w:ascii="Times New Roman" w:hAnsi="Times New Roman" w:cs="Times New Roman"/>
          <w:color w:val="auto"/>
          <w:sz w:val="24"/>
          <w:szCs w:val="24"/>
          <w:highlight w:val="none"/>
          <w:u w:val="none"/>
          <w:lang w:eastAsia="zh-CN"/>
        </w:rPr>
        <w:t>标识牌，</w:t>
      </w:r>
      <w:r>
        <w:rPr>
          <w:rFonts w:hint="eastAsia" w:cs="Times New Roman"/>
          <w:color w:val="auto"/>
          <w:sz w:val="24"/>
          <w:szCs w:val="24"/>
          <w:highlight w:val="none"/>
          <w:u w:val="none"/>
          <w:lang w:eastAsia="zh-CN"/>
        </w:rPr>
        <w:t>保证</w:t>
      </w:r>
      <w:r>
        <w:rPr>
          <w:rFonts w:hint="eastAsia" w:ascii="Times New Roman" w:hAnsi="Times New Roman" w:cs="Times New Roman"/>
          <w:color w:val="auto"/>
          <w:sz w:val="24"/>
          <w:szCs w:val="24"/>
          <w:highlight w:val="none"/>
          <w:u w:val="none"/>
          <w:lang w:eastAsia="zh-CN"/>
        </w:rPr>
        <w:t>标识内容完整，须符合现阶段入河排污口标识化管理要求。</w:t>
      </w:r>
      <w:r>
        <w:rPr>
          <w:rFonts w:hint="eastAsia" w:ascii="Times New Roman" w:hAnsi="Times New Roman" w:cs="Times New Roman"/>
          <w:color w:val="auto"/>
          <w:sz w:val="24"/>
          <w:szCs w:val="24"/>
          <w:u w:val="none"/>
          <w:lang w:eastAsia="zh-CN"/>
        </w:rPr>
        <w:t>同时污水处理厂运营方应每年度将主要污染物种类、数量、浓度、排放去向、立标情况及设施运行情况记录于档案。</w:t>
      </w:r>
    </w:p>
    <w:p w14:paraId="69E3C332">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u w:val="none"/>
          <w:lang w:eastAsia="zh-CN"/>
        </w:rPr>
      </w:pPr>
      <w:r>
        <w:rPr>
          <w:rFonts w:hint="eastAsia" w:ascii="Times New Roman" w:hAnsi="Times New Roman" w:cs="Times New Roman"/>
          <w:color w:val="auto"/>
          <w:sz w:val="24"/>
          <w:szCs w:val="24"/>
          <w:u w:val="none"/>
          <w:lang w:eastAsia="zh-CN"/>
        </w:rPr>
        <w:t>按照《入河排污口管理技术导则》（SL532-2011）的规定，在排污口入河道处应设置醒目标志牌，实行排污口的立标管理，标准牌内容包括：</w:t>
      </w:r>
    </w:p>
    <w:p w14:paraId="32D4D0D7">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u w:val="none"/>
          <w:lang w:eastAsia="zh-CN"/>
        </w:rPr>
      </w:pPr>
      <w:r>
        <w:rPr>
          <w:rFonts w:hint="eastAsia" w:ascii="Times New Roman" w:hAnsi="Times New Roman" w:cs="Times New Roman"/>
          <w:color w:val="auto"/>
          <w:sz w:val="24"/>
          <w:szCs w:val="24"/>
          <w:u w:val="none"/>
          <w:lang w:eastAsia="zh-CN"/>
        </w:rPr>
        <w:t>（</w:t>
      </w:r>
      <w:r>
        <w:rPr>
          <w:rFonts w:hint="eastAsia" w:ascii="Times New Roman" w:hAnsi="Times New Roman" w:cs="Times New Roman"/>
          <w:color w:val="auto"/>
          <w:sz w:val="24"/>
          <w:szCs w:val="24"/>
          <w:u w:val="none"/>
          <w:lang w:val="en-US" w:eastAsia="zh-CN"/>
        </w:rPr>
        <w:t>1）</w:t>
      </w:r>
      <w:r>
        <w:rPr>
          <w:rFonts w:hint="eastAsia" w:ascii="Times New Roman" w:hAnsi="Times New Roman" w:cs="Times New Roman"/>
          <w:color w:val="auto"/>
          <w:sz w:val="24"/>
          <w:szCs w:val="24"/>
          <w:u w:val="none"/>
          <w:lang w:eastAsia="zh-CN"/>
        </w:rPr>
        <w:t>入河排污口编号；</w:t>
      </w:r>
    </w:p>
    <w:p w14:paraId="01D00A4D">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u w:val="none"/>
          <w:lang w:eastAsia="zh-CN"/>
        </w:rPr>
      </w:pPr>
      <w:r>
        <w:rPr>
          <w:rFonts w:hint="eastAsia" w:ascii="Times New Roman" w:hAnsi="Times New Roman" w:cs="Times New Roman"/>
          <w:color w:val="auto"/>
          <w:sz w:val="24"/>
          <w:szCs w:val="24"/>
          <w:u w:val="none"/>
          <w:lang w:eastAsia="zh-CN"/>
        </w:rPr>
        <w:t>（</w:t>
      </w:r>
      <w:r>
        <w:rPr>
          <w:rFonts w:hint="eastAsia" w:ascii="Times New Roman" w:hAnsi="Times New Roman" w:cs="Times New Roman"/>
          <w:color w:val="auto"/>
          <w:sz w:val="24"/>
          <w:szCs w:val="24"/>
          <w:u w:val="none"/>
          <w:lang w:val="en-US" w:eastAsia="zh-CN"/>
        </w:rPr>
        <w:t>2）</w:t>
      </w:r>
      <w:r>
        <w:rPr>
          <w:rFonts w:hint="eastAsia" w:ascii="Times New Roman" w:hAnsi="Times New Roman" w:cs="Times New Roman"/>
          <w:color w:val="auto"/>
          <w:sz w:val="24"/>
          <w:szCs w:val="24"/>
          <w:u w:val="none"/>
          <w:lang w:eastAsia="zh-CN"/>
        </w:rPr>
        <w:t>入河排污口名称；</w:t>
      </w:r>
    </w:p>
    <w:p w14:paraId="3984E0BF">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u w:val="none"/>
          <w:lang w:eastAsia="zh-CN"/>
        </w:rPr>
      </w:pPr>
      <w:r>
        <w:rPr>
          <w:rFonts w:hint="eastAsia" w:ascii="Times New Roman" w:hAnsi="Times New Roman" w:cs="Times New Roman"/>
          <w:color w:val="auto"/>
          <w:sz w:val="24"/>
          <w:szCs w:val="24"/>
          <w:u w:val="none"/>
          <w:lang w:eastAsia="zh-CN"/>
        </w:rPr>
        <w:t>（</w:t>
      </w:r>
      <w:r>
        <w:rPr>
          <w:rFonts w:hint="eastAsia" w:ascii="Times New Roman" w:hAnsi="Times New Roman" w:cs="Times New Roman"/>
          <w:color w:val="auto"/>
          <w:sz w:val="24"/>
          <w:szCs w:val="24"/>
          <w:u w:val="none"/>
          <w:lang w:val="en-US" w:eastAsia="zh-CN"/>
        </w:rPr>
        <w:t>3）</w:t>
      </w:r>
      <w:r>
        <w:rPr>
          <w:rFonts w:hint="eastAsia" w:ascii="Times New Roman" w:hAnsi="Times New Roman" w:cs="Times New Roman"/>
          <w:color w:val="auto"/>
          <w:sz w:val="24"/>
          <w:szCs w:val="24"/>
          <w:u w:val="none"/>
          <w:lang w:eastAsia="zh-CN"/>
        </w:rPr>
        <w:t>入河排污口地理位置及经纬度；</w:t>
      </w:r>
    </w:p>
    <w:p w14:paraId="66F4C196">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u w:val="none"/>
          <w:lang w:eastAsia="zh-CN"/>
        </w:rPr>
      </w:pPr>
      <w:r>
        <w:rPr>
          <w:rFonts w:hint="eastAsia" w:ascii="Times New Roman" w:hAnsi="Times New Roman" w:cs="Times New Roman"/>
          <w:color w:val="auto"/>
          <w:sz w:val="24"/>
          <w:szCs w:val="24"/>
          <w:u w:val="none"/>
          <w:lang w:eastAsia="zh-CN"/>
        </w:rPr>
        <w:t>（</w:t>
      </w:r>
      <w:r>
        <w:rPr>
          <w:rFonts w:hint="eastAsia" w:ascii="Times New Roman" w:hAnsi="Times New Roman" w:cs="Times New Roman"/>
          <w:color w:val="auto"/>
          <w:sz w:val="24"/>
          <w:szCs w:val="24"/>
          <w:u w:val="none"/>
          <w:lang w:val="en-US" w:eastAsia="zh-CN"/>
        </w:rPr>
        <w:t>4）</w:t>
      </w:r>
      <w:r>
        <w:rPr>
          <w:rFonts w:hint="eastAsia" w:ascii="Times New Roman" w:hAnsi="Times New Roman" w:cs="Times New Roman"/>
          <w:color w:val="auto"/>
          <w:sz w:val="24"/>
          <w:szCs w:val="24"/>
          <w:u w:val="none"/>
          <w:lang w:eastAsia="zh-CN"/>
        </w:rPr>
        <w:t>排入水功能区名称及水质保护目标；</w:t>
      </w:r>
    </w:p>
    <w:p w14:paraId="2AD6BDE2">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u w:val="none"/>
          <w:lang w:eastAsia="zh-CN"/>
        </w:rPr>
      </w:pPr>
      <w:r>
        <w:rPr>
          <w:rFonts w:hint="eastAsia" w:ascii="Times New Roman" w:hAnsi="Times New Roman" w:cs="Times New Roman"/>
          <w:color w:val="auto"/>
          <w:sz w:val="24"/>
          <w:szCs w:val="24"/>
          <w:u w:val="none"/>
          <w:lang w:eastAsia="zh-CN"/>
        </w:rPr>
        <w:t>（</w:t>
      </w:r>
      <w:r>
        <w:rPr>
          <w:rFonts w:hint="eastAsia" w:ascii="Times New Roman" w:hAnsi="Times New Roman" w:cs="Times New Roman"/>
          <w:color w:val="auto"/>
          <w:sz w:val="24"/>
          <w:szCs w:val="24"/>
          <w:u w:val="none"/>
          <w:lang w:val="en-US" w:eastAsia="zh-CN"/>
        </w:rPr>
        <w:t>5）</w:t>
      </w:r>
      <w:r>
        <w:rPr>
          <w:rFonts w:hint="eastAsia" w:ascii="Times New Roman" w:hAnsi="Times New Roman" w:cs="Times New Roman"/>
          <w:color w:val="auto"/>
          <w:sz w:val="24"/>
          <w:szCs w:val="24"/>
          <w:u w:val="none"/>
          <w:lang w:eastAsia="zh-CN"/>
        </w:rPr>
        <w:t>入河排污口设置单位；</w:t>
      </w:r>
    </w:p>
    <w:p w14:paraId="1C8BE3DD">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u w:val="none"/>
          <w:lang w:eastAsia="zh-CN"/>
        </w:rPr>
      </w:pPr>
      <w:r>
        <w:rPr>
          <w:rFonts w:hint="eastAsia" w:ascii="Times New Roman" w:hAnsi="Times New Roman" w:cs="Times New Roman"/>
          <w:color w:val="auto"/>
          <w:sz w:val="24"/>
          <w:szCs w:val="24"/>
          <w:u w:val="none"/>
          <w:lang w:eastAsia="zh-CN"/>
        </w:rPr>
        <w:t>（</w:t>
      </w:r>
      <w:r>
        <w:rPr>
          <w:rFonts w:hint="eastAsia" w:ascii="Times New Roman" w:hAnsi="Times New Roman" w:cs="Times New Roman"/>
          <w:color w:val="auto"/>
          <w:sz w:val="24"/>
          <w:szCs w:val="24"/>
          <w:u w:val="none"/>
          <w:lang w:val="en-US" w:eastAsia="zh-CN"/>
        </w:rPr>
        <w:t>6）</w:t>
      </w:r>
      <w:r>
        <w:rPr>
          <w:rFonts w:hint="eastAsia" w:ascii="Times New Roman" w:hAnsi="Times New Roman" w:cs="Times New Roman"/>
          <w:color w:val="auto"/>
          <w:sz w:val="24"/>
          <w:szCs w:val="24"/>
          <w:u w:val="none"/>
          <w:lang w:eastAsia="zh-CN"/>
        </w:rPr>
        <w:t>入河排污口设置审批单位及监督电话。</w:t>
      </w:r>
    </w:p>
    <w:p w14:paraId="727AFC00">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2" w:firstLineChars="200"/>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3、污水排放监控措施</w:t>
      </w:r>
    </w:p>
    <w:p w14:paraId="7BAC937F">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default" w:ascii="Times New Roman" w:hAnsi="Times New Roman"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（1）污水处理厂排污口监测</w:t>
      </w:r>
    </w:p>
    <w:p w14:paraId="0BB7EF1A">
      <w:pPr>
        <w:autoSpaceDE w:val="0"/>
        <w:autoSpaceDN w:val="0"/>
        <w:adjustRightInd w:val="0"/>
        <w:spacing w:line="360" w:lineRule="auto"/>
        <w:ind w:firstLine="480" w:firstLineChars="200"/>
        <w:rPr>
          <w:rFonts w:hint="eastAsia" w:ascii="Times New Roman" w:hAnsi="Times New Roman" w:cs="Times New Roman"/>
          <w:color w:val="auto"/>
          <w:sz w:val="24"/>
          <w:szCs w:val="24"/>
          <w:u w:val="single"/>
          <w:lang w:eastAsia="zh-CN"/>
        </w:rPr>
      </w:pPr>
      <w:r>
        <w:rPr>
          <w:rFonts w:hint="eastAsia" w:ascii="Times New Roman" w:hAnsi="Times New Roman" w:eastAsia="宋体" w:cs="Times New Roman"/>
          <w:bCs/>
          <w:color w:val="auto"/>
          <w:sz w:val="24"/>
          <w:u w:val="none"/>
        </w:rPr>
        <w:t>监测要求按照排污许可技术规范中《排污许可证申请与核发技术规范水处理（试行）》（HJ978-2018）</w:t>
      </w:r>
      <w:r>
        <w:rPr>
          <w:rFonts w:hint="eastAsia" w:cs="Times New Roman"/>
          <w:bCs/>
          <w:color w:val="auto"/>
          <w:sz w:val="24"/>
          <w:u w:val="none"/>
          <w:lang w:eastAsia="zh-CN"/>
        </w:rPr>
        <w:t>、</w:t>
      </w:r>
      <w:r>
        <w:rPr>
          <w:rFonts w:hint="eastAsia" w:ascii="Times New Roman" w:hAnsi="Times New Roman" w:eastAsia="宋体" w:cs="Times New Roman"/>
          <w:bCs/>
          <w:color w:val="auto"/>
          <w:sz w:val="24"/>
          <w:u w:val="none"/>
          <w:lang w:val="en-US" w:eastAsia="zh-CN"/>
        </w:rPr>
        <w:t>排污单位自行监测技术指南 水处理</w:t>
      </w:r>
      <w:r>
        <w:rPr>
          <w:rFonts w:hint="eastAsia" w:ascii="Times New Roman" w:hAnsi="Times New Roman" w:eastAsia="宋体" w:cs="Times New Roman"/>
          <w:bCs/>
          <w:color w:val="auto"/>
          <w:sz w:val="24"/>
          <w:szCs w:val="24"/>
          <w:u w:val="none"/>
          <w:lang w:val="en-US" w:eastAsia="zh-CN"/>
        </w:rPr>
        <w:t>（</w:t>
      </w:r>
      <w:r>
        <w:rPr>
          <w:rFonts w:hint="eastAsia" w:cs="Times New Roman"/>
          <w:b w:val="0"/>
          <w:bCs w:val="0"/>
          <w:color w:val="auto"/>
          <w:sz w:val="24"/>
          <w:szCs w:val="24"/>
          <w:u w:val="none"/>
          <w:lang w:val="en-US" w:eastAsia="zh-CN"/>
        </w:rPr>
        <w:t>HJ1083-2020）</w:t>
      </w:r>
      <w:r>
        <w:rPr>
          <w:rFonts w:hint="eastAsia" w:ascii="Times New Roman" w:hAnsi="Times New Roman" w:eastAsia="宋体" w:cs="Times New Roman"/>
          <w:bCs/>
          <w:color w:val="auto"/>
          <w:sz w:val="24"/>
          <w:u w:val="none"/>
        </w:rPr>
        <w:t>的要求进行</w:t>
      </w:r>
      <w:r>
        <w:rPr>
          <w:rFonts w:hint="eastAsia" w:cs="Times New Roman"/>
          <w:bCs/>
          <w:color w:val="auto"/>
          <w:sz w:val="24"/>
          <w:u w:val="none"/>
          <w:lang w:eastAsia="zh-CN"/>
        </w:rPr>
        <w:t>，本项目现已安装了在线监测设备，</w:t>
      </w:r>
      <w:r>
        <w:rPr>
          <w:rFonts w:hint="eastAsia" w:cs="Times New Roman"/>
          <w:bCs/>
          <w:color w:val="auto"/>
          <w:sz w:val="24"/>
          <w:u w:val="single"/>
          <w:lang w:eastAsia="zh-CN"/>
        </w:rPr>
        <w:t>对流量、化学需氧量、氨氮、总磷、总氮等因子实施在线监测</w:t>
      </w:r>
      <w:r>
        <w:rPr>
          <w:rFonts w:hint="eastAsia" w:ascii="Times New Roman" w:hAnsi="Times New Roman" w:cs="Times New Roman"/>
          <w:color w:val="auto"/>
          <w:sz w:val="24"/>
          <w:szCs w:val="24"/>
          <w:u w:val="single"/>
          <w:lang w:eastAsia="zh-CN"/>
        </w:rPr>
        <w:t>。监测点位、指标及频次按</w:t>
      </w:r>
      <w:r>
        <w:rPr>
          <w:rFonts w:hint="eastAsia" w:ascii="Times New Roman" w:hAnsi="Times New Roman" w:cs="Times New Roman"/>
          <w:color w:val="auto"/>
          <w:sz w:val="24"/>
          <w:szCs w:val="24"/>
          <w:u w:val="single"/>
          <w:lang w:val="en-US" w:eastAsia="zh-CN"/>
        </w:rPr>
        <w:t>下</w:t>
      </w:r>
      <w:r>
        <w:rPr>
          <w:rFonts w:hint="eastAsia" w:ascii="Times New Roman" w:hAnsi="Times New Roman" w:cs="Times New Roman"/>
          <w:color w:val="auto"/>
          <w:sz w:val="24"/>
          <w:szCs w:val="24"/>
          <w:u w:val="single"/>
          <w:lang w:eastAsia="zh-CN"/>
        </w:rPr>
        <w:t>表执行。</w:t>
      </w:r>
    </w:p>
    <w:p w14:paraId="46B86FF6">
      <w:pPr>
        <w:pStyle w:val="16"/>
        <w:adjustRightInd w:val="0"/>
        <w:snapToGrid w:val="0"/>
        <w:spacing w:line="360" w:lineRule="auto"/>
        <w:jc w:val="center"/>
        <w:rPr>
          <w:rFonts w:hint="eastAsia" w:ascii="Times New Roman" w:hAnsi="Times New Roman" w:eastAsia="宋"/>
          <w:b/>
          <w:color w:val="auto"/>
          <w:sz w:val="21"/>
          <w:szCs w:val="21"/>
          <w:highlight w:val="none"/>
          <w:u w:val="none"/>
        </w:rPr>
      </w:pPr>
      <w:r>
        <w:rPr>
          <w:rFonts w:hint="eastAsia" w:ascii="Times New Roman" w:hAnsi="Times New Roman" w:eastAsia="宋"/>
          <w:b/>
          <w:color w:val="auto"/>
          <w:sz w:val="21"/>
          <w:szCs w:val="21"/>
          <w:highlight w:val="none"/>
          <w:u w:val="none"/>
        </w:rPr>
        <w:t>表</w:t>
      </w:r>
      <w:r>
        <w:rPr>
          <w:rFonts w:hint="eastAsia" w:ascii="Times New Roman" w:hAnsi="Times New Roman" w:eastAsia="宋"/>
          <w:b/>
          <w:color w:val="auto"/>
          <w:sz w:val="21"/>
          <w:szCs w:val="21"/>
          <w:highlight w:val="none"/>
          <w:u w:val="none"/>
          <w:lang w:val="en-US" w:eastAsia="zh-CN"/>
        </w:rPr>
        <w:t>4.1-1</w:t>
      </w:r>
      <w:r>
        <w:rPr>
          <w:rFonts w:hint="eastAsia" w:ascii="Times New Roman" w:hAnsi="Times New Roman" w:eastAsia="宋"/>
          <w:b/>
          <w:color w:val="auto"/>
          <w:sz w:val="21"/>
          <w:szCs w:val="21"/>
          <w:highlight w:val="none"/>
          <w:u w:val="none"/>
        </w:rPr>
        <w:t xml:space="preserve"> </w:t>
      </w:r>
      <w:r>
        <w:rPr>
          <w:rFonts w:hint="eastAsia" w:ascii="Times New Roman" w:hAnsi="Times New Roman" w:eastAsia="宋"/>
          <w:b/>
          <w:color w:val="auto"/>
          <w:sz w:val="21"/>
          <w:szCs w:val="21"/>
          <w:highlight w:val="none"/>
          <w:u w:val="none"/>
          <w:lang w:val="en-US" w:eastAsia="zh-CN"/>
        </w:rPr>
        <w:t xml:space="preserve"> </w:t>
      </w:r>
      <w:r>
        <w:rPr>
          <w:rFonts w:hint="eastAsia" w:ascii="Times New Roman" w:hAnsi="Times New Roman" w:eastAsia="宋"/>
          <w:b/>
          <w:color w:val="auto"/>
          <w:sz w:val="21"/>
          <w:szCs w:val="21"/>
          <w:highlight w:val="none"/>
          <w:u w:val="none"/>
        </w:rPr>
        <w:t>排污口监测指标及最低监测频次</w:t>
      </w:r>
    </w:p>
    <w:tbl>
      <w:tblPr>
        <w:tblStyle w:val="32"/>
        <w:tblW w:w="9071"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083"/>
        <w:gridCol w:w="6495"/>
        <w:gridCol w:w="1493"/>
      </w:tblGrid>
      <w:tr w14:paraId="605C7AB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1083" w:type="dxa"/>
            <w:tcBorders>
              <w:tl2br w:val="nil"/>
              <w:tr2bl w:val="nil"/>
            </w:tcBorders>
            <w:vAlign w:val="center"/>
          </w:tcPr>
          <w:p w14:paraId="41665BCB">
            <w:pPr>
              <w:spacing w:line="240" w:lineRule="auto"/>
              <w:ind w:firstLine="0" w:firstLineChars="0"/>
              <w:jc w:val="center"/>
              <w:rPr>
                <w:rFonts w:hint="eastAsia"/>
                <w:color w:val="auto"/>
                <w:sz w:val="21"/>
                <w:szCs w:val="21"/>
                <w:u w:val="none"/>
              </w:rPr>
            </w:pPr>
            <w:r>
              <w:rPr>
                <w:rFonts w:hint="eastAsia"/>
                <w:color w:val="auto"/>
                <w:sz w:val="21"/>
                <w:szCs w:val="21"/>
                <w:u w:val="none"/>
              </w:rPr>
              <w:t>监测点位</w:t>
            </w:r>
          </w:p>
        </w:tc>
        <w:tc>
          <w:tcPr>
            <w:tcW w:w="6495" w:type="dxa"/>
            <w:tcBorders>
              <w:tl2br w:val="nil"/>
              <w:tr2bl w:val="nil"/>
            </w:tcBorders>
            <w:vAlign w:val="center"/>
          </w:tcPr>
          <w:p w14:paraId="01705AB1">
            <w:pPr>
              <w:spacing w:line="240" w:lineRule="auto"/>
              <w:ind w:firstLine="0" w:firstLineChars="0"/>
              <w:jc w:val="center"/>
              <w:rPr>
                <w:color w:val="auto"/>
                <w:sz w:val="21"/>
                <w:szCs w:val="21"/>
                <w:u w:val="none"/>
              </w:rPr>
            </w:pPr>
            <w:r>
              <w:rPr>
                <w:rFonts w:hint="eastAsia"/>
                <w:color w:val="auto"/>
                <w:sz w:val="21"/>
                <w:szCs w:val="21"/>
                <w:u w:val="none"/>
              </w:rPr>
              <w:t>监测指标</w:t>
            </w:r>
          </w:p>
        </w:tc>
        <w:tc>
          <w:tcPr>
            <w:tcW w:w="1493" w:type="dxa"/>
            <w:tcBorders>
              <w:tl2br w:val="nil"/>
              <w:tr2bl w:val="nil"/>
            </w:tcBorders>
            <w:vAlign w:val="center"/>
          </w:tcPr>
          <w:p w14:paraId="1210875B">
            <w:pPr>
              <w:spacing w:line="240" w:lineRule="auto"/>
              <w:ind w:firstLine="0" w:firstLineChars="0"/>
              <w:jc w:val="center"/>
              <w:rPr>
                <w:rFonts w:hint="eastAsia"/>
                <w:color w:val="auto"/>
                <w:sz w:val="21"/>
                <w:szCs w:val="21"/>
                <w:u w:val="none"/>
              </w:rPr>
            </w:pPr>
            <w:r>
              <w:rPr>
                <w:rFonts w:hint="eastAsia"/>
                <w:color w:val="auto"/>
                <w:sz w:val="21"/>
                <w:szCs w:val="21"/>
                <w:u w:val="none"/>
              </w:rPr>
              <w:t>监测频次</w:t>
            </w:r>
          </w:p>
        </w:tc>
      </w:tr>
      <w:tr w14:paraId="1E84F4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3" w:type="dxa"/>
            <w:vMerge w:val="restart"/>
            <w:tcBorders>
              <w:tl2br w:val="nil"/>
              <w:tr2bl w:val="nil"/>
            </w:tcBorders>
            <w:vAlign w:val="center"/>
          </w:tcPr>
          <w:p w14:paraId="046373E1">
            <w:pPr>
              <w:spacing w:line="240" w:lineRule="auto"/>
              <w:ind w:firstLine="0" w:firstLineChars="0"/>
              <w:jc w:val="center"/>
              <w:rPr>
                <w:rFonts w:hint="eastAsia"/>
                <w:color w:val="auto"/>
                <w:sz w:val="21"/>
                <w:szCs w:val="21"/>
                <w:u w:val="none"/>
              </w:rPr>
            </w:pPr>
            <w:r>
              <w:rPr>
                <w:rFonts w:hint="eastAsia"/>
                <w:color w:val="auto"/>
                <w:sz w:val="21"/>
                <w:szCs w:val="21"/>
                <w:u w:val="none"/>
              </w:rPr>
              <w:t>排污口</w:t>
            </w:r>
          </w:p>
        </w:tc>
        <w:tc>
          <w:tcPr>
            <w:tcW w:w="6495" w:type="dxa"/>
            <w:tcBorders>
              <w:tl2br w:val="nil"/>
              <w:tr2bl w:val="nil"/>
            </w:tcBorders>
            <w:vAlign w:val="center"/>
          </w:tcPr>
          <w:p w14:paraId="56304BE1">
            <w:pPr>
              <w:spacing w:line="240" w:lineRule="auto"/>
              <w:ind w:firstLine="0" w:firstLineChars="0"/>
              <w:jc w:val="center"/>
              <w:rPr>
                <w:color w:val="auto"/>
                <w:sz w:val="21"/>
                <w:szCs w:val="21"/>
                <w:u w:val="single"/>
              </w:rPr>
            </w:pPr>
            <w:r>
              <w:rPr>
                <w:rFonts w:hint="eastAsia"/>
                <w:color w:val="auto"/>
                <w:sz w:val="21"/>
                <w:szCs w:val="21"/>
                <w:u w:val="single"/>
              </w:rPr>
              <w:t>流量、</w:t>
            </w:r>
            <w:r>
              <w:rPr>
                <w:rFonts w:hint="default" w:ascii="Times New Roman" w:hAnsi="Times New Roman" w:cs="Times New Roman"/>
                <w:color w:val="auto"/>
                <w:sz w:val="21"/>
                <w:szCs w:val="21"/>
                <w:u w:val="single"/>
              </w:rPr>
              <w:t>pH</w:t>
            </w:r>
            <w:r>
              <w:rPr>
                <w:rFonts w:hint="eastAsia"/>
                <w:color w:val="auto"/>
                <w:sz w:val="21"/>
                <w:szCs w:val="21"/>
                <w:u w:val="single"/>
              </w:rPr>
              <w:t>值、水温、化学需氧量、氨氮、总磷、总氮</w:t>
            </w:r>
          </w:p>
        </w:tc>
        <w:tc>
          <w:tcPr>
            <w:tcW w:w="1493" w:type="dxa"/>
            <w:tcBorders>
              <w:tl2br w:val="nil"/>
              <w:tr2bl w:val="nil"/>
            </w:tcBorders>
            <w:vAlign w:val="center"/>
          </w:tcPr>
          <w:p w14:paraId="6AA9680B">
            <w:pPr>
              <w:spacing w:line="240" w:lineRule="auto"/>
              <w:ind w:firstLine="0" w:firstLineChars="0"/>
              <w:jc w:val="center"/>
              <w:rPr>
                <w:rFonts w:hint="eastAsia"/>
                <w:color w:val="auto"/>
                <w:sz w:val="21"/>
                <w:szCs w:val="21"/>
                <w:u w:val="single"/>
              </w:rPr>
            </w:pPr>
            <w:r>
              <w:rPr>
                <w:rFonts w:hint="eastAsia"/>
                <w:color w:val="auto"/>
                <w:sz w:val="21"/>
                <w:szCs w:val="21"/>
                <w:u w:val="single"/>
              </w:rPr>
              <w:t>自动监测</w:t>
            </w:r>
          </w:p>
        </w:tc>
      </w:tr>
      <w:tr w14:paraId="5A095CC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3" w:type="dxa"/>
            <w:vMerge w:val="continue"/>
            <w:tcBorders>
              <w:tl2br w:val="nil"/>
              <w:tr2bl w:val="nil"/>
            </w:tcBorders>
            <w:vAlign w:val="center"/>
          </w:tcPr>
          <w:p w14:paraId="05EE3085">
            <w:pPr>
              <w:spacing w:line="240" w:lineRule="auto"/>
              <w:jc w:val="center"/>
              <w:rPr>
                <w:color w:val="auto"/>
                <w:sz w:val="21"/>
                <w:szCs w:val="21"/>
                <w:u w:val="none"/>
              </w:rPr>
            </w:pPr>
          </w:p>
        </w:tc>
        <w:tc>
          <w:tcPr>
            <w:tcW w:w="6495" w:type="dxa"/>
            <w:tcBorders>
              <w:tl2br w:val="nil"/>
              <w:tr2bl w:val="nil"/>
            </w:tcBorders>
            <w:vAlign w:val="center"/>
          </w:tcPr>
          <w:p w14:paraId="5291687A">
            <w:pPr>
              <w:spacing w:line="240" w:lineRule="auto"/>
              <w:ind w:firstLine="0" w:firstLineChars="0"/>
              <w:jc w:val="center"/>
              <w:rPr>
                <w:color w:val="auto"/>
                <w:sz w:val="21"/>
                <w:szCs w:val="21"/>
                <w:u w:val="none"/>
              </w:rPr>
            </w:pPr>
            <w:r>
              <w:rPr>
                <w:rFonts w:hint="eastAsia"/>
                <w:color w:val="auto"/>
                <w:sz w:val="21"/>
                <w:szCs w:val="21"/>
                <w:u w:val="none"/>
              </w:rPr>
              <w:t>悬浮物、色度、五日生化需氧量、动植物油、石油类、阴离子表面活性剂、粪大肠菌群</w:t>
            </w:r>
          </w:p>
        </w:tc>
        <w:tc>
          <w:tcPr>
            <w:tcW w:w="1493" w:type="dxa"/>
            <w:tcBorders>
              <w:tl2br w:val="nil"/>
              <w:tr2bl w:val="nil"/>
            </w:tcBorders>
            <w:vAlign w:val="center"/>
          </w:tcPr>
          <w:p w14:paraId="1700EEF2">
            <w:pPr>
              <w:spacing w:line="240" w:lineRule="auto"/>
              <w:ind w:firstLine="0" w:firstLineChars="0"/>
              <w:jc w:val="center"/>
              <w:rPr>
                <w:color w:val="auto"/>
                <w:sz w:val="21"/>
                <w:szCs w:val="21"/>
                <w:u w:val="none"/>
              </w:rPr>
            </w:pPr>
            <w:r>
              <w:rPr>
                <w:rFonts w:hint="eastAsia"/>
                <w:color w:val="auto"/>
                <w:sz w:val="21"/>
                <w:szCs w:val="21"/>
                <w:u w:val="none"/>
              </w:rPr>
              <w:t>季度</w:t>
            </w:r>
          </w:p>
        </w:tc>
      </w:tr>
      <w:tr w14:paraId="56924E8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3" w:type="dxa"/>
            <w:vMerge w:val="continue"/>
            <w:tcBorders>
              <w:tl2br w:val="nil"/>
              <w:tr2bl w:val="nil"/>
            </w:tcBorders>
            <w:vAlign w:val="center"/>
          </w:tcPr>
          <w:p w14:paraId="3EB4B5A4">
            <w:pPr>
              <w:spacing w:line="240" w:lineRule="auto"/>
              <w:jc w:val="center"/>
              <w:rPr>
                <w:color w:val="auto"/>
                <w:sz w:val="21"/>
                <w:szCs w:val="21"/>
                <w:u w:val="none"/>
              </w:rPr>
            </w:pPr>
          </w:p>
        </w:tc>
        <w:tc>
          <w:tcPr>
            <w:tcW w:w="6495" w:type="dxa"/>
            <w:tcBorders>
              <w:tl2br w:val="nil"/>
              <w:tr2bl w:val="nil"/>
            </w:tcBorders>
            <w:vAlign w:val="center"/>
          </w:tcPr>
          <w:p w14:paraId="6096363F">
            <w:pPr>
              <w:spacing w:line="240" w:lineRule="auto"/>
              <w:ind w:firstLine="0" w:firstLineChars="0"/>
              <w:jc w:val="center"/>
              <w:rPr>
                <w:color w:val="auto"/>
                <w:sz w:val="21"/>
                <w:szCs w:val="21"/>
                <w:u w:val="none"/>
              </w:rPr>
            </w:pPr>
            <w:r>
              <w:rPr>
                <w:rFonts w:hint="eastAsia"/>
                <w:color w:val="auto"/>
                <w:sz w:val="21"/>
                <w:szCs w:val="21"/>
                <w:u w:val="none"/>
              </w:rPr>
              <w:t>总镉、总铬、总汞、总铅、总砷、六价铬</w:t>
            </w:r>
          </w:p>
        </w:tc>
        <w:tc>
          <w:tcPr>
            <w:tcW w:w="1493" w:type="dxa"/>
            <w:tcBorders>
              <w:tl2br w:val="nil"/>
              <w:tr2bl w:val="nil"/>
            </w:tcBorders>
            <w:vAlign w:val="center"/>
          </w:tcPr>
          <w:p w14:paraId="1CDBFD8E">
            <w:pPr>
              <w:spacing w:line="240" w:lineRule="auto"/>
              <w:ind w:firstLine="0" w:firstLineChars="0"/>
              <w:jc w:val="center"/>
              <w:rPr>
                <w:color w:val="auto"/>
                <w:sz w:val="21"/>
                <w:szCs w:val="21"/>
                <w:u w:val="none"/>
              </w:rPr>
            </w:pPr>
            <w:r>
              <w:rPr>
                <w:rFonts w:hint="eastAsia"/>
                <w:color w:val="auto"/>
                <w:sz w:val="21"/>
                <w:szCs w:val="21"/>
                <w:u w:val="none"/>
              </w:rPr>
              <w:t>半年</w:t>
            </w:r>
          </w:p>
        </w:tc>
      </w:tr>
      <w:tr w14:paraId="6BB299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3" w:type="dxa"/>
            <w:vMerge w:val="continue"/>
            <w:tcBorders>
              <w:tl2br w:val="nil"/>
              <w:tr2bl w:val="nil"/>
            </w:tcBorders>
            <w:vAlign w:val="center"/>
          </w:tcPr>
          <w:p w14:paraId="104498C9">
            <w:pPr>
              <w:spacing w:line="240" w:lineRule="auto"/>
              <w:jc w:val="center"/>
              <w:rPr>
                <w:color w:val="auto"/>
                <w:sz w:val="21"/>
                <w:szCs w:val="21"/>
                <w:u w:val="none"/>
              </w:rPr>
            </w:pPr>
          </w:p>
        </w:tc>
        <w:tc>
          <w:tcPr>
            <w:tcW w:w="6495" w:type="dxa"/>
            <w:tcBorders>
              <w:tl2br w:val="nil"/>
              <w:tr2bl w:val="nil"/>
            </w:tcBorders>
            <w:vAlign w:val="center"/>
          </w:tcPr>
          <w:p w14:paraId="35D10C44">
            <w:pPr>
              <w:spacing w:line="240" w:lineRule="auto"/>
              <w:ind w:firstLine="0" w:firstLineChars="0"/>
              <w:jc w:val="center"/>
              <w:rPr>
                <w:rFonts w:hint="eastAsia"/>
                <w:color w:val="auto"/>
                <w:sz w:val="21"/>
                <w:szCs w:val="21"/>
                <w:u w:val="none"/>
              </w:rPr>
            </w:pPr>
            <w:r>
              <w:rPr>
                <w:rFonts w:hint="eastAsia"/>
                <w:color w:val="auto"/>
                <w:sz w:val="21"/>
                <w:szCs w:val="21"/>
                <w:u w:val="none"/>
              </w:rPr>
              <w:t>烷基汞</w:t>
            </w:r>
          </w:p>
        </w:tc>
        <w:tc>
          <w:tcPr>
            <w:tcW w:w="1493" w:type="dxa"/>
            <w:tcBorders>
              <w:tl2br w:val="nil"/>
              <w:tr2bl w:val="nil"/>
            </w:tcBorders>
            <w:vAlign w:val="center"/>
          </w:tcPr>
          <w:p w14:paraId="5A9C6516">
            <w:pPr>
              <w:spacing w:line="240" w:lineRule="auto"/>
              <w:ind w:firstLine="0" w:firstLineChars="0"/>
              <w:jc w:val="center"/>
              <w:rPr>
                <w:color w:val="auto"/>
                <w:sz w:val="21"/>
                <w:szCs w:val="21"/>
                <w:u w:val="none"/>
              </w:rPr>
            </w:pPr>
            <w:r>
              <w:rPr>
                <w:rFonts w:hint="eastAsia"/>
                <w:color w:val="auto"/>
                <w:sz w:val="21"/>
                <w:szCs w:val="21"/>
                <w:u w:val="none"/>
              </w:rPr>
              <w:t>半年</w:t>
            </w:r>
          </w:p>
        </w:tc>
      </w:tr>
      <w:tr w14:paraId="7ED1EA1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3" w:type="dxa"/>
            <w:vMerge w:val="continue"/>
            <w:tcBorders>
              <w:tl2br w:val="nil"/>
              <w:tr2bl w:val="nil"/>
            </w:tcBorders>
            <w:vAlign w:val="center"/>
          </w:tcPr>
          <w:p w14:paraId="2774640E">
            <w:pPr>
              <w:spacing w:line="240" w:lineRule="auto"/>
              <w:jc w:val="center"/>
              <w:rPr>
                <w:color w:val="auto"/>
                <w:sz w:val="21"/>
                <w:szCs w:val="21"/>
                <w:u w:val="none"/>
              </w:rPr>
            </w:pPr>
          </w:p>
        </w:tc>
        <w:tc>
          <w:tcPr>
            <w:tcW w:w="6495" w:type="dxa"/>
            <w:tcBorders>
              <w:tl2br w:val="nil"/>
              <w:tr2bl w:val="nil"/>
            </w:tcBorders>
            <w:vAlign w:val="center"/>
          </w:tcPr>
          <w:p w14:paraId="62FE5B96">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GB 18918的表3中纳入许可的指标</w:t>
            </w:r>
          </w:p>
        </w:tc>
        <w:tc>
          <w:tcPr>
            <w:tcW w:w="1493" w:type="dxa"/>
            <w:tcBorders>
              <w:tl2br w:val="nil"/>
              <w:tr2bl w:val="nil"/>
            </w:tcBorders>
            <w:vAlign w:val="center"/>
          </w:tcPr>
          <w:p w14:paraId="726DF78A">
            <w:pPr>
              <w:spacing w:line="240" w:lineRule="auto"/>
              <w:ind w:firstLine="0" w:firstLineChars="0"/>
              <w:jc w:val="center"/>
              <w:rPr>
                <w:rFonts w:hint="eastAsia" w:eastAsia="宋体"/>
                <w:color w:val="auto"/>
                <w:sz w:val="21"/>
                <w:szCs w:val="21"/>
                <w:u w:val="none"/>
                <w:lang w:eastAsia="zh-CN"/>
              </w:rPr>
            </w:pPr>
            <w:r>
              <w:rPr>
                <w:rFonts w:hint="eastAsia"/>
                <w:color w:val="auto"/>
                <w:sz w:val="21"/>
                <w:szCs w:val="21"/>
                <w:u w:val="none"/>
                <w:lang w:eastAsia="zh-CN"/>
              </w:rPr>
              <w:t>半年</w:t>
            </w:r>
          </w:p>
        </w:tc>
      </w:tr>
      <w:tr w14:paraId="658869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3" w:type="dxa"/>
            <w:vMerge w:val="continue"/>
            <w:tcBorders>
              <w:tl2br w:val="nil"/>
              <w:tr2bl w:val="nil"/>
            </w:tcBorders>
            <w:vAlign w:val="center"/>
          </w:tcPr>
          <w:p w14:paraId="66D459AA">
            <w:pPr>
              <w:spacing w:line="240" w:lineRule="auto"/>
              <w:jc w:val="center"/>
              <w:rPr>
                <w:color w:val="auto"/>
                <w:sz w:val="21"/>
                <w:szCs w:val="21"/>
                <w:u w:val="none"/>
              </w:rPr>
            </w:pPr>
          </w:p>
        </w:tc>
        <w:tc>
          <w:tcPr>
            <w:tcW w:w="6495" w:type="dxa"/>
            <w:tcBorders>
              <w:tl2br w:val="nil"/>
              <w:tr2bl w:val="nil"/>
            </w:tcBorders>
            <w:vAlign w:val="center"/>
          </w:tcPr>
          <w:p w14:paraId="7C25016F">
            <w:pPr>
              <w:spacing w:line="240" w:lineRule="auto"/>
              <w:ind w:firstLine="0" w:firstLineChars="0"/>
              <w:jc w:val="center"/>
              <w:rPr>
                <w:rFonts w:hint="eastAsia" w:eastAsia="宋体"/>
                <w:color w:val="auto"/>
                <w:sz w:val="21"/>
                <w:szCs w:val="21"/>
                <w:u w:val="none"/>
                <w:lang w:eastAsia="zh-CN"/>
              </w:rPr>
            </w:pPr>
            <w:r>
              <w:rPr>
                <w:rFonts w:hint="eastAsia"/>
                <w:color w:val="auto"/>
                <w:sz w:val="21"/>
                <w:szCs w:val="21"/>
                <w:u w:val="none"/>
                <w:lang w:eastAsia="zh-CN"/>
              </w:rPr>
              <w:t>其他污染物</w:t>
            </w:r>
          </w:p>
        </w:tc>
        <w:tc>
          <w:tcPr>
            <w:tcW w:w="1493" w:type="dxa"/>
            <w:tcBorders>
              <w:tl2br w:val="nil"/>
              <w:tr2bl w:val="nil"/>
            </w:tcBorders>
            <w:vAlign w:val="center"/>
          </w:tcPr>
          <w:p w14:paraId="3532101C">
            <w:pPr>
              <w:spacing w:line="240" w:lineRule="auto"/>
              <w:ind w:firstLine="0" w:firstLineChars="0"/>
              <w:jc w:val="center"/>
              <w:rPr>
                <w:rFonts w:hint="eastAsia" w:eastAsia="宋体"/>
                <w:color w:val="auto"/>
                <w:sz w:val="21"/>
                <w:szCs w:val="21"/>
                <w:u w:val="none"/>
                <w:lang w:eastAsia="zh-CN"/>
              </w:rPr>
            </w:pPr>
            <w:r>
              <w:rPr>
                <w:rFonts w:hint="eastAsia"/>
                <w:color w:val="auto"/>
                <w:sz w:val="21"/>
                <w:szCs w:val="21"/>
                <w:u w:val="none"/>
                <w:lang w:eastAsia="zh-CN"/>
              </w:rPr>
              <w:t>两年</w:t>
            </w:r>
          </w:p>
        </w:tc>
      </w:tr>
      <w:tr w14:paraId="6A08F0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083" w:type="dxa"/>
            <w:tcBorders>
              <w:tl2br w:val="nil"/>
              <w:tr2bl w:val="nil"/>
            </w:tcBorders>
            <w:vAlign w:val="center"/>
          </w:tcPr>
          <w:p w14:paraId="0266B480">
            <w:pPr>
              <w:spacing w:line="240" w:lineRule="auto"/>
              <w:jc w:val="center"/>
              <w:rPr>
                <w:rFonts w:hint="eastAsia" w:eastAsia="宋体"/>
                <w:color w:val="auto"/>
                <w:sz w:val="21"/>
                <w:szCs w:val="21"/>
                <w:u w:val="none"/>
                <w:lang w:eastAsia="zh-CN"/>
              </w:rPr>
            </w:pPr>
            <w:r>
              <w:rPr>
                <w:rFonts w:hint="eastAsia"/>
                <w:color w:val="auto"/>
                <w:sz w:val="21"/>
                <w:szCs w:val="21"/>
                <w:u w:val="none"/>
                <w:lang w:eastAsia="zh-CN"/>
              </w:rPr>
              <w:t>雨水排放口</w:t>
            </w:r>
          </w:p>
        </w:tc>
        <w:tc>
          <w:tcPr>
            <w:tcW w:w="6495" w:type="dxa"/>
            <w:tcBorders>
              <w:tl2br w:val="nil"/>
              <w:tr2bl w:val="nil"/>
            </w:tcBorders>
            <w:vAlign w:val="center"/>
          </w:tcPr>
          <w:p w14:paraId="6BCE2B78">
            <w:pPr>
              <w:spacing w:line="240" w:lineRule="auto"/>
              <w:ind w:firstLine="0" w:firstLineChars="0"/>
              <w:jc w:val="center"/>
              <w:rPr>
                <w:rFonts w:hint="default" w:eastAsia="宋体"/>
                <w:color w:val="auto"/>
                <w:sz w:val="21"/>
                <w:szCs w:val="21"/>
                <w:u w:val="none"/>
                <w:lang w:val="en-US" w:eastAsia="zh-CN"/>
              </w:rPr>
            </w:pPr>
            <w:r>
              <w:rPr>
                <w:rFonts w:hint="eastAsia"/>
                <w:color w:val="auto"/>
                <w:sz w:val="21"/>
                <w:szCs w:val="21"/>
                <w:u w:val="none"/>
                <w:lang w:val="en-US" w:eastAsia="zh-CN"/>
              </w:rPr>
              <w:t>pH值、化学需氧量、氨氮、悬浮物</w:t>
            </w:r>
          </w:p>
        </w:tc>
        <w:tc>
          <w:tcPr>
            <w:tcW w:w="1493" w:type="dxa"/>
            <w:tcBorders>
              <w:tl2br w:val="nil"/>
              <w:tr2bl w:val="nil"/>
            </w:tcBorders>
            <w:vAlign w:val="center"/>
          </w:tcPr>
          <w:p w14:paraId="2A44DEE1">
            <w:pPr>
              <w:spacing w:line="240" w:lineRule="auto"/>
              <w:ind w:firstLine="0" w:firstLineChars="0"/>
              <w:jc w:val="center"/>
              <w:rPr>
                <w:rFonts w:hint="eastAsia" w:eastAsia="宋体"/>
                <w:color w:val="auto"/>
                <w:sz w:val="21"/>
                <w:szCs w:val="21"/>
                <w:u w:val="none"/>
                <w:lang w:eastAsia="zh-CN"/>
              </w:rPr>
            </w:pPr>
            <w:r>
              <w:rPr>
                <w:rFonts w:hint="eastAsia"/>
                <w:color w:val="auto"/>
                <w:sz w:val="21"/>
                <w:szCs w:val="21"/>
                <w:u w:val="none"/>
                <w:lang w:eastAsia="zh-CN"/>
              </w:rPr>
              <w:t>月</w:t>
            </w:r>
          </w:p>
        </w:tc>
      </w:tr>
    </w:tbl>
    <w:p w14:paraId="6B80C4D9">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此外，本报告从污水处理厂运营对水环境影响的长期考虑，提出如下建议：</w:t>
      </w:r>
    </w:p>
    <w:p w14:paraId="7F036AB5">
      <w:pPr>
        <w:pStyle w:val="141"/>
        <w:keepNext w:val="0"/>
        <w:keepLines w:val="0"/>
        <w:pageBreakBefore w:val="0"/>
        <w:widowControl w:val="0"/>
        <w:numPr>
          <w:ilvl w:val="0"/>
          <w:numId w:val="5"/>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在发现污水处理厂处理废水水质异常的情况下应立即告知当地生态环境主管部门，并做好相应的取样留样、应急监测的准备。同时启动相应的应急预案。</w:t>
      </w:r>
    </w:p>
    <w:p w14:paraId="501D01E5">
      <w:pPr>
        <w:pStyle w:val="141"/>
        <w:keepNext w:val="0"/>
        <w:keepLines w:val="0"/>
        <w:pageBreakBefore w:val="0"/>
        <w:widowControl w:val="0"/>
        <w:numPr>
          <w:ilvl w:val="0"/>
          <w:numId w:val="5"/>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定期开展内部化验员培训，提高检测精度。</w:t>
      </w:r>
    </w:p>
    <w:p w14:paraId="152C42E7">
      <w:pPr>
        <w:pStyle w:val="141"/>
        <w:keepNext w:val="0"/>
        <w:keepLines w:val="0"/>
        <w:pageBreakBefore w:val="0"/>
        <w:widowControl w:val="0"/>
        <w:numPr>
          <w:ilvl w:val="0"/>
          <w:numId w:val="5"/>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不断完善和更新实验室监测设备、监测因子，加强水质监测指标能力。</w:t>
      </w:r>
    </w:p>
    <w:p w14:paraId="5D42069A">
      <w:pPr>
        <w:pStyle w:val="141"/>
        <w:keepNext w:val="0"/>
        <w:keepLines w:val="0"/>
        <w:pageBreakBefore w:val="0"/>
        <w:widowControl w:val="0"/>
        <w:numPr>
          <w:ilvl w:val="0"/>
          <w:numId w:val="5"/>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按季度对排污口所在水域水质进行内部化验检测存档，并将检测数据提供</w:t>
      </w:r>
      <w:r>
        <w:rPr>
          <w:rFonts w:hint="eastAsia" w:cs="Times New Roman"/>
          <w:color w:val="auto"/>
          <w:sz w:val="24"/>
          <w:szCs w:val="24"/>
          <w:lang w:val="en-US" w:eastAsia="zh-CN"/>
        </w:rPr>
        <w:t>龙山县</w:t>
      </w:r>
      <w:r>
        <w:rPr>
          <w:rFonts w:hint="eastAsia" w:ascii="Times New Roman" w:hAnsi="Times New Roman" w:cs="Times New Roman"/>
          <w:color w:val="auto"/>
          <w:sz w:val="24"/>
          <w:szCs w:val="24"/>
          <w:lang w:val="en-US" w:eastAsia="zh-CN"/>
        </w:rPr>
        <w:t>生态环境主管部门报备，检测点位、因子、频次由</w:t>
      </w:r>
      <w:r>
        <w:rPr>
          <w:rFonts w:hint="eastAsia" w:cs="Times New Roman"/>
          <w:color w:val="auto"/>
          <w:sz w:val="24"/>
          <w:szCs w:val="24"/>
          <w:lang w:val="en-US" w:eastAsia="zh-CN"/>
        </w:rPr>
        <w:t>龙山县</w:t>
      </w:r>
      <w:r>
        <w:rPr>
          <w:rFonts w:hint="eastAsia" w:ascii="Times New Roman" w:hAnsi="Times New Roman" w:cs="Times New Roman"/>
          <w:color w:val="auto"/>
          <w:sz w:val="24"/>
          <w:szCs w:val="24"/>
          <w:lang w:val="en-US" w:eastAsia="zh-CN"/>
        </w:rPr>
        <w:t>生态环境主管部门根据情况决定。</w:t>
      </w:r>
    </w:p>
    <w:p w14:paraId="2A9A6F0E">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2"/>
        <w:rPr>
          <w:rFonts w:hint="eastAsia" w:ascii="Times New Roman" w:hAnsi="Times New Roman" w:cs="Times New Roman"/>
          <w:b/>
          <w:bCs/>
          <w:color w:val="auto"/>
          <w:sz w:val="28"/>
          <w:szCs w:val="28"/>
          <w:lang w:val="en-US" w:eastAsia="zh-CN"/>
        </w:rPr>
      </w:pPr>
      <w:bookmarkStart w:id="97" w:name="_Toc17496"/>
      <w:bookmarkStart w:id="98" w:name="_Toc26121"/>
      <w:bookmarkStart w:id="99" w:name="_Toc14956"/>
      <w:bookmarkStart w:id="100" w:name="_Toc18499"/>
      <w:bookmarkStart w:id="101" w:name="_Toc9197"/>
      <w:r>
        <w:rPr>
          <w:rFonts w:hint="eastAsia" w:cs="Times New Roman"/>
          <w:b/>
          <w:bCs/>
          <w:color w:val="auto"/>
          <w:sz w:val="28"/>
          <w:szCs w:val="28"/>
          <w:lang w:val="en-US" w:eastAsia="zh-CN"/>
        </w:rPr>
        <w:t>4</w:t>
      </w:r>
      <w:r>
        <w:rPr>
          <w:rFonts w:hint="eastAsia" w:ascii="Times New Roman" w:hAnsi="Times New Roman" w:cs="Times New Roman"/>
          <w:b/>
          <w:bCs/>
          <w:color w:val="auto"/>
          <w:sz w:val="28"/>
          <w:szCs w:val="28"/>
          <w:lang w:val="en-US" w:eastAsia="zh-CN"/>
        </w:rPr>
        <w:t>.1.3事故排污时应急措施</w:t>
      </w:r>
      <w:bookmarkEnd w:id="97"/>
      <w:bookmarkEnd w:id="98"/>
      <w:bookmarkEnd w:id="99"/>
      <w:bookmarkEnd w:id="100"/>
      <w:bookmarkEnd w:id="101"/>
    </w:p>
    <w:p w14:paraId="7DFEA5AB">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3"/>
        <w:rPr>
          <w:rFonts w:hint="eastAsia" w:ascii="Times New Roman" w:hAnsi="Times New Roman" w:cs="Times New Roman"/>
          <w:b/>
          <w:bCs/>
          <w:color w:val="auto"/>
          <w:sz w:val="28"/>
          <w:szCs w:val="28"/>
          <w:lang w:val="en-US" w:eastAsia="zh-CN"/>
        </w:rPr>
      </w:pPr>
      <w:r>
        <w:rPr>
          <w:rFonts w:hint="eastAsia" w:cs="Times New Roman"/>
          <w:b/>
          <w:bCs/>
          <w:color w:val="auto"/>
          <w:sz w:val="28"/>
          <w:szCs w:val="28"/>
          <w:lang w:val="en-US" w:eastAsia="zh-CN"/>
        </w:rPr>
        <w:t>4</w:t>
      </w:r>
      <w:r>
        <w:rPr>
          <w:rFonts w:hint="eastAsia" w:ascii="Times New Roman" w:hAnsi="Times New Roman" w:cs="Times New Roman"/>
          <w:b/>
          <w:bCs/>
          <w:color w:val="auto"/>
          <w:sz w:val="28"/>
          <w:szCs w:val="28"/>
          <w:lang w:val="en-US" w:eastAsia="zh-CN"/>
        </w:rPr>
        <w:t>.1.3.1事故风险分析</w:t>
      </w:r>
    </w:p>
    <w:p w14:paraId="284ABA62">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污水处理工程运行中比较常见事故工况主要包括以下情形：</w:t>
      </w:r>
    </w:p>
    <w:p w14:paraId="1F0E9E97">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2" w:firstLineChars="200"/>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1、运行异常</w:t>
      </w:r>
    </w:p>
    <w:p w14:paraId="0DF389ED">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污水处理厂运行异常，通常是因机械故障、设备损坏，以及进水水质恶化等原因导致。</w:t>
      </w:r>
    </w:p>
    <w:p w14:paraId="6316178F">
      <w:pPr>
        <w:pStyle w:val="141"/>
        <w:keepNext w:val="0"/>
        <w:keepLines w:val="0"/>
        <w:pageBreakBefore w:val="0"/>
        <w:widowControl w:val="0"/>
        <w:numPr>
          <w:ilvl w:val="0"/>
          <w:numId w:val="6"/>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机械故障是比较常见的现象。污水处处理厂进水杂物处理不彻底，导致机械故障是主因，因此需要及时对拦污格栅进行清理、维护、更新，避免杂物进入后期处理系统，影响系统正常运行。</w:t>
      </w:r>
    </w:p>
    <w:p w14:paraId="1F448EA0">
      <w:pPr>
        <w:pStyle w:val="141"/>
        <w:keepNext w:val="0"/>
        <w:keepLines w:val="0"/>
        <w:pageBreakBefore w:val="0"/>
        <w:widowControl w:val="0"/>
        <w:numPr>
          <w:ilvl w:val="0"/>
          <w:numId w:val="6"/>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设备运行中磨损、老化、损坏是设备故障的主要原因，需要加强设备维护、保养，对老旧设备进行更新，保障设备正常运行。</w:t>
      </w:r>
    </w:p>
    <w:p w14:paraId="42AB86C9">
      <w:pPr>
        <w:pStyle w:val="141"/>
        <w:keepNext w:val="0"/>
        <w:keepLines w:val="0"/>
        <w:pageBreakBefore w:val="0"/>
        <w:widowControl w:val="0"/>
        <w:numPr>
          <w:ilvl w:val="0"/>
          <w:numId w:val="6"/>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污水管网服务范围内污水来源发生变化，导致进水水质异常，是极难控制的。影响因素，因此进水水质监测是很重要的。当出现水质异常时，要及时对服务范围内异常污水来源进行调查，及时进行处置。同时在发现进水水质异常后，对出水进行控制，一般可利用水泵将不达标出水回流到进水泵房或应急事故水池，重新进行处理，并关闭出水水阀，防止超标尾水排至纳污水体。</w:t>
      </w:r>
    </w:p>
    <w:p w14:paraId="6D6ACAAA">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2" w:firstLineChars="200"/>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2、供电故障</w:t>
      </w:r>
    </w:p>
    <w:p w14:paraId="1E884810">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供电系统安全是污水处理厂重要保障之一，现行污水处理厂在设计中，对供电方面采取双电路保障，并配备自备电源，因此供电故障处置相对快速，影响时间相对较短，事故后可采取延长污水处理时间的方法对事故期污水进行处理。</w:t>
      </w:r>
    </w:p>
    <w:p w14:paraId="6BD39F3D">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2" w:firstLineChars="200"/>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3、防毒措施不当</w:t>
      </w:r>
    </w:p>
    <w:p w14:paraId="6F791949">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在污水处理工艺环节，细格栅、进水泵房、沉砂池、生化池等极易产生硫化氢和氨气等有毒气体。正常情况下，运行中产生的硫化氢和氨气较小，但当毒气体未经扩散时，极易对设备检、修维护人员安全产生影响，发生中毒事件，严重的会造成人员伤亡事故，影响系统正常运行。</w:t>
      </w:r>
    </w:p>
    <w:p w14:paraId="6B6C4368">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2" w:firstLineChars="200"/>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4、污泥处置不当</w:t>
      </w:r>
    </w:p>
    <w:p w14:paraId="7FBCC4F2">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left="0"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当污泥脱水系统遇到故障，长时间不能恢复生产时，要及时对污泥按照相关技术规定进行妥善处理。如不妥善处置，不仅会影响污水处理系统正常运行，而且会造成环境污染。</w:t>
      </w:r>
    </w:p>
    <w:p w14:paraId="0270A1DA">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2" w:firstLineChars="200"/>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5、自然灾害</w:t>
      </w:r>
    </w:p>
    <w:p w14:paraId="65D68B4F">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left="0"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台风、暴雨、雷击等自然灾害易造成污水处理系统电力中断、厂房坍塌、设备损坏、进水异常等事故，可能导致污水处理系统运行异常或停止运行，造成污染事故。</w:t>
      </w:r>
    </w:p>
    <w:p w14:paraId="3152D9B7">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2" w:firstLineChars="200"/>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6、火灾影响</w:t>
      </w:r>
    </w:p>
    <w:p w14:paraId="0F5978A5">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left="0" w:leftChars="0"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配电室、控制室等污水处理设施因长期运行，易出现电路老化而诱发火灾，从而导致污水处理厂运行中断，引发环境污染事故。</w:t>
      </w:r>
    </w:p>
    <w:p w14:paraId="13DD7063">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3"/>
        <w:rPr>
          <w:rFonts w:hint="eastAsia" w:ascii="Times New Roman" w:hAnsi="Times New Roman" w:cs="Times New Roman"/>
          <w:b/>
          <w:bCs/>
          <w:color w:val="auto"/>
          <w:sz w:val="28"/>
          <w:szCs w:val="28"/>
          <w:lang w:val="en-US" w:eastAsia="zh-CN"/>
        </w:rPr>
      </w:pPr>
      <w:r>
        <w:rPr>
          <w:rFonts w:hint="eastAsia" w:cs="Times New Roman"/>
          <w:b/>
          <w:bCs/>
          <w:color w:val="auto"/>
          <w:sz w:val="28"/>
          <w:szCs w:val="28"/>
          <w:lang w:val="en-US" w:eastAsia="zh-CN"/>
        </w:rPr>
        <w:t>4</w:t>
      </w:r>
      <w:r>
        <w:rPr>
          <w:rFonts w:hint="eastAsia" w:ascii="Times New Roman" w:hAnsi="Times New Roman" w:cs="Times New Roman"/>
          <w:b/>
          <w:bCs/>
          <w:color w:val="auto"/>
          <w:sz w:val="28"/>
          <w:szCs w:val="28"/>
          <w:lang w:val="en-US" w:eastAsia="zh-CN"/>
        </w:rPr>
        <w:t>.1.3.2事故预防措施</w:t>
      </w:r>
    </w:p>
    <w:p w14:paraId="2C73EE8C">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2" w:firstLineChars="200"/>
        <w:textAlignment w:val="auto"/>
        <w:rPr>
          <w:rFonts w:hint="eastAsia" w:ascii="Times New Roman" w:hAnsi="Times New Roman" w:cs="Times New Roman"/>
          <w:b/>
          <w:bCs/>
          <w:color w:val="auto"/>
          <w:sz w:val="24"/>
          <w:szCs w:val="24"/>
          <w:lang w:eastAsia="zh-CN"/>
        </w:rPr>
      </w:pPr>
      <w:r>
        <w:rPr>
          <w:rFonts w:hint="eastAsia" w:ascii="Times New Roman" w:hAnsi="Times New Roman" w:cs="Times New Roman"/>
          <w:b/>
          <w:bCs/>
          <w:color w:val="auto"/>
          <w:sz w:val="24"/>
          <w:szCs w:val="24"/>
          <w:lang w:val="en-US" w:eastAsia="zh-CN"/>
        </w:rPr>
        <w:t>1、</w:t>
      </w:r>
      <w:r>
        <w:rPr>
          <w:rFonts w:hint="eastAsia" w:ascii="Times New Roman" w:hAnsi="Times New Roman" w:cs="Times New Roman"/>
          <w:b/>
          <w:bCs/>
          <w:color w:val="auto"/>
          <w:sz w:val="24"/>
          <w:szCs w:val="24"/>
          <w:lang w:eastAsia="zh-CN"/>
        </w:rPr>
        <w:t>设备故障时应急防范措施</w:t>
      </w:r>
    </w:p>
    <w:p w14:paraId="72F56F53">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（1）污水处理厂应采用双电路供电，水泵设计应考虑备用，机械设备应采用性能可靠的优质产品。</w:t>
      </w:r>
    </w:p>
    <w:p w14:paraId="722B6140">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（2）为使在事故状态下污水处理厂仪表等设备正常运转，必须选择质量优良、事故率低、便于维修的产品。关键设备应有备用，易损部件也要有备用，在事故出现时做到及时更换。</w:t>
      </w:r>
    </w:p>
    <w:p w14:paraId="5283CDBF">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（3）为使在事故状态下污水处理厂能够迅速恢复正常运行，应在主要水工建筑物的容积上留有相应的缓冲能力，并配有相应的设备（如回流泵、回流管道、阀门等）。</w:t>
      </w:r>
    </w:p>
    <w:p w14:paraId="402CA455">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（4）加强事故隐患监控，定期巡检、调节、保养、维修。及时发现有可能引起事故的异常运行苗头，消除事故隐患。</w:t>
      </w:r>
    </w:p>
    <w:p w14:paraId="799A0475">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5）严格控制处理单元的水量、水质、停留时间、负荷强度等工艺参数，确保处理效果的稳定性。配备流量、水质自动分析监控仪器，定期取样监测。操作人员及时调整，使设备处于最佳工况。如发现不正常现象，就需立即采取预防措施。</w:t>
      </w:r>
    </w:p>
    <w:p w14:paraId="7CCAFC2D">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u w:val="none"/>
          <w:lang w:val="en-US" w:eastAsia="zh-CN"/>
        </w:rPr>
      </w:pPr>
      <w:r>
        <w:rPr>
          <w:rFonts w:hint="eastAsia" w:ascii="Times New Roman" w:hAnsi="Times New Roman" w:cs="Times New Roman"/>
          <w:color w:val="auto"/>
          <w:sz w:val="24"/>
          <w:szCs w:val="24"/>
          <w:u w:val="none"/>
          <w:lang w:val="en-US" w:eastAsia="zh-CN"/>
        </w:rPr>
        <w:t>（6）在污水处理厂尾水排入专用管道前，设置阀门，并定时查看尾水在线监控系统的运行情况，记录相关数值，在发现尾水排放指标超过限值或在线监控系统发生故障自动报警时，关闭管道闸门，防止未经处理或超标尾水排入</w:t>
      </w:r>
      <w:r>
        <w:rPr>
          <w:rFonts w:hint="eastAsia" w:hAnsi="Times New Roman" w:cs="Times New Roman"/>
          <w:bCs/>
          <w:color w:val="auto"/>
          <w:sz w:val="24"/>
          <w:u w:val="none"/>
          <w:lang w:val="en-US" w:eastAsia="zh-CN"/>
        </w:rPr>
        <w:t>果利河</w:t>
      </w:r>
      <w:r>
        <w:rPr>
          <w:rFonts w:hint="eastAsia" w:ascii="Times New Roman" w:hAnsi="Times New Roman" w:cs="Times New Roman"/>
          <w:color w:val="auto"/>
          <w:sz w:val="24"/>
          <w:szCs w:val="24"/>
          <w:u w:val="none"/>
          <w:lang w:val="en-US" w:eastAsia="zh-CN"/>
        </w:rPr>
        <w:t>。</w:t>
      </w:r>
    </w:p>
    <w:p w14:paraId="4BE18AC3">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u w:val="none"/>
          <w:lang w:val="en-US" w:eastAsia="zh-CN"/>
        </w:rPr>
      </w:pPr>
      <w:r>
        <w:rPr>
          <w:rFonts w:hint="eastAsia" w:ascii="Times New Roman" w:hAnsi="Times New Roman" w:cs="Times New Roman"/>
          <w:color w:val="auto"/>
          <w:sz w:val="24"/>
          <w:szCs w:val="24"/>
          <w:u w:val="none"/>
          <w:lang w:val="en-US" w:eastAsia="zh-CN"/>
        </w:rPr>
        <w:t>（</w:t>
      </w:r>
      <w:r>
        <w:rPr>
          <w:rFonts w:hint="eastAsia" w:cs="Times New Roman"/>
          <w:color w:val="auto"/>
          <w:sz w:val="24"/>
          <w:szCs w:val="24"/>
          <w:u w:val="none"/>
          <w:lang w:val="en-US" w:eastAsia="zh-CN"/>
        </w:rPr>
        <w:t>7</w:t>
      </w:r>
      <w:r>
        <w:rPr>
          <w:rFonts w:hint="eastAsia" w:ascii="Times New Roman" w:hAnsi="Times New Roman" w:cs="Times New Roman"/>
          <w:color w:val="auto"/>
          <w:sz w:val="24"/>
          <w:szCs w:val="24"/>
          <w:u w:val="none"/>
          <w:lang w:val="en-US" w:eastAsia="zh-CN"/>
        </w:rPr>
        <w:t>）严格进水水质管理，本项目只接收生活废水，若要接收其他废水需严格达到本项目设计的进水标准要求。同时本项目</w:t>
      </w:r>
      <w:r>
        <w:rPr>
          <w:rFonts w:hint="eastAsia" w:cs="Times New Roman"/>
          <w:color w:val="auto"/>
          <w:sz w:val="24"/>
          <w:szCs w:val="24"/>
          <w:u w:val="none"/>
          <w:lang w:val="en-US" w:eastAsia="zh-CN"/>
        </w:rPr>
        <w:t>设置</w:t>
      </w:r>
      <w:r>
        <w:rPr>
          <w:rFonts w:hint="eastAsia" w:ascii="Times New Roman" w:hAnsi="Times New Roman" w:cs="Times New Roman"/>
          <w:color w:val="auto"/>
          <w:sz w:val="24"/>
          <w:szCs w:val="24"/>
          <w:u w:val="none"/>
          <w:lang w:val="en-US" w:eastAsia="zh-CN"/>
        </w:rPr>
        <w:t>事故池，一旦监测出进水浓度超标，则将废水暂存</w:t>
      </w:r>
      <w:r>
        <w:rPr>
          <w:rFonts w:hint="eastAsia" w:cs="Times New Roman"/>
          <w:color w:val="auto"/>
          <w:sz w:val="24"/>
          <w:szCs w:val="24"/>
          <w:u w:val="none"/>
          <w:lang w:val="en-US" w:eastAsia="zh-CN"/>
        </w:rPr>
        <w:t>事故</w:t>
      </w:r>
      <w:r>
        <w:rPr>
          <w:rFonts w:hint="eastAsia" w:ascii="Times New Roman" w:hAnsi="Times New Roman" w:cs="Times New Roman"/>
          <w:color w:val="auto"/>
          <w:sz w:val="24"/>
          <w:szCs w:val="24"/>
          <w:u w:val="none"/>
          <w:lang w:val="en-US" w:eastAsia="zh-CN"/>
        </w:rPr>
        <w:t>池内，以避免风险排放对污水处理厂正常运行产生影响。加强对进水水质水量的监测与分析，发现超标，及时查明原因，采取应急封堵措施。</w:t>
      </w:r>
    </w:p>
    <w:p w14:paraId="7EA02D75">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2" w:firstLineChars="200"/>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2、进水水质异常风险防范措施</w:t>
      </w:r>
    </w:p>
    <w:p w14:paraId="13E79316">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（1）设置进、出水水质自动监测装置及报警装置，及时发现不良水质的进入。</w:t>
      </w:r>
    </w:p>
    <w:p w14:paraId="6D6D4612">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（2）一旦发现进水水质异常，应及时向有关部门反映查明原因，采取有效处理措施，最大限度降低对周围环境及财产造成的危害。</w:t>
      </w:r>
    </w:p>
    <w:p w14:paraId="7F601AC2">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2" w:firstLineChars="200"/>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3、污泥处置过程环境风险防范</w:t>
      </w:r>
    </w:p>
    <w:p w14:paraId="2942B3CB">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（1）污水处理厂污泥应及时清运，采用专用密闭运输车辆，避免散发臭气，撒落，污染环境。</w:t>
      </w:r>
    </w:p>
    <w:p w14:paraId="6653EC85">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（2）污水处理厂一旦发生污泥非正常排放的事故，应及时进行设备维修，争取在池内存放污泥的限度内修好，并及时投加药剂，如石灰等，防止发生污泥发酵，减少恶臭气体排放。</w:t>
      </w:r>
    </w:p>
    <w:p w14:paraId="1AF1D3EA">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2" w:firstLineChars="200"/>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4、管道破损泄漏风险防范</w:t>
      </w:r>
    </w:p>
    <w:p w14:paraId="3AD5D585">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（1）管道衔接应防止泄漏污染地下水，淤塞应及时疏浚，保证管道通畅。</w:t>
      </w:r>
    </w:p>
    <w:p w14:paraId="0023A7BB">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（2）为减少管节更换时间，对现状道路，需要破路施工地段，以管沟代替覆土回填，避免将来可能的破路抢修。</w:t>
      </w:r>
    </w:p>
    <w:p w14:paraId="4F779248">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（3）设立明显的管道标志，防止意外破坏，绿化地段，管道上方不宜栽植高大乔木或深根性的植物。</w:t>
      </w:r>
    </w:p>
    <w:p w14:paraId="1AEB39F8">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（4）运营期建立定期巡视制度，尤其是运营数年后应加大巡视密度，发现小股泄露即应更换破损管节，避免爆管更换。</w:t>
      </w:r>
    </w:p>
    <w:p w14:paraId="3C5C7AF3">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（5）当发生管网爆管、断管、漏水时，必须立即采取措施，对突发地段进行闭管，并及时报告当地有关职能部门。</w:t>
      </w:r>
    </w:p>
    <w:p w14:paraId="7CE061EE">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2" w:firstLineChars="200"/>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5、其它风险防范措施</w:t>
      </w:r>
    </w:p>
    <w:p w14:paraId="7349857F">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（1）严格规范设计，高标准建设</w:t>
      </w:r>
    </w:p>
    <w:p w14:paraId="1DBD31AE">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在工程设计上，对系统设备要按照经济合理、技术成熟、设备先进的原则进行设计，建设过程中严格监督管理、保证质量，从从源头上严控风险隐患。</w:t>
      </w:r>
    </w:p>
    <w:p w14:paraId="6E5D5270">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（2）规范管理，制定应急事故处置预案</w:t>
      </w:r>
    </w:p>
    <w:p w14:paraId="699EBFE8">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根据污水处理厂事故成因，分别制定应急处置预案，做到管理有序、操作规范、巡查到位，把安全生产放在首位。</w:t>
      </w:r>
    </w:p>
    <w:p w14:paraId="36345BAA">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（3）加强职工培训，提高安全意识</w:t>
      </w:r>
    </w:p>
    <w:p w14:paraId="25BAB546">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严格执行持证上岗制度。在生产过程中，要按照相关规定对管理、技术、生产等 人员定期进行操作技术、安全知识等培训，提高操作技术水平，强化风险意识，从人的因素上杜绝风险事故产生。</w:t>
      </w:r>
    </w:p>
    <w:p w14:paraId="7052DDE1">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（4）强化运行管理，故障处置及时</w:t>
      </w:r>
    </w:p>
    <w:p w14:paraId="48FA60B2">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强化系统安全检查、巡查，健全巡检档案。对关键设备做好备品备件储存、保养。强化自然灾害防范，做好防雷、防风设备维护。在做好双电路供电保障的同时，自备供电设备要定期检查、调试。</w:t>
      </w:r>
    </w:p>
    <w:p w14:paraId="28D743ED">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（5）建立信息互通，共同处置</w:t>
      </w:r>
    </w:p>
    <w:p w14:paraId="11963CFE">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污水处理厂应与地方政府、环保、水利等相关部门建立信息互通机制，当发生故障时，应在1小时内通报相关部门，会同相关部门成立应急处理小组，协同处置污染事故。政府部门负责指挥、协调，水利部门负责水利工程调度、水污染调查；环保部门组织开展应急监测、水污染情况通报等。各相关部门在政府部门统一指挥下，协同工作，将事故影响控制在最小范围，影响程度控制在最低，后期处理最彻底。</w:t>
      </w:r>
    </w:p>
    <w:p w14:paraId="5D5B7BE1">
      <w:pPr>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outlineLvl w:val="3"/>
        <w:rPr>
          <w:rFonts w:hint="eastAsia" w:ascii="Times New Roman" w:hAnsi="Times New Roman" w:cs="Times New Roman"/>
          <w:b/>
          <w:bCs/>
          <w:color w:val="auto"/>
          <w:sz w:val="28"/>
          <w:szCs w:val="28"/>
          <w:lang w:val="en-US" w:eastAsia="zh-CN"/>
        </w:rPr>
      </w:pPr>
      <w:r>
        <w:rPr>
          <w:rFonts w:hint="eastAsia" w:cs="Times New Roman"/>
          <w:b/>
          <w:bCs/>
          <w:color w:val="auto"/>
          <w:sz w:val="28"/>
          <w:szCs w:val="28"/>
          <w:lang w:val="en-US" w:eastAsia="zh-CN"/>
        </w:rPr>
        <w:t>4</w:t>
      </w:r>
      <w:r>
        <w:rPr>
          <w:rFonts w:hint="eastAsia" w:ascii="Times New Roman" w:hAnsi="Times New Roman" w:cs="Times New Roman"/>
          <w:b/>
          <w:bCs/>
          <w:color w:val="auto"/>
          <w:sz w:val="28"/>
          <w:szCs w:val="28"/>
          <w:lang w:val="en-US" w:eastAsia="zh-CN"/>
        </w:rPr>
        <w:t>.1.3.3事故应急预案</w:t>
      </w:r>
    </w:p>
    <w:p w14:paraId="2DBBF713">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污水处理厂应成立事故应急领导小组，制定突发环境事件应急预案，落实各成员的责任，同时在平时要进行技术培训和演练，以及时处理事故。</w:t>
      </w:r>
    </w:p>
    <w:p w14:paraId="01DDEAAD">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2" w:firstLineChars="200"/>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1、应急处置领导小组</w:t>
      </w:r>
    </w:p>
    <w:p w14:paraId="41E65601">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组长：厂长</w:t>
      </w:r>
    </w:p>
    <w:p w14:paraId="1157A986">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成员：污水技术员</w:t>
      </w:r>
    </w:p>
    <w:p w14:paraId="58D4BE05">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2" w:firstLineChars="200"/>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2、应急处置领导小组职责</w:t>
      </w:r>
    </w:p>
    <w:p w14:paraId="0EA3CA2E">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（1）负责制定和组织实施突发环境事件应急处置方案，控制事件的蔓延和扩大；</w:t>
      </w:r>
    </w:p>
    <w:p w14:paraId="2794E015">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（2）负责突发环境事件的信息接收、核实、处理、通报、报告；及时了解突发环境事件情况，必要时向政府及环保、水利、农经等部门报告；</w:t>
      </w:r>
    </w:p>
    <w:p w14:paraId="2B939DE5">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（3）负责协调应急处置中的重大问题，制订应急处置措施，现场指挥应急处置工作；根据应急处置需要，紧急调集人员、设施、设备；负责做好事件危害调查、后勤保障及善后处理等工作。</w:t>
      </w:r>
    </w:p>
    <w:p w14:paraId="40E1DC16">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2" w:firstLineChars="200"/>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3、应急响应</w:t>
      </w:r>
    </w:p>
    <w:p w14:paraId="13A72AFD">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cs="Times New Roman"/>
          <w:snapToGrid w:val="0"/>
          <w:color w:val="auto"/>
          <w:kern w:val="0"/>
          <w:sz w:val="24"/>
          <w:szCs w:val="24"/>
          <w:u w:val="single"/>
          <w:lang w:val="en-US" w:eastAsia="zh-CN" w:bidi="ar"/>
        </w:rPr>
      </w:pPr>
      <w:r>
        <w:rPr>
          <w:rFonts w:hint="default" w:ascii="Times New Roman" w:hAnsi="Times New Roman" w:cs="Times New Roman"/>
          <w:snapToGrid w:val="0"/>
          <w:color w:val="auto"/>
          <w:kern w:val="0"/>
          <w:sz w:val="24"/>
          <w:szCs w:val="24"/>
          <w:u w:val="single"/>
          <w:lang w:val="en-US" w:eastAsia="zh-CN" w:bidi="ar"/>
        </w:rPr>
        <w:t>（1）出水水质超标</w:t>
      </w:r>
    </w:p>
    <w:p w14:paraId="263F91A3">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cs="Times New Roman"/>
          <w:snapToGrid w:val="0"/>
          <w:color w:val="auto"/>
          <w:kern w:val="0"/>
          <w:sz w:val="24"/>
          <w:szCs w:val="24"/>
          <w:u w:val="single"/>
          <w:lang w:val="en-US" w:eastAsia="zh-CN" w:bidi="ar"/>
        </w:rPr>
      </w:pPr>
      <w:r>
        <w:rPr>
          <w:rFonts w:hint="default" w:ascii="Times New Roman" w:hAnsi="Times New Roman" w:cs="Times New Roman"/>
          <w:snapToGrid w:val="0"/>
          <w:color w:val="auto"/>
          <w:kern w:val="0"/>
          <w:sz w:val="24"/>
          <w:szCs w:val="24"/>
          <w:u w:val="single"/>
          <w:lang w:val="en-US" w:eastAsia="zh-CN" w:bidi="ar"/>
        </w:rPr>
        <w:t>发现出水水质超标后当班人员立即向厂长汇报，厂长应第一时间向公司领导汇报，并在事故处理过程中随时保持与领导小组的联系。</w:t>
      </w:r>
    </w:p>
    <w:p w14:paraId="5DB33419">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cs="Times New Roman"/>
          <w:snapToGrid w:val="0"/>
          <w:color w:val="auto"/>
          <w:kern w:val="0"/>
          <w:sz w:val="24"/>
          <w:szCs w:val="24"/>
          <w:u w:val="single"/>
          <w:lang w:val="en-US" w:eastAsia="zh-CN" w:bidi="ar"/>
        </w:rPr>
      </w:pPr>
      <w:r>
        <w:rPr>
          <w:rFonts w:hint="default" w:ascii="Times New Roman" w:hAnsi="Times New Roman" w:cs="Times New Roman"/>
          <w:snapToGrid w:val="0"/>
          <w:color w:val="auto"/>
          <w:kern w:val="0"/>
          <w:sz w:val="24"/>
          <w:szCs w:val="24"/>
          <w:u w:val="single"/>
          <w:lang w:val="en-US" w:eastAsia="zh-CN" w:bidi="ar"/>
        </w:rPr>
        <w:t>①立即组织化验室相关人员对进水水质、出水水质数据进行分析；</w:t>
      </w:r>
    </w:p>
    <w:p w14:paraId="198101F1">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cs="Times New Roman"/>
          <w:snapToGrid w:val="0"/>
          <w:color w:val="auto"/>
          <w:kern w:val="0"/>
          <w:sz w:val="24"/>
          <w:szCs w:val="24"/>
          <w:u w:val="single"/>
          <w:lang w:val="en-US" w:eastAsia="zh-CN" w:bidi="ar"/>
        </w:rPr>
      </w:pPr>
      <w:r>
        <w:rPr>
          <w:rFonts w:hint="default" w:ascii="Times New Roman" w:hAnsi="Times New Roman" w:cs="Times New Roman"/>
          <w:snapToGrid w:val="0"/>
          <w:color w:val="auto"/>
          <w:kern w:val="0"/>
          <w:sz w:val="24"/>
          <w:szCs w:val="24"/>
          <w:u w:val="single"/>
          <w:lang w:val="en-US" w:eastAsia="zh-CN" w:bidi="ar"/>
        </w:rPr>
        <w:t>②技术人员根据化验数据对相关工艺参数进行调整，直至出水达标排放。</w:t>
      </w:r>
    </w:p>
    <w:p w14:paraId="4FBC44E4">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cs="Times New Roman"/>
          <w:snapToGrid w:val="0"/>
          <w:color w:val="auto"/>
          <w:kern w:val="0"/>
          <w:sz w:val="24"/>
          <w:szCs w:val="24"/>
          <w:u w:val="single"/>
          <w:lang w:val="en-US" w:eastAsia="zh-CN" w:bidi="ar"/>
        </w:rPr>
      </w:pPr>
      <w:r>
        <w:rPr>
          <w:rFonts w:hint="default" w:ascii="Times New Roman" w:hAnsi="Times New Roman" w:cs="Times New Roman"/>
          <w:snapToGrid w:val="0"/>
          <w:color w:val="auto"/>
          <w:kern w:val="0"/>
          <w:sz w:val="24"/>
          <w:szCs w:val="24"/>
          <w:u w:val="single"/>
          <w:lang w:val="en-US" w:eastAsia="zh-CN" w:bidi="ar"/>
        </w:rPr>
        <w:t>（2）水质、水量超过处理能力</w:t>
      </w:r>
    </w:p>
    <w:p w14:paraId="0F5A7E00">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cs="Times New Roman"/>
          <w:snapToGrid w:val="0"/>
          <w:color w:val="auto"/>
          <w:kern w:val="0"/>
          <w:sz w:val="24"/>
          <w:szCs w:val="24"/>
          <w:u w:val="single"/>
          <w:lang w:val="en-US" w:eastAsia="zh-CN" w:bidi="ar"/>
        </w:rPr>
      </w:pPr>
      <w:r>
        <w:rPr>
          <w:rFonts w:hint="default" w:ascii="Times New Roman" w:hAnsi="Times New Roman" w:cs="Times New Roman"/>
          <w:snapToGrid w:val="0"/>
          <w:color w:val="auto"/>
          <w:kern w:val="0"/>
          <w:sz w:val="24"/>
          <w:szCs w:val="24"/>
          <w:u w:val="single"/>
          <w:lang w:val="en-US" w:eastAsia="zh-CN" w:bidi="ar"/>
        </w:rPr>
        <w:t>①</w:t>
      </w:r>
      <w:r>
        <w:rPr>
          <w:rFonts w:hint="eastAsia" w:cs="Times New Roman"/>
          <w:snapToGrid w:val="0"/>
          <w:color w:val="auto"/>
          <w:kern w:val="0"/>
          <w:sz w:val="24"/>
          <w:szCs w:val="24"/>
          <w:u w:val="single"/>
          <w:lang w:val="en-US" w:eastAsia="zh-CN" w:bidi="ar"/>
        </w:rPr>
        <w:t>超过设计的水量导入事故池；</w:t>
      </w:r>
    </w:p>
    <w:p w14:paraId="01211C48">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cs="Times New Roman"/>
          <w:snapToGrid w:val="0"/>
          <w:color w:val="auto"/>
          <w:kern w:val="0"/>
          <w:sz w:val="24"/>
          <w:szCs w:val="24"/>
          <w:u w:val="single"/>
          <w:lang w:val="en-US" w:eastAsia="zh-CN" w:bidi="ar"/>
        </w:rPr>
      </w:pPr>
      <w:r>
        <w:rPr>
          <w:rFonts w:hint="default" w:ascii="Times New Roman" w:hAnsi="Times New Roman" w:cs="Times New Roman"/>
          <w:snapToGrid w:val="0"/>
          <w:color w:val="auto"/>
          <w:kern w:val="0"/>
          <w:sz w:val="24"/>
          <w:szCs w:val="24"/>
          <w:u w:val="single"/>
          <w:lang w:val="en-US" w:eastAsia="zh-CN" w:bidi="ar"/>
        </w:rPr>
        <w:t>②技术人员及时调整工艺运行参数，恢复出水指标正常；</w:t>
      </w:r>
    </w:p>
    <w:p w14:paraId="0D2B3F72">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cs="Times New Roman"/>
          <w:snapToGrid w:val="0"/>
          <w:color w:val="auto"/>
          <w:kern w:val="0"/>
          <w:sz w:val="24"/>
          <w:szCs w:val="24"/>
          <w:u w:val="single"/>
          <w:lang w:val="en-US" w:eastAsia="zh-CN" w:bidi="ar"/>
        </w:rPr>
      </w:pPr>
      <w:r>
        <w:rPr>
          <w:rFonts w:hint="default" w:ascii="Times New Roman" w:hAnsi="Times New Roman" w:cs="Times New Roman"/>
          <w:snapToGrid w:val="0"/>
          <w:color w:val="auto"/>
          <w:kern w:val="0"/>
          <w:sz w:val="24"/>
          <w:szCs w:val="24"/>
          <w:u w:val="single"/>
          <w:lang w:val="en-US" w:eastAsia="zh-CN" w:bidi="ar"/>
        </w:rPr>
        <w:t>（3）突发暴雨</w:t>
      </w:r>
    </w:p>
    <w:p w14:paraId="72DC1C58">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cs="Times New Roman"/>
          <w:snapToGrid w:val="0"/>
          <w:color w:val="auto"/>
          <w:kern w:val="0"/>
          <w:sz w:val="24"/>
          <w:szCs w:val="24"/>
          <w:u w:val="single"/>
          <w:lang w:val="en-US" w:eastAsia="zh-CN" w:bidi="ar"/>
        </w:rPr>
      </w:pPr>
      <w:r>
        <w:rPr>
          <w:rFonts w:hint="default" w:ascii="Times New Roman" w:hAnsi="Times New Roman" w:cs="Times New Roman"/>
          <w:snapToGrid w:val="0"/>
          <w:color w:val="auto"/>
          <w:kern w:val="0"/>
          <w:sz w:val="24"/>
          <w:szCs w:val="24"/>
          <w:u w:val="single"/>
          <w:lang w:val="en-US" w:eastAsia="zh-CN" w:bidi="ar"/>
        </w:rPr>
        <w:t>①根据天气预报，组织机修人员预先对各设备进行检查，确保完好，组织力量对站内雨水管线进行疏通，确保流畅；</w:t>
      </w:r>
    </w:p>
    <w:p w14:paraId="2313B792">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cs="Times New Roman"/>
          <w:snapToGrid w:val="0"/>
          <w:color w:val="auto"/>
          <w:kern w:val="0"/>
          <w:sz w:val="24"/>
          <w:szCs w:val="24"/>
          <w:u w:val="single"/>
          <w:lang w:val="en-US" w:eastAsia="zh-CN" w:bidi="ar"/>
        </w:rPr>
      </w:pPr>
      <w:r>
        <w:rPr>
          <w:rFonts w:hint="default" w:ascii="Times New Roman" w:hAnsi="Times New Roman" w:cs="Times New Roman"/>
          <w:snapToGrid w:val="0"/>
          <w:color w:val="auto"/>
          <w:kern w:val="0"/>
          <w:sz w:val="24"/>
          <w:szCs w:val="24"/>
          <w:u w:val="single"/>
          <w:lang w:val="en-US" w:eastAsia="zh-CN" w:bidi="ar"/>
        </w:rPr>
        <w:t>②生产运行班组增加水泵台数，降低集水池水位，直到满负荷为止。外出巡视，必须两人一组，注意防滑；</w:t>
      </w:r>
    </w:p>
    <w:p w14:paraId="5CF33857">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cs="Times New Roman"/>
          <w:snapToGrid w:val="0"/>
          <w:color w:val="auto"/>
          <w:kern w:val="0"/>
          <w:sz w:val="24"/>
          <w:szCs w:val="24"/>
          <w:u w:val="single"/>
          <w:lang w:val="en-US" w:eastAsia="zh-CN" w:bidi="ar"/>
        </w:rPr>
      </w:pPr>
      <w:r>
        <w:rPr>
          <w:rFonts w:hint="default" w:ascii="Times New Roman" w:hAnsi="Times New Roman" w:cs="Times New Roman"/>
          <w:snapToGrid w:val="0"/>
          <w:color w:val="auto"/>
          <w:kern w:val="0"/>
          <w:sz w:val="24"/>
          <w:szCs w:val="24"/>
          <w:u w:val="single"/>
          <w:lang w:val="en-US" w:eastAsia="zh-CN" w:bidi="ar"/>
        </w:rPr>
        <w:t>③厂抢修队员，车辆做到随叫随到，严阵以待，以处置突发事件的发生。</w:t>
      </w:r>
    </w:p>
    <w:p w14:paraId="6E650D7C">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cs="Times New Roman"/>
          <w:snapToGrid w:val="0"/>
          <w:color w:val="auto"/>
          <w:kern w:val="0"/>
          <w:sz w:val="24"/>
          <w:szCs w:val="24"/>
          <w:u w:val="single"/>
          <w:lang w:val="en-US" w:eastAsia="zh-CN" w:bidi="ar"/>
        </w:rPr>
      </w:pPr>
      <w:r>
        <w:rPr>
          <w:rFonts w:hint="default" w:ascii="Times New Roman" w:hAnsi="Times New Roman" w:cs="Times New Roman"/>
          <w:snapToGrid w:val="0"/>
          <w:color w:val="auto"/>
          <w:kern w:val="0"/>
          <w:sz w:val="24"/>
          <w:szCs w:val="24"/>
          <w:u w:val="single"/>
          <w:lang w:val="en-US" w:eastAsia="zh-CN" w:bidi="ar"/>
        </w:rPr>
        <w:t>（4）突然停电或大面积，长时间停电</w:t>
      </w:r>
    </w:p>
    <w:p w14:paraId="0552A2EA">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cs="Times New Roman"/>
          <w:snapToGrid w:val="0"/>
          <w:color w:val="auto"/>
          <w:kern w:val="0"/>
          <w:sz w:val="24"/>
          <w:szCs w:val="24"/>
          <w:u w:val="single"/>
          <w:lang w:val="en-US" w:eastAsia="zh-CN" w:bidi="ar"/>
        </w:rPr>
      </w:pPr>
      <w:r>
        <w:rPr>
          <w:rFonts w:hint="default" w:ascii="Times New Roman" w:hAnsi="Times New Roman" w:cs="Times New Roman"/>
          <w:snapToGrid w:val="0"/>
          <w:color w:val="auto"/>
          <w:kern w:val="0"/>
          <w:sz w:val="24"/>
          <w:szCs w:val="24"/>
          <w:u w:val="single"/>
          <w:lang w:val="en-US" w:eastAsia="zh-CN" w:bidi="ar"/>
        </w:rPr>
        <w:t>①</w:t>
      </w:r>
      <w:r>
        <w:rPr>
          <w:rFonts w:hint="eastAsia" w:cs="Times New Roman"/>
          <w:snapToGrid w:val="0"/>
          <w:color w:val="auto"/>
          <w:kern w:val="0"/>
          <w:sz w:val="24"/>
          <w:szCs w:val="24"/>
          <w:u w:val="single"/>
          <w:lang w:val="en-US" w:eastAsia="zh-CN" w:bidi="ar"/>
        </w:rPr>
        <w:t>立即将废水导入事故池</w:t>
      </w:r>
      <w:r>
        <w:rPr>
          <w:rFonts w:hint="default" w:ascii="Times New Roman" w:hAnsi="Times New Roman" w:cs="Times New Roman"/>
          <w:snapToGrid w:val="0"/>
          <w:color w:val="auto"/>
          <w:kern w:val="0"/>
          <w:sz w:val="24"/>
          <w:szCs w:val="24"/>
          <w:u w:val="single"/>
          <w:lang w:val="en-US" w:eastAsia="zh-CN" w:bidi="ar"/>
        </w:rPr>
        <w:t>；</w:t>
      </w:r>
    </w:p>
    <w:p w14:paraId="3F5936DD">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cs="Times New Roman"/>
          <w:snapToGrid w:val="0"/>
          <w:color w:val="auto"/>
          <w:kern w:val="0"/>
          <w:sz w:val="24"/>
          <w:szCs w:val="24"/>
          <w:u w:val="single"/>
          <w:lang w:val="en-US" w:eastAsia="zh-CN" w:bidi="ar"/>
        </w:rPr>
      </w:pPr>
      <w:r>
        <w:rPr>
          <w:rFonts w:hint="default" w:ascii="Times New Roman" w:hAnsi="Times New Roman" w:cs="Times New Roman"/>
          <w:snapToGrid w:val="0"/>
          <w:color w:val="auto"/>
          <w:kern w:val="0"/>
          <w:sz w:val="24"/>
          <w:szCs w:val="24"/>
          <w:u w:val="single"/>
          <w:lang w:val="en-US" w:eastAsia="zh-CN" w:bidi="ar"/>
        </w:rPr>
        <w:t>②</w:t>
      </w:r>
      <w:r>
        <w:rPr>
          <w:rFonts w:hint="eastAsia" w:cs="Times New Roman"/>
          <w:snapToGrid w:val="0"/>
          <w:color w:val="auto"/>
          <w:kern w:val="0"/>
          <w:sz w:val="24"/>
          <w:szCs w:val="24"/>
          <w:u w:val="single"/>
          <w:lang w:val="en-US" w:eastAsia="zh-CN" w:bidi="ar"/>
        </w:rPr>
        <w:t>立即启动应急备用柴油发电机电源</w:t>
      </w:r>
      <w:r>
        <w:rPr>
          <w:rFonts w:hint="default" w:ascii="Times New Roman" w:hAnsi="Times New Roman" w:cs="Times New Roman"/>
          <w:snapToGrid w:val="0"/>
          <w:color w:val="auto"/>
          <w:kern w:val="0"/>
          <w:sz w:val="24"/>
          <w:szCs w:val="24"/>
          <w:u w:val="single"/>
          <w:lang w:val="en-US" w:eastAsia="zh-CN" w:bidi="ar"/>
        </w:rPr>
        <w:t>；</w:t>
      </w:r>
    </w:p>
    <w:p w14:paraId="67072A69">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cs="Times New Roman"/>
          <w:snapToGrid w:val="0"/>
          <w:color w:val="auto"/>
          <w:kern w:val="0"/>
          <w:sz w:val="24"/>
          <w:szCs w:val="24"/>
          <w:u w:val="single"/>
          <w:lang w:val="en-US" w:eastAsia="zh-CN" w:bidi="ar"/>
        </w:rPr>
      </w:pPr>
      <w:r>
        <w:rPr>
          <w:rFonts w:hint="default" w:ascii="Times New Roman" w:hAnsi="Times New Roman" w:cs="Times New Roman"/>
          <w:snapToGrid w:val="0"/>
          <w:color w:val="auto"/>
          <w:kern w:val="0"/>
          <w:sz w:val="24"/>
          <w:szCs w:val="24"/>
          <w:u w:val="single"/>
          <w:lang w:val="en-US" w:eastAsia="zh-CN" w:bidi="ar"/>
        </w:rPr>
        <w:t>（5）设备出现故障的应急措施</w:t>
      </w:r>
    </w:p>
    <w:p w14:paraId="52B6D930">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cs="Times New Roman"/>
          <w:snapToGrid w:val="0"/>
          <w:color w:val="auto"/>
          <w:kern w:val="0"/>
          <w:sz w:val="24"/>
          <w:szCs w:val="24"/>
          <w:u w:val="single"/>
          <w:lang w:val="en-US" w:eastAsia="zh-CN" w:bidi="ar"/>
        </w:rPr>
      </w:pPr>
      <w:r>
        <w:rPr>
          <w:rFonts w:hint="default" w:ascii="Times New Roman" w:hAnsi="Times New Roman" w:cs="Times New Roman"/>
          <w:snapToGrid w:val="0"/>
          <w:color w:val="auto"/>
          <w:kern w:val="0"/>
          <w:sz w:val="24"/>
          <w:szCs w:val="24"/>
          <w:u w:val="single"/>
          <w:lang w:val="en-US" w:eastAsia="zh-CN" w:bidi="ar"/>
        </w:rPr>
        <w:t>①</w:t>
      </w:r>
      <w:r>
        <w:rPr>
          <w:rFonts w:hint="eastAsia" w:cs="Times New Roman"/>
          <w:snapToGrid w:val="0"/>
          <w:color w:val="auto"/>
          <w:kern w:val="0"/>
          <w:sz w:val="24"/>
          <w:szCs w:val="24"/>
          <w:u w:val="single"/>
          <w:lang w:val="en-US" w:eastAsia="zh-CN" w:bidi="ar"/>
        </w:rPr>
        <w:t>立即将废水导入事故池</w:t>
      </w:r>
      <w:r>
        <w:rPr>
          <w:rFonts w:hint="default" w:ascii="Times New Roman" w:hAnsi="Times New Roman" w:cs="Times New Roman"/>
          <w:snapToGrid w:val="0"/>
          <w:color w:val="auto"/>
          <w:kern w:val="0"/>
          <w:sz w:val="24"/>
          <w:szCs w:val="24"/>
          <w:u w:val="single"/>
          <w:lang w:val="en-US" w:eastAsia="zh-CN" w:bidi="ar"/>
        </w:rPr>
        <w:t>；</w:t>
      </w:r>
    </w:p>
    <w:p w14:paraId="14AFCF7F">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cs="Times New Roman"/>
          <w:snapToGrid w:val="0"/>
          <w:color w:val="auto"/>
          <w:kern w:val="0"/>
          <w:sz w:val="24"/>
          <w:szCs w:val="24"/>
          <w:u w:val="single"/>
          <w:lang w:val="en-US" w:eastAsia="zh-CN" w:bidi="ar"/>
        </w:rPr>
      </w:pPr>
      <w:r>
        <w:rPr>
          <w:rFonts w:hint="default" w:ascii="Times New Roman" w:hAnsi="Times New Roman" w:cs="Times New Roman"/>
          <w:snapToGrid w:val="0"/>
          <w:color w:val="auto"/>
          <w:kern w:val="0"/>
          <w:sz w:val="24"/>
          <w:szCs w:val="24"/>
          <w:u w:val="single"/>
          <w:lang w:val="en-US" w:eastAsia="zh-CN" w:bidi="ar"/>
        </w:rPr>
        <w:t>②及时通知维修人员对故障进行排除，保障正常生产。</w:t>
      </w:r>
    </w:p>
    <w:p w14:paraId="6899A7F2">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cs="Times New Roman"/>
          <w:snapToGrid w:val="0"/>
          <w:color w:val="auto"/>
          <w:kern w:val="0"/>
          <w:sz w:val="24"/>
          <w:szCs w:val="24"/>
          <w:u w:val="single"/>
          <w:lang w:val="en-US" w:eastAsia="zh-CN" w:bidi="ar"/>
        </w:rPr>
      </w:pPr>
      <w:r>
        <w:rPr>
          <w:rFonts w:hint="default" w:ascii="Times New Roman" w:hAnsi="Times New Roman" w:cs="Times New Roman"/>
          <w:snapToGrid w:val="0"/>
          <w:color w:val="auto"/>
          <w:kern w:val="0"/>
          <w:sz w:val="24"/>
          <w:szCs w:val="24"/>
          <w:u w:val="single"/>
          <w:lang w:val="en-US" w:eastAsia="zh-CN" w:bidi="ar"/>
        </w:rPr>
        <w:t>（</w:t>
      </w:r>
      <w:r>
        <w:rPr>
          <w:rFonts w:hint="eastAsia" w:cs="Times New Roman"/>
          <w:snapToGrid w:val="0"/>
          <w:color w:val="auto"/>
          <w:kern w:val="0"/>
          <w:sz w:val="24"/>
          <w:szCs w:val="24"/>
          <w:u w:val="single"/>
          <w:lang w:val="en-US" w:eastAsia="zh-CN" w:bidi="ar"/>
        </w:rPr>
        <w:t>6</w:t>
      </w:r>
      <w:r>
        <w:rPr>
          <w:rFonts w:hint="default" w:ascii="Times New Roman" w:hAnsi="Times New Roman" w:cs="Times New Roman"/>
          <w:snapToGrid w:val="0"/>
          <w:color w:val="auto"/>
          <w:kern w:val="0"/>
          <w:sz w:val="24"/>
          <w:szCs w:val="24"/>
          <w:u w:val="single"/>
          <w:lang w:val="en-US" w:eastAsia="zh-CN" w:bidi="ar"/>
        </w:rPr>
        <w:t>）火灾应急措施</w:t>
      </w:r>
    </w:p>
    <w:p w14:paraId="00267AB8">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cs="Times New Roman"/>
          <w:snapToGrid w:val="0"/>
          <w:color w:val="auto"/>
          <w:kern w:val="0"/>
          <w:sz w:val="24"/>
          <w:szCs w:val="24"/>
          <w:u w:val="single"/>
          <w:lang w:val="en-US" w:eastAsia="zh-CN" w:bidi="ar"/>
        </w:rPr>
      </w:pPr>
      <w:r>
        <w:rPr>
          <w:rFonts w:hint="default" w:ascii="Times New Roman" w:hAnsi="Times New Roman" w:cs="Times New Roman"/>
          <w:snapToGrid w:val="0"/>
          <w:color w:val="auto"/>
          <w:kern w:val="0"/>
          <w:sz w:val="24"/>
          <w:szCs w:val="24"/>
          <w:u w:val="single"/>
          <w:lang w:val="en-US" w:eastAsia="zh-CN" w:bidi="ar"/>
        </w:rPr>
        <w:t>①一旦着火，发现人要将火灾信息迅速</w:t>
      </w:r>
      <w:r>
        <w:rPr>
          <w:rFonts w:hint="eastAsia" w:cs="Times New Roman"/>
          <w:snapToGrid w:val="0"/>
          <w:color w:val="auto"/>
          <w:kern w:val="0"/>
          <w:sz w:val="24"/>
          <w:szCs w:val="24"/>
          <w:u w:val="single"/>
          <w:lang w:val="en-US" w:eastAsia="zh-CN" w:bidi="ar"/>
        </w:rPr>
        <w:t>上报</w:t>
      </w:r>
      <w:r>
        <w:rPr>
          <w:rFonts w:hint="default" w:ascii="Times New Roman" w:hAnsi="Times New Roman" w:cs="Times New Roman"/>
          <w:snapToGrid w:val="0"/>
          <w:color w:val="auto"/>
          <w:kern w:val="0"/>
          <w:sz w:val="24"/>
          <w:szCs w:val="24"/>
          <w:u w:val="single"/>
          <w:lang w:val="en-US" w:eastAsia="zh-CN" w:bidi="ar"/>
        </w:rPr>
        <w:t>公司领导，在领导未到现场前由班长组织指挥扑救。</w:t>
      </w:r>
    </w:p>
    <w:p w14:paraId="3070FA11">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cs="Times New Roman"/>
          <w:snapToGrid w:val="0"/>
          <w:color w:val="auto"/>
          <w:kern w:val="0"/>
          <w:sz w:val="24"/>
          <w:szCs w:val="24"/>
          <w:u w:val="single"/>
          <w:lang w:val="en-US" w:eastAsia="zh-CN" w:bidi="ar"/>
        </w:rPr>
      </w:pPr>
      <w:r>
        <w:rPr>
          <w:rFonts w:hint="default" w:ascii="Times New Roman" w:hAnsi="Times New Roman" w:cs="Times New Roman"/>
          <w:snapToGrid w:val="0"/>
          <w:color w:val="auto"/>
          <w:kern w:val="0"/>
          <w:sz w:val="24"/>
          <w:szCs w:val="24"/>
          <w:u w:val="single"/>
          <w:lang w:val="en-US" w:eastAsia="zh-CN" w:bidi="ar"/>
        </w:rPr>
        <w:t>②确认火灾后要立即拨打“119”电话报警，任何部门和个人均应无条件为报警提供便利，不得阻碍报警。报警时讲清发生火灾的具体单位、建筑物名称及地点、火灾性质及火势情况、建筑物内有无人员被困、报警人的姓名与报警电话号码。报警后要立即安排人员到站门口或约定地点接应消防车。</w:t>
      </w:r>
    </w:p>
    <w:p w14:paraId="19D90648">
      <w:pPr>
        <w:keepNext w:val="0"/>
        <w:keepLines w:val="0"/>
        <w:pageBreakBefore w:val="0"/>
        <w:widowControl/>
        <w:suppressLineNumbers w:val="0"/>
        <w:kinsoku/>
        <w:wordWrap/>
        <w:overflowPunct/>
        <w:topLinePunct w:val="0"/>
        <w:autoSpaceDE w:val="0"/>
        <w:autoSpaceDN w:val="0"/>
        <w:bidi w:val="0"/>
        <w:adjustRightInd w:val="0"/>
        <w:snapToGrid w:val="0"/>
        <w:spacing w:line="360" w:lineRule="auto"/>
        <w:ind w:left="0" w:leftChars="0" w:firstLine="480" w:firstLineChars="200"/>
        <w:jc w:val="both"/>
        <w:textAlignment w:val="baseline"/>
        <w:rPr>
          <w:rFonts w:hint="default" w:ascii="Times New Roman" w:hAnsi="Times New Roman" w:cs="Times New Roman"/>
          <w:snapToGrid w:val="0"/>
          <w:color w:val="auto"/>
          <w:kern w:val="0"/>
          <w:sz w:val="24"/>
          <w:szCs w:val="24"/>
          <w:u w:val="single"/>
          <w:lang w:val="en-US" w:eastAsia="zh-CN" w:bidi="ar"/>
        </w:rPr>
      </w:pPr>
      <w:r>
        <w:rPr>
          <w:rFonts w:hint="default" w:ascii="Times New Roman" w:hAnsi="Times New Roman" w:cs="Times New Roman"/>
          <w:snapToGrid w:val="0"/>
          <w:color w:val="auto"/>
          <w:kern w:val="0"/>
          <w:sz w:val="24"/>
          <w:szCs w:val="24"/>
          <w:u w:val="single"/>
          <w:lang w:val="en-US" w:eastAsia="zh-CN" w:bidi="ar"/>
        </w:rPr>
        <w:t>③</w:t>
      </w:r>
      <w:r>
        <w:rPr>
          <w:rFonts w:hint="eastAsia" w:cs="Times New Roman"/>
          <w:snapToGrid w:val="0"/>
          <w:color w:val="auto"/>
          <w:kern w:val="0"/>
          <w:sz w:val="24"/>
          <w:szCs w:val="24"/>
          <w:u w:val="single"/>
          <w:lang w:val="en-US" w:eastAsia="zh-CN" w:bidi="ar"/>
        </w:rPr>
        <w:t>在火灾区域设置临时围堰，将消防废水导入事故池，防止消防废水流出厂区，消防结束后将消防废水导入污水处理系统处理达标后排放。</w:t>
      </w:r>
    </w:p>
    <w:p w14:paraId="10FF9145">
      <w:pPr>
        <w:keepNext w:val="0"/>
        <w:keepLines w:val="0"/>
        <w:widowControl/>
        <w:numPr>
          <w:ilvl w:val="0"/>
          <w:numId w:val="0"/>
        </w:numPr>
        <w:suppressLineNumbers w:val="0"/>
        <w:spacing w:line="360" w:lineRule="auto"/>
        <w:ind w:leftChars="200"/>
        <w:jc w:val="left"/>
        <w:rPr>
          <w:rFonts w:hint="eastAsia" w:ascii="Times New Roman" w:hAnsi="Times New Roman" w:cs="Times New Roman"/>
          <w:snapToGrid w:val="0"/>
          <w:color w:val="auto"/>
          <w:kern w:val="0"/>
          <w:sz w:val="24"/>
          <w:szCs w:val="24"/>
          <w:u w:val="single"/>
          <w:lang w:val="en-US" w:eastAsia="zh-CN" w:bidi="ar"/>
        </w:rPr>
      </w:pPr>
      <w:r>
        <w:rPr>
          <w:rFonts w:hint="eastAsia" w:ascii="Times New Roman" w:hAnsi="Times New Roman" w:cs="Times New Roman"/>
          <w:snapToGrid w:val="0"/>
          <w:color w:val="auto"/>
          <w:kern w:val="0"/>
          <w:sz w:val="24"/>
          <w:szCs w:val="24"/>
          <w:u w:val="single"/>
          <w:lang w:val="en-US" w:eastAsia="zh-CN" w:bidi="ar"/>
        </w:rPr>
        <w:t>（</w:t>
      </w:r>
      <w:r>
        <w:rPr>
          <w:rFonts w:hint="eastAsia" w:cs="Times New Roman"/>
          <w:snapToGrid w:val="0"/>
          <w:color w:val="auto"/>
          <w:kern w:val="0"/>
          <w:sz w:val="24"/>
          <w:szCs w:val="24"/>
          <w:u w:val="single"/>
          <w:lang w:val="en-US" w:eastAsia="zh-CN" w:bidi="ar"/>
        </w:rPr>
        <w:t>7</w:t>
      </w:r>
      <w:r>
        <w:rPr>
          <w:rFonts w:hint="eastAsia" w:ascii="Times New Roman" w:hAnsi="Times New Roman" w:cs="Times New Roman"/>
          <w:snapToGrid w:val="0"/>
          <w:color w:val="auto"/>
          <w:kern w:val="0"/>
          <w:sz w:val="24"/>
          <w:szCs w:val="24"/>
          <w:u w:val="single"/>
          <w:lang w:val="en-US" w:eastAsia="zh-CN" w:bidi="ar"/>
        </w:rPr>
        <w:t>）宣传教育</w:t>
      </w:r>
    </w:p>
    <w:p w14:paraId="68F2DE31">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eastAsia="zh-CN"/>
        </w:rPr>
      </w:pPr>
      <w:r>
        <w:rPr>
          <w:rFonts w:hint="eastAsia" w:ascii="Times New Roman" w:hAnsi="Times New Roman" w:cs="Times New Roman"/>
          <w:snapToGrid w:val="0"/>
          <w:color w:val="auto"/>
          <w:kern w:val="0"/>
          <w:sz w:val="24"/>
          <w:szCs w:val="24"/>
          <w:u w:val="single"/>
          <w:lang w:val="en-US" w:eastAsia="zh-CN" w:bidi="ar"/>
        </w:rPr>
        <w:t>定期组织环境应急培训与演练，提高运营单位工作人员水资源保护意识，提升人员应对突发水污染事件的应急处置能力</w:t>
      </w:r>
      <w:r>
        <w:rPr>
          <w:rFonts w:hint="eastAsia" w:ascii="Times New Roman" w:hAnsi="Times New Roman" w:cs="Times New Roman"/>
          <w:color w:val="auto"/>
          <w:sz w:val="24"/>
          <w:szCs w:val="24"/>
          <w:lang w:eastAsia="zh-CN"/>
        </w:rPr>
        <w:t>。</w:t>
      </w:r>
    </w:p>
    <w:p w14:paraId="3B2A73FF">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2" w:firstLineChars="200"/>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4、善后处理</w:t>
      </w:r>
    </w:p>
    <w:p w14:paraId="22EEC09C">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leftChars="200"/>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应急处置领导小组依法认真做好善后工作，确保社会稳定。</w:t>
      </w:r>
    </w:p>
    <w:p w14:paraId="04C131A5">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2" w:firstLineChars="200"/>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5、应急结束</w:t>
      </w:r>
    </w:p>
    <w:p w14:paraId="33C7649D">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0" w:firstLineChars="200"/>
        <w:textAlignment w:val="auto"/>
        <w:rPr>
          <w:rFonts w:hint="eastAsia" w:ascii="Times New Roman" w:hAnsi="Times New Roman" w:cs="Times New Roman"/>
          <w:color w:val="auto"/>
          <w:sz w:val="24"/>
          <w:szCs w:val="24"/>
          <w:lang w:eastAsia="zh-CN"/>
        </w:rPr>
      </w:pPr>
      <w:r>
        <w:rPr>
          <w:rFonts w:hint="eastAsia" w:ascii="Times New Roman" w:hAnsi="Times New Roman" w:cs="Times New Roman"/>
          <w:color w:val="auto"/>
          <w:sz w:val="24"/>
          <w:szCs w:val="24"/>
          <w:lang w:eastAsia="zh-CN"/>
        </w:rPr>
        <w:t>应急处置工作结束后，应急处置领导小组向云和县环保等有关部门报告。公司应认真总结，汲取事件教训，及时进行整改，并对应急处置工作进行评估和总结。</w:t>
      </w:r>
    </w:p>
    <w:p w14:paraId="305D1CA8">
      <w:pPr>
        <w:pStyle w:val="141"/>
        <w:keepNext w:val="0"/>
        <w:keepLines w:val="0"/>
        <w:pageBreakBefore w:val="0"/>
        <w:widowControl w:val="0"/>
        <w:numPr>
          <w:ilvl w:val="0"/>
          <w:numId w:val="0"/>
        </w:numPr>
        <w:kinsoku/>
        <w:wordWrap/>
        <w:overflowPunct/>
        <w:topLinePunct w:val="0"/>
        <w:autoSpaceDE/>
        <w:autoSpaceDN/>
        <w:bidi w:val="0"/>
        <w:adjustRightInd/>
        <w:snapToGrid/>
        <w:spacing w:afterLines="0" w:line="360" w:lineRule="auto"/>
        <w:ind w:firstLine="482" w:firstLineChars="200"/>
        <w:textAlignment w:val="auto"/>
        <w:rPr>
          <w:rFonts w:hint="eastAsia" w:ascii="Times New Roman" w:hAnsi="Times New Roman"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6、应急保障</w:t>
      </w:r>
    </w:p>
    <w:p w14:paraId="24D56002">
      <w:pPr>
        <w:spacing w:line="360" w:lineRule="auto"/>
        <w:ind w:firstLine="480" w:firstLineChars="200"/>
        <w:rPr>
          <w:rFonts w:hint="eastAsia" w:ascii="Times New Roman" w:hAnsi="Times New Roman" w:cs="Times New Roman"/>
          <w:b/>
          <w:bCs/>
          <w:color w:val="auto"/>
          <w:kern w:val="0"/>
          <w:sz w:val="24"/>
          <w:szCs w:val="24"/>
          <w:lang w:val="en-US" w:eastAsia="zh-CN"/>
        </w:rPr>
      </w:pPr>
      <w:r>
        <w:rPr>
          <w:rFonts w:hint="eastAsia" w:ascii="Times New Roman" w:hAnsi="Times New Roman" w:cs="Times New Roman"/>
          <w:color w:val="auto"/>
          <w:sz w:val="24"/>
          <w:szCs w:val="24"/>
          <w:lang w:eastAsia="zh-CN"/>
        </w:rPr>
        <w:t>应急处置领导小组建立通信、人员及装备等保障体系，尤其必须建设好抢修力量。应急抢修组由运行管理部和污水处理厂的检修组组成。开展污水收集、输送、处理、安全运行及应急的基本常识宣传和培训工作。组织泵站、污水处理厂应急事件演练，提高应急响应能力。</w:t>
      </w:r>
    </w:p>
    <w:p w14:paraId="6CBB391C">
      <w:pPr>
        <w:spacing w:line="360" w:lineRule="auto"/>
        <w:ind w:firstLine="482" w:firstLineChars="200"/>
        <w:rPr>
          <w:rFonts w:hint="eastAsia" w:ascii="Times New Roman" w:hAnsi="Times New Roman" w:cs="Times New Roman"/>
          <w:b/>
          <w:bCs/>
          <w:color w:val="auto"/>
          <w:kern w:val="0"/>
          <w:sz w:val="24"/>
          <w:szCs w:val="24"/>
          <w:lang w:val="en-US" w:eastAsia="zh-CN"/>
        </w:rPr>
      </w:pPr>
    </w:p>
    <w:p w14:paraId="6A9F57BE">
      <w:pPr>
        <w:spacing w:line="360" w:lineRule="auto"/>
        <w:ind w:firstLine="482" w:firstLineChars="200"/>
        <w:rPr>
          <w:rFonts w:hint="eastAsia" w:ascii="Times New Roman" w:hAnsi="Times New Roman" w:cs="Times New Roman"/>
          <w:b/>
          <w:bCs/>
          <w:color w:val="auto"/>
          <w:kern w:val="0"/>
          <w:sz w:val="24"/>
          <w:szCs w:val="24"/>
          <w:lang w:val="en-US" w:eastAsia="zh-CN"/>
        </w:rPr>
      </w:pPr>
    </w:p>
    <w:p w14:paraId="6884BA31">
      <w:pPr>
        <w:spacing w:line="360" w:lineRule="auto"/>
        <w:ind w:firstLine="480" w:firstLineChars="200"/>
        <w:rPr>
          <w:rFonts w:hint="eastAsia" w:ascii="Times New Roman" w:hAnsi="Times New Roman" w:cs="Times New Roman"/>
          <w:color w:val="auto"/>
          <w:kern w:val="0"/>
          <w:sz w:val="24"/>
          <w:szCs w:val="24"/>
          <w:lang w:eastAsia="zh-CN"/>
        </w:rPr>
      </w:pPr>
    </w:p>
    <w:p w14:paraId="5F488929">
      <w:pPr>
        <w:spacing w:line="360" w:lineRule="auto"/>
        <w:ind w:firstLine="480" w:firstLineChars="200"/>
        <w:rPr>
          <w:rFonts w:hint="eastAsia" w:ascii="Times New Roman" w:hAnsi="Times New Roman" w:cs="Times New Roman"/>
          <w:color w:val="auto"/>
          <w:kern w:val="0"/>
          <w:sz w:val="24"/>
          <w:szCs w:val="24"/>
          <w:lang w:eastAsia="zh-CN"/>
        </w:rPr>
        <w:sectPr>
          <w:pgSz w:w="11906" w:h="16838"/>
          <w:pgMar w:top="1440" w:right="1417" w:bottom="1440" w:left="1417" w:header="851" w:footer="850"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7914C74C">
      <w:pPr>
        <w:spacing w:line="360" w:lineRule="auto"/>
        <w:outlineLvl w:val="0"/>
        <w:rPr>
          <w:rFonts w:hint="eastAsia" w:ascii="Times New Roman" w:hAnsi="Times New Roman" w:cs="Times New Roman"/>
          <w:b/>
          <w:bCs/>
          <w:color w:val="auto"/>
          <w:sz w:val="32"/>
          <w:szCs w:val="32"/>
          <w:lang w:val="en-US" w:eastAsia="zh-CN"/>
        </w:rPr>
      </w:pPr>
      <w:bookmarkStart w:id="102" w:name="_Toc8603"/>
      <w:bookmarkStart w:id="103" w:name="_Toc29226"/>
      <w:r>
        <w:rPr>
          <w:rFonts w:hint="eastAsia" w:cs="Times New Roman"/>
          <w:b/>
          <w:bCs/>
          <w:color w:val="auto"/>
          <w:sz w:val="32"/>
          <w:szCs w:val="32"/>
          <w:lang w:val="en-US" w:eastAsia="zh-CN"/>
        </w:rPr>
        <w:t>5</w:t>
      </w:r>
      <w:r>
        <w:rPr>
          <w:rFonts w:hint="eastAsia" w:ascii="Times New Roman" w:hAnsi="Times New Roman" w:cs="Times New Roman"/>
          <w:b/>
          <w:bCs/>
          <w:color w:val="auto"/>
          <w:sz w:val="32"/>
          <w:szCs w:val="32"/>
          <w:lang w:val="en-US" w:eastAsia="zh-CN"/>
        </w:rPr>
        <w:t>地表水环境影响评价结论</w:t>
      </w:r>
      <w:bookmarkEnd w:id="102"/>
      <w:bookmarkEnd w:id="103"/>
    </w:p>
    <w:p w14:paraId="3FFA6D1E">
      <w:pPr>
        <w:spacing w:line="360" w:lineRule="auto"/>
        <w:outlineLvl w:val="1"/>
        <w:rPr>
          <w:rFonts w:ascii="Times New Roman" w:hAnsi="Times New Roman" w:eastAsia="宋体" w:cs="Times New Roman"/>
          <w:b/>
          <w:bCs/>
          <w:color w:val="auto"/>
          <w:sz w:val="30"/>
          <w:szCs w:val="30"/>
        </w:rPr>
      </w:pPr>
      <w:bookmarkStart w:id="104" w:name="_Toc14242"/>
      <w:bookmarkStart w:id="105" w:name="_Toc26527"/>
      <w:r>
        <w:rPr>
          <w:rFonts w:hint="eastAsia" w:cs="Times New Roman"/>
          <w:b/>
          <w:bCs/>
          <w:color w:val="auto"/>
          <w:sz w:val="30"/>
          <w:szCs w:val="30"/>
          <w:lang w:val="en-US" w:eastAsia="zh-CN"/>
        </w:rPr>
        <w:t>5</w:t>
      </w:r>
      <w:r>
        <w:rPr>
          <w:rFonts w:ascii="Times New Roman" w:hAnsi="Times New Roman" w:eastAsia="宋体" w:cs="Times New Roman"/>
          <w:b/>
          <w:bCs/>
          <w:color w:val="auto"/>
          <w:sz w:val="30"/>
          <w:szCs w:val="30"/>
        </w:rPr>
        <w:t>.1</w:t>
      </w:r>
      <w:r>
        <w:rPr>
          <w:rFonts w:hint="eastAsia" w:ascii="Times New Roman" w:hAnsi="Times New Roman" w:eastAsia="宋体" w:cs="Times New Roman"/>
          <w:b/>
          <w:bCs/>
          <w:color w:val="auto"/>
          <w:sz w:val="30"/>
          <w:szCs w:val="30"/>
        </w:rPr>
        <w:t>水环境影响评价结论</w:t>
      </w:r>
      <w:bookmarkEnd w:id="104"/>
      <w:bookmarkEnd w:id="105"/>
    </w:p>
    <w:p w14:paraId="1C53679C">
      <w:pPr>
        <w:spacing w:line="360" w:lineRule="auto"/>
        <w:ind w:firstLine="480" w:firstLineChars="200"/>
        <w:rPr>
          <w:rFonts w:hint="eastAsia"/>
          <w:bCs/>
          <w:color w:val="auto"/>
          <w:kern w:val="0"/>
          <w:sz w:val="24"/>
          <w:lang w:val="zh-CN" w:bidi="zh-CN"/>
        </w:rPr>
      </w:pPr>
      <w:r>
        <w:rPr>
          <w:rFonts w:hint="eastAsia"/>
          <w:bCs/>
          <w:color w:val="auto"/>
          <w:kern w:val="0"/>
          <w:sz w:val="24"/>
          <w:lang w:val="zh-CN" w:bidi="zh-CN"/>
        </w:rPr>
        <w:t>根据预测结果及环保措施可行性分析结论：</w:t>
      </w:r>
    </w:p>
    <w:p w14:paraId="34DAB3BA">
      <w:pPr>
        <w:spacing w:line="360" w:lineRule="auto"/>
        <w:ind w:firstLine="480" w:firstLineChars="200"/>
        <w:rPr>
          <w:rFonts w:hint="eastAsia" w:ascii="Times New Roman" w:hAnsi="Times New Roman" w:eastAsia="宋体" w:cs="Times New Roman"/>
          <w:color w:val="auto"/>
          <w:kern w:val="0"/>
          <w:sz w:val="24"/>
          <w:szCs w:val="24"/>
        </w:rPr>
      </w:pPr>
      <w:r>
        <w:rPr>
          <w:rFonts w:hint="eastAsia"/>
          <w:bCs/>
          <w:color w:val="auto"/>
          <w:kern w:val="0"/>
          <w:sz w:val="24"/>
          <w:lang w:val="zh-CN" w:bidi="zh-CN"/>
        </w:rPr>
        <w:t>（</w:t>
      </w:r>
      <w:r>
        <w:rPr>
          <w:rFonts w:hint="eastAsia"/>
          <w:bCs/>
          <w:color w:val="auto"/>
          <w:kern w:val="0"/>
          <w:sz w:val="24"/>
          <w:lang w:val="en-US" w:bidi="zh-CN"/>
        </w:rPr>
        <w:t>1</w:t>
      </w:r>
      <w:r>
        <w:rPr>
          <w:rFonts w:hint="eastAsia"/>
          <w:bCs/>
          <w:color w:val="auto"/>
          <w:kern w:val="0"/>
          <w:sz w:val="24"/>
          <w:lang w:val="zh-CN" w:bidi="zh-CN"/>
        </w:rPr>
        <w:t>）</w:t>
      </w:r>
      <w:r>
        <w:rPr>
          <w:rFonts w:hint="eastAsia" w:ascii="Times New Roman" w:hAnsi="Times New Roman" w:eastAsia="宋体" w:cs="Times New Roman"/>
          <w:color w:val="auto"/>
          <w:kern w:val="0"/>
          <w:sz w:val="24"/>
          <w:szCs w:val="24"/>
        </w:rPr>
        <w:t>正常排放下，CODcr、NH</w:t>
      </w:r>
      <w:r>
        <w:rPr>
          <w:rFonts w:hint="eastAsia" w:ascii="Times New Roman" w:hAnsi="Times New Roman" w:eastAsia="宋体" w:cs="Times New Roman"/>
          <w:color w:val="auto"/>
          <w:kern w:val="0"/>
          <w:sz w:val="24"/>
          <w:szCs w:val="24"/>
          <w:vertAlign w:val="subscript"/>
        </w:rPr>
        <w:t>3</w:t>
      </w:r>
      <w:r>
        <w:rPr>
          <w:rFonts w:hint="eastAsia" w:ascii="Times New Roman" w:hAnsi="Times New Roman" w:eastAsia="宋体" w:cs="Times New Roman"/>
          <w:color w:val="auto"/>
          <w:kern w:val="0"/>
          <w:sz w:val="24"/>
          <w:szCs w:val="24"/>
        </w:rPr>
        <w:t>-N预测结果满足《地表水环境质量标准》（GB3838-2002）III类标准限值，下游</w:t>
      </w:r>
      <w:r>
        <w:rPr>
          <w:rFonts w:hint="eastAsia" w:ascii="Times New Roman" w:hAnsi="Times New Roman" w:cs="Times New Roman"/>
          <w:color w:val="auto"/>
          <w:kern w:val="0"/>
          <w:sz w:val="24"/>
          <w:szCs w:val="24"/>
          <w:lang w:val="en-US" w:eastAsia="zh-CN"/>
        </w:rPr>
        <w:t>的</w:t>
      </w:r>
      <w:r>
        <w:rPr>
          <w:rFonts w:hint="eastAsia" w:ascii="Times New Roman" w:hAnsi="Times New Roman" w:eastAsia="宋体" w:cs="Times New Roman"/>
          <w:color w:val="auto"/>
          <w:kern w:val="0"/>
          <w:sz w:val="24"/>
          <w:szCs w:val="24"/>
          <w:lang w:val="en-US" w:eastAsia="zh-CN"/>
        </w:rPr>
        <w:t>混合过程段</w:t>
      </w:r>
      <w:r>
        <w:rPr>
          <w:rFonts w:hint="eastAsia" w:ascii="Times New Roman" w:hAnsi="Times New Roman" w:eastAsia="宋体" w:cs="Times New Roman"/>
          <w:color w:val="auto"/>
          <w:kern w:val="0"/>
          <w:sz w:val="24"/>
          <w:szCs w:val="24"/>
        </w:rPr>
        <w:t>满足《地表水环境质量标准》（GB3838-2002）III类标准限值</w:t>
      </w:r>
      <w:r>
        <w:rPr>
          <w:rFonts w:hint="eastAsia" w:ascii="Times New Roman" w:hAnsi="Times New Roman" w:cs="Times New Roman"/>
          <w:color w:val="auto"/>
          <w:kern w:val="0"/>
          <w:sz w:val="24"/>
          <w:szCs w:val="24"/>
          <w:lang w:eastAsia="zh-CN"/>
        </w:rPr>
        <w:t>，</w:t>
      </w:r>
      <w:r>
        <w:rPr>
          <w:rFonts w:hint="eastAsia" w:ascii="Times New Roman" w:hAnsi="Times New Roman" w:cs="Times New Roman"/>
          <w:color w:val="auto"/>
          <w:kern w:val="0"/>
          <w:sz w:val="24"/>
          <w:szCs w:val="24"/>
          <w:lang w:val="en-US" w:eastAsia="zh-CN"/>
        </w:rPr>
        <w:t>表明项目废水排放对</w:t>
      </w:r>
      <w:r>
        <w:rPr>
          <w:rFonts w:hint="eastAsia" w:hAnsi="Times New Roman" w:cs="Times New Roman"/>
          <w:bCs/>
          <w:color w:val="auto"/>
          <w:sz w:val="24"/>
          <w:u w:val="single"/>
          <w:lang w:val="en-US" w:eastAsia="zh-CN"/>
        </w:rPr>
        <w:t>果利河</w:t>
      </w:r>
      <w:r>
        <w:rPr>
          <w:rFonts w:hint="eastAsia" w:ascii="Times New Roman" w:hAnsi="Times New Roman" w:cs="Times New Roman"/>
          <w:color w:val="auto"/>
          <w:kern w:val="0"/>
          <w:sz w:val="24"/>
          <w:szCs w:val="24"/>
          <w:lang w:val="en-US" w:eastAsia="zh-CN"/>
        </w:rPr>
        <w:t>水质影响不大</w:t>
      </w:r>
      <w:r>
        <w:rPr>
          <w:rFonts w:hint="eastAsia" w:ascii="Times New Roman" w:hAnsi="Times New Roman" w:eastAsia="宋体" w:cs="Times New Roman"/>
          <w:color w:val="auto"/>
          <w:kern w:val="0"/>
          <w:sz w:val="24"/>
          <w:szCs w:val="24"/>
        </w:rPr>
        <w:t>。</w:t>
      </w:r>
    </w:p>
    <w:p w14:paraId="43AA30E4">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bCs/>
          <w:color w:val="auto"/>
          <w:kern w:val="0"/>
          <w:sz w:val="24"/>
          <w:lang w:val="zh-CN" w:bidi="zh-CN"/>
        </w:rPr>
        <w:t>（</w:t>
      </w:r>
      <w:r>
        <w:rPr>
          <w:rFonts w:hint="eastAsia"/>
          <w:bCs/>
          <w:color w:val="auto"/>
          <w:kern w:val="0"/>
          <w:sz w:val="24"/>
          <w:lang w:val="en-US" w:bidi="zh-CN"/>
        </w:rPr>
        <w:t>2</w:t>
      </w:r>
      <w:r>
        <w:rPr>
          <w:rFonts w:hint="eastAsia"/>
          <w:bCs/>
          <w:color w:val="auto"/>
          <w:kern w:val="0"/>
          <w:sz w:val="24"/>
          <w:lang w:val="zh-CN" w:bidi="zh-CN"/>
        </w:rPr>
        <w:t>）</w:t>
      </w:r>
      <w:r>
        <w:rPr>
          <w:rFonts w:hint="eastAsia" w:ascii="Times New Roman" w:hAnsi="Times New Roman" w:eastAsia="宋体" w:cs="Times New Roman"/>
          <w:color w:val="auto"/>
          <w:kern w:val="0"/>
          <w:sz w:val="24"/>
          <w:szCs w:val="24"/>
          <w:lang w:val="en-US" w:eastAsia="zh-CN"/>
        </w:rPr>
        <w:t>非</w:t>
      </w:r>
      <w:r>
        <w:rPr>
          <w:rFonts w:hint="eastAsia" w:ascii="Times New Roman" w:hAnsi="Times New Roman" w:eastAsia="宋体" w:cs="Times New Roman"/>
          <w:color w:val="auto"/>
          <w:kern w:val="0"/>
          <w:sz w:val="24"/>
          <w:szCs w:val="24"/>
        </w:rPr>
        <w:t>正常排放下，CODcr</w:t>
      </w:r>
      <w:r>
        <w:rPr>
          <w:rFonts w:hint="eastAsia" w:cs="Times New Roman"/>
          <w:color w:val="auto"/>
          <w:kern w:val="0"/>
          <w:sz w:val="24"/>
          <w:szCs w:val="24"/>
          <w:lang w:eastAsia="zh-CN"/>
        </w:rPr>
        <w:t>、氨氮</w:t>
      </w:r>
      <w:r>
        <w:rPr>
          <w:rFonts w:hint="eastAsia" w:ascii="Times New Roman" w:hAnsi="Times New Roman" w:eastAsia="宋体" w:cs="Times New Roman"/>
          <w:color w:val="auto"/>
          <w:kern w:val="0"/>
          <w:sz w:val="24"/>
          <w:szCs w:val="24"/>
        </w:rPr>
        <w:t>预测结果</w:t>
      </w:r>
      <w:r>
        <w:rPr>
          <w:rFonts w:hint="eastAsia" w:ascii="Times New Roman" w:hAnsi="Times New Roman" w:cs="Times New Roman"/>
          <w:color w:val="auto"/>
          <w:kern w:val="0"/>
          <w:sz w:val="24"/>
          <w:szCs w:val="24"/>
          <w:lang w:val="en-US" w:eastAsia="zh-CN"/>
        </w:rPr>
        <w:t>超过了</w:t>
      </w:r>
      <w:r>
        <w:rPr>
          <w:rFonts w:hint="eastAsia" w:ascii="Times New Roman" w:hAnsi="Times New Roman" w:eastAsia="宋体" w:cs="Times New Roman"/>
          <w:color w:val="auto"/>
          <w:kern w:val="0"/>
          <w:sz w:val="24"/>
          <w:szCs w:val="24"/>
        </w:rPr>
        <w:t>《地表水环境质量标准》（GB3838-2002）III类标准限值。</w:t>
      </w:r>
      <w:r>
        <w:rPr>
          <w:rFonts w:hint="eastAsia" w:ascii="Times New Roman" w:hAnsi="Times New Roman" w:cs="Times New Roman"/>
          <w:color w:val="auto"/>
          <w:kern w:val="0"/>
          <w:sz w:val="24"/>
          <w:szCs w:val="24"/>
          <w:lang w:val="en-US" w:eastAsia="zh-CN"/>
        </w:rPr>
        <w:t>本项目事故排放的情况下，水污染增加了</w:t>
      </w:r>
      <w:r>
        <w:rPr>
          <w:rFonts w:hint="eastAsia" w:hAnsi="Times New Roman" w:cs="Times New Roman"/>
          <w:bCs/>
          <w:color w:val="auto"/>
          <w:sz w:val="24"/>
          <w:u w:val="single"/>
          <w:lang w:val="en-US" w:eastAsia="zh-CN"/>
        </w:rPr>
        <w:t>果利河</w:t>
      </w:r>
      <w:r>
        <w:rPr>
          <w:rFonts w:hint="eastAsia" w:ascii="Times New Roman" w:hAnsi="Times New Roman" w:cs="Times New Roman"/>
          <w:color w:val="auto"/>
          <w:kern w:val="0"/>
          <w:sz w:val="24"/>
          <w:szCs w:val="24"/>
          <w:lang w:val="en-US" w:eastAsia="zh-CN"/>
        </w:rPr>
        <w:t>的污染负荷，不利于水质维持。因此，要求必须加强污水处理厂的设备维修和养护，明确操作规程，加强监督管理，保证污水处理站的正常运行，杜绝非正常排放的发生。</w:t>
      </w:r>
    </w:p>
    <w:p w14:paraId="3F0E8A46">
      <w:pPr>
        <w:spacing w:line="360" w:lineRule="auto"/>
        <w:ind w:firstLine="480" w:firstLineChars="200"/>
        <w:rPr>
          <w:rFonts w:hint="eastAsia" w:ascii="Times New Roman" w:hAnsi="Times New Roman" w:eastAsia="宋体" w:cs="Times New Roman"/>
          <w:color w:val="auto"/>
          <w:kern w:val="0"/>
          <w:sz w:val="24"/>
          <w:szCs w:val="24"/>
        </w:rPr>
      </w:pPr>
      <w:r>
        <w:rPr>
          <w:rFonts w:hint="eastAsia" w:ascii="Times New Roman" w:hAnsi="Times New Roman" w:cs="Times New Roman"/>
          <w:color w:val="auto"/>
          <w:kern w:val="0"/>
          <w:sz w:val="24"/>
          <w:szCs w:val="24"/>
          <w:lang w:val="en-US" w:eastAsia="zh-CN"/>
        </w:rPr>
        <w:t>（3）</w:t>
      </w:r>
      <w:r>
        <w:rPr>
          <w:rFonts w:hint="eastAsia" w:ascii="Times New Roman" w:hAnsi="Times New Roman" w:eastAsia="宋体" w:cs="Times New Roman"/>
          <w:color w:val="auto"/>
          <w:kern w:val="0"/>
          <w:sz w:val="24"/>
          <w:szCs w:val="24"/>
        </w:rPr>
        <w:t>污水处理厂工程实施后枯水期污染源排放量核算断面COD、NH</w:t>
      </w:r>
      <w:r>
        <w:rPr>
          <w:rFonts w:hint="eastAsia" w:ascii="Times New Roman" w:hAnsi="Times New Roman" w:eastAsia="宋体" w:cs="Times New Roman"/>
          <w:color w:val="auto"/>
          <w:kern w:val="0"/>
          <w:sz w:val="24"/>
          <w:szCs w:val="24"/>
          <w:vertAlign w:val="subscript"/>
        </w:rPr>
        <w:t>3</w:t>
      </w:r>
      <w:r>
        <w:rPr>
          <w:rFonts w:hint="eastAsia" w:ascii="Times New Roman" w:hAnsi="Times New Roman" w:eastAsia="宋体" w:cs="Times New Roman"/>
          <w:color w:val="auto"/>
          <w:kern w:val="0"/>
          <w:sz w:val="24"/>
          <w:szCs w:val="24"/>
        </w:rPr>
        <w:t>-N的标准值与预测浓度最大值的差值均大于核算断面安全余量。故本项目预测期污染源排放量核算断面COD、NH</w:t>
      </w:r>
      <w:r>
        <w:rPr>
          <w:rFonts w:hint="eastAsia" w:ascii="Times New Roman" w:hAnsi="Times New Roman" w:eastAsia="宋体" w:cs="Times New Roman"/>
          <w:color w:val="auto"/>
          <w:kern w:val="0"/>
          <w:sz w:val="24"/>
          <w:szCs w:val="24"/>
          <w:vertAlign w:val="subscript"/>
        </w:rPr>
        <w:t>3</w:t>
      </w:r>
      <w:r>
        <w:rPr>
          <w:rFonts w:hint="eastAsia" w:ascii="Times New Roman" w:hAnsi="Times New Roman" w:eastAsia="宋体" w:cs="Times New Roman"/>
          <w:color w:val="auto"/>
          <w:kern w:val="0"/>
          <w:sz w:val="24"/>
          <w:szCs w:val="24"/>
        </w:rPr>
        <w:t>-N均满足安全余量要求。</w:t>
      </w:r>
    </w:p>
    <w:p w14:paraId="4C9AE66A">
      <w:pPr>
        <w:spacing w:line="360" w:lineRule="auto"/>
        <w:ind w:firstLine="480" w:firstLineChars="200"/>
        <w:rPr>
          <w:rFonts w:hint="eastAsia" w:ascii="Times New Roman" w:hAnsi="Times New Roman" w:cs="Times New Roman"/>
          <w:color w:val="auto"/>
          <w:kern w:val="0"/>
          <w:sz w:val="24"/>
          <w:szCs w:val="24"/>
          <w:lang w:val="en-US" w:eastAsia="zh-CN"/>
        </w:rPr>
      </w:pPr>
      <w:r>
        <w:rPr>
          <w:rFonts w:hint="eastAsia"/>
          <w:bCs/>
          <w:color w:val="auto"/>
          <w:kern w:val="0"/>
          <w:sz w:val="24"/>
          <w:lang w:val="zh-CN" w:bidi="zh-CN"/>
        </w:rPr>
        <w:t>（</w:t>
      </w:r>
      <w:r>
        <w:rPr>
          <w:rFonts w:hint="eastAsia"/>
          <w:bCs/>
          <w:color w:val="auto"/>
          <w:kern w:val="0"/>
          <w:sz w:val="24"/>
          <w:lang w:val="en-US" w:bidi="zh-CN"/>
        </w:rPr>
        <w:t>4</w:t>
      </w:r>
      <w:r>
        <w:rPr>
          <w:rFonts w:hint="eastAsia"/>
          <w:bCs/>
          <w:color w:val="auto"/>
          <w:kern w:val="0"/>
          <w:sz w:val="24"/>
          <w:lang w:val="zh-CN" w:bidi="zh-CN"/>
        </w:rPr>
        <w:t>）</w:t>
      </w:r>
      <w:r>
        <w:rPr>
          <w:rFonts w:hint="eastAsia" w:ascii="Times New Roman" w:hAnsi="Times New Roman" w:cs="Times New Roman"/>
          <w:color w:val="auto"/>
          <w:kern w:val="0"/>
          <w:sz w:val="24"/>
          <w:szCs w:val="24"/>
          <w:lang w:val="en-US" w:eastAsia="zh-CN"/>
        </w:rPr>
        <w:t>本项目排污口设置符合相关法律法规的要求，入河排污口设置可行。</w:t>
      </w:r>
    </w:p>
    <w:p w14:paraId="7CABD02C">
      <w:pPr>
        <w:spacing w:line="360" w:lineRule="auto"/>
        <w:ind w:firstLine="480" w:firstLineChars="200"/>
        <w:rPr>
          <w:color w:val="auto"/>
          <w:sz w:val="24"/>
        </w:rPr>
      </w:pPr>
      <w:r>
        <w:rPr>
          <w:rFonts w:hint="eastAsia"/>
          <w:bCs/>
          <w:color w:val="auto"/>
          <w:kern w:val="0"/>
          <w:sz w:val="24"/>
          <w:lang w:val="zh-CN" w:bidi="zh-CN"/>
        </w:rPr>
        <w:t>本项目的实施</w:t>
      </w:r>
      <w:r>
        <w:rPr>
          <w:color w:val="auto"/>
          <w:sz w:val="24"/>
        </w:rPr>
        <w:t>解决了分散的污染源排放问题</w:t>
      </w:r>
      <w:r>
        <w:rPr>
          <w:rFonts w:hint="eastAsia"/>
          <w:color w:val="auto"/>
          <w:sz w:val="24"/>
        </w:rPr>
        <w:t>，</w:t>
      </w:r>
      <w:r>
        <w:rPr>
          <w:color w:val="auto"/>
          <w:sz w:val="24"/>
          <w:szCs w:val="28"/>
        </w:rPr>
        <w:t>可有效减少排入</w:t>
      </w:r>
      <w:r>
        <w:rPr>
          <w:rFonts w:hint="eastAsia"/>
          <w:color w:val="auto"/>
          <w:sz w:val="24"/>
        </w:rPr>
        <w:t>污染物</w:t>
      </w:r>
      <w:r>
        <w:rPr>
          <w:color w:val="auto"/>
          <w:sz w:val="24"/>
        </w:rPr>
        <w:t>进入周边地表水体</w:t>
      </w:r>
      <w:r>
        <w:rPr>
          <w:color w:val="auto"/>
          <w:sz w:val="24"/>
          <w:szCs w:val="28"/>
        </w:rPr>
        <w:t>的污染物量，极大</w:t>
      </w:r>
      <w:r>
        <w:rPr>
          <w:color w:val="auto"/>
          <w:sz w:val="24"/>
        </w:rPr>
        <w:t>改善现状水体环境，对保障服务区域内的城镇发展具有积极的作用，同时不会改变地表水水域功能，本项目具有明显的环境正效应。</w:t>
      </w:r>
    </w:p>
    <w:p w14:paraId="7B24DBE6">
      <w:pPr>
        <w:spacing w:line="360" w:lineRule="auto"/>
        <w:outlineLvl w:val="1"/>
        <w:rPr>
          <w:rFonts w:hint="default" w:ascii="Times New Roman" w:hAnsi="Times New Roman" w:eastAsia="宋体" w:cs="Times New Roman"/>
          <w:b/>
          <w:bCs/>
          <w:color w:val="auto"/>
          <w:sz w:val="30"/>
          <w:szCs w:val="30"/>
          <w:lang w:val="en-US" w:eastAsia="zh-CN"/>
        </w:rPr>
      </w:pPr>
      <w:bookmarkStart w:id="106" w:name="_Toc14253"/>
      <w:bookmarkStart w:id="107" w:name="_Toc23296"/>
      <w:r>
        <w:rPr>
          <w:rFonts w:hint="eastAsia" w:cs="Times New Roman"/>
          <w:b/>
          <w:bCs/>
          <w:color w:val="auto"/>
          <w:sz w:val="30"/>
          <w:szCs w:val="30"/>
          <w:lang w:val="en-US" w:eastAsia="zh-CN"/>
        </w:rPr>
        <w:t>5</w:t>
      </w:r>
      <w:r>
        <w:rPr>
          <w:rFonts w:ascii="Times New Roman" w:hAnsi="Times New Roman" w:eastAsia="宋体" w:cs="Times New Roman"/>
          <w:b/>
          <w:bCs/>
          <w:color w:val="auto"/>
          <w:sz w:val="30"/>
          <w:szCs w:val="30"/>
        </w:rPr>
        <w:t>.</w:t>
      </w:r>
      <w:r>
        <w:rPr>
          <w:rFonts w:hint="eastAsia" w:ascii="Times New Roman" w:hAnsi="Times New Roman" w:cs="Times New Roman"/>
          <w:b/>
          <w:bCs/>
          <w:color w:val="auto"/>
          <w:sz w:val="30"/>
          <w:szCs w:val="30"/>
          <w:lang w:val="en-US" w:eastAsia="zh-CN"/>
        </w:rPr>
        <w:t>3地表水环境影响评价自查表</w:t>
      </w:r>
      <w:bookmarkEnd w:id="106"/>
      <w:bookmarkEnd w:id="107"/>
    </w:p>
    <w:p w14:paraId="1F65A77B">
      <w:pPr>
        <w:pStyle w:val="6"/>
        <w:spacing w:line="360" w:lineRule="auto"/>
        <w:ind w:firstLine="48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本项目地表水环境影响评价自查表见</w:t>
      </w:r>
      <w:r>
        <w:rPr>
          <w:rFonts w:hint="eastAsia" w:ascii="Times New Roman" w:hAnsi="Times New Roman" w:cs="Times New Roman"/>
          <w:color w:val="auto"/>
          <w:sz w:val="24"/>
          <w:lang w:val="en-US" w:eastAsia="zh-CN"/>
        </w:rPr>
        <w:t>下</w:t>
      </w:r>
      <w:r>
        <w:rPr>
          <w:rFonts w:hint="eastAsia" w:ascii="Times New Roman" w:hAnsi="Times New Roman" w:eastAsia="宋体" w:cs="Times New Roman"/>
          <w:color w:val="auto"/>
          <w:sz w:val="24"/>
        </w:rPr>
        <w:t>表</w:t>
      </w:r>
      <w:r>
        <w:rPr>
          <w:rFonts w:hint="eastAsia" w:ascii="Times New Roman" w:hAnsi="Times New Roman" w:cs="Times New Roman"/>
          <w:color w:val="auto"/>
          <w:sz w:val="24"/>
          <w:lang w:eastAsia="zh-CN"/>
        </w:rPr>
        <w:t>：</w:t>
      </w:r>
    </w:p>
    <w:p w14:paraId="299CB219">
      <w:pPr>
        <w:pStyle w:val="88"/>
        <w:keepNext w:val="0"/>
        <w:keepLines w:val="0"/>
        <w:pageBreakBefore w:val="0"/>
        <w:widowControl w:val="0"/>
        <w:kinsoku/>
        <w:wordWrap/>
        <w:overflowPunct/>
        <w:topLinePunct w:val="0"/>
        <w:autoSpaceDE/>
        <w:autoSpaceDN/>
        <w:bidi w:val="0"/>
        <w:adjustRightInd/>
        <w:snapToGrid/>
        <w:spacing w:before="79" w:beforeLines="25" w:line="240" w:lineRule="auto"/>
        <w:jc w:val="center"/>
        <w:textAlignment w:val="auto"/>
        <w:rPr>
          <w:rFonts w:hint="eastAsia" w:ascii="Times New Roman" w:hAnsi="Times New Roman" w:eastAsia="宋体" w:cs="Times New Roman"/>
          <w:color w:val="auto"/>
          <w:sz w:val="24"/>
          <w:lang w:eastAsia="zh-CN"/>
        </w:rPr>
      </w:pPr>
      <w:r>
        <w:rPr>
          <w:rFonts w:ascii="Times New Roman" w:hAnsi="Times New Roman"/>
          <w:b/>
          <w:bCs/>
          <w:color w:val="auto"/>
          <w:sz w:val="21"/>
        </w:rPr>
        <w:t>表</w:t>
      </w:r>
      <w:r>
        <w:rPr>
          <w:rFonts w:hint="eastAsia"/>
          <w:b/>
          <w:bCs/>
          <w:color w:val="auto"/>
          <w:sz w:val="21"/>
          <w:lang w:val="en-US" w:eastAsia="zh-CN"/>
        </w:rPr>
        <w:t>5</w:t>
      </w:r>
      <w:r>
        <w:rPr>
          <w:rFonts w:hint="eastAsia" w:ascii="Times New Roman" w:hAnsi="Times New Roman"/>
          <w:b/>
          <w:bCs/>
          <w:color w:val="auto"/>
          <w:sz w:val="21"/>
          <w:lang w:val="en-US" w:eastAsia="zh-CN"/>
        </w:rPr>
        <w:t>.3-1</w:t>
      </w:r>
      <w:r>
        <w:rPr>
          <w:rFonts w:ascii="Times New Roman" w:hAnsi="Times New Roman"/>
          <w:b/>
          <w:bCs/>
          <w:color w:val="auto"/>
          <w:sz w:val="21"/>
        </w:rPr>
        <w:t xml:space="preserve">  </w:t>
      </w:r>
      <w:r>
        <w:rPr>
          <w:rFonts w:hint="eastAsia" w:ascii="Times New Roman" w:hAnsi="Times New Roman"/>
          <w:b/>
          <w:bCs/>
          <w:color w:val="auto"/>
          <w:sz w:val="21"/>
        </w:rPr>
        <w:t>地表水环境影响评价自查表</w:t>
      </w:r>
    </w:p>
    <w:tbl>
      <w:tblPr>
        <w:tblStyle w:val="32"/>
        <w:tblW w:w="92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5"/>
        <w:gridCol w:w="1524"/>
        <w:gridCol w:w="1355"/>
        <w:gridCol w:w="338"/>
        <w:gridCol w:w="57"/>
        <w:gridCol w:w="508"/>
        <w:gridCol w:w="452"/>
        <w:gridCol w:w="676"/>
        <w:gridCol w:w="679"/>
        <w:gridCol w:w="197"/>
        <w:gridCol w:w="1158"/>
        <w:gridCol w:w="87"/>
        <w:gridCol w:w="120"/>
        <w:gridCol w:w="1148"/>
      </w:tblGrid>
      <w:tr w14:paraId="6EDD5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69" w:type="dxa"/>
            <w:gridSpan w:val="2"/>
            <w:vAlign w:val="center"/>
          </w:tcPr>
          <w:p w14:paraId="3A0EE9B4">
            <w:pPr>
              <w:jc w:val="center"/>
              <w:rPr>
                <w:rFonts w:ascii="Times New Roman" w:hAnsi="Times New Roman"/>
                <w:color w:val="auto"/>
                <w:sz w:val="18"/>
                <w:szCs w:val="18"/>
              </w:rPr>
            </w:pPr>
            <w:r>
              <w:rPr>
                <w:rFonts w:ascii="Times New Roman" w:hAnsi="Times New Roman"/>
                <w:color w:val="auto"/>
                <w:sz w:val="18"/>
                <w:szCs w:val="18"/>
              </w:rPr>
              <w:t>工作内容</w:t>
            </w:r>
          </w:p>
        </w:tc>
        <w:tc>
          <w:tcPr>
            <w:tcW w:w="6775" w:type="dxa"/>
            <w:gridSpan w:val="12"/>
            <w:vAlign w:val="center"/>
          </w:tcPr>
          <w:p w14:paraId="366E8454">
            <w:pPr>
              <w:jc w:val="center"/>
              <w:rPr>
                <w:rFonts w:ascii="Times New Roman" w:hAnsi="Times New Roman"/>
                <w:color w:val="auto"/>
                <w:sz w:val="18"/>
                <w:szCs w:val="18"/>
              </w:rPr>
            </w:pPr>
            <w:r>
              <w:rPr>
                <w:rFonts w:ascii="Times New Roman" w:hAnsi="Times New Roman"/>
                <w:color w:val="auto"/>
                <w:sz w:val="18"/>
                <w:szCs w:val="18"/>
              </w:rPr>
              <w:t>自查项目</w:t>
            </w:r>
          </w:p>
        </w:tc>
      </w:tr>
      <w:tr w14:paraId="7DB57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restart"/>
            <w:vAlign w:val="center"/>
          </w:tcPr>
          <w:p w14:paraId="29C88CD8">
            <w:pPr>
              <w:jc w:val="center"/>
              <w:rPr>
                <w:rFonts w:hint="eastAsia" w:ascii="Times New Roman" w:hAnsi="Times New Roman"/>
                <w:color w:val="auto"/>
                <w:sz w:val="18"/>
                <w:szCs w:val="18"/>
              </w:rPr>
            </w:pPr>
            <w:r>
              <w:rPr>
                <w:rFonts w:hint="eastAsia" w:ascii="Times New Roman" w:hAnsi="Times New Roman"/>
                <w:color w:val="auto"/>
                <w:sz w:val="18"/>
                <w:szCs w:val="18"/>
              </w:rPr>
              <w:t>影</w:t>
            </w:r>
          </w:p>
          <w:p w14:paraId="28275F17">
            <w:pPr>
              <w:jc w:val="center"/>
              <w:rPr>
                <w:rFonts w:hint="eastAsia" w:ascii="Times New Roman" w:hAnsi="Times New Roman"/>
                <w:color w:val="auto"/>
                <w:sz w:val="18"/>
                <w:szCs w:val="18"/>
              </w:rPr>
            </w:pPr>
            <w:r>
              <w:rPr>
                <w:rFonts w:hint="eastAsia" w:ascii="Times New Roman" w:hAnsi="Times New Roman"/>
                <w:color w:val="auto"/>
                <w:sz w:val="18"/>
                <w:szCs w:val="18"/>
              </w:rPr>
              <w:t>响</w:t>
            </w:r>
          </w:p>
          <w:p w14:paraId="3B113B67">
            <w:pPr>
              <w:jc w:val="center"/>
              <w:rPr>
                <w:rFonts w:hint="eastAsia" w:ascii="Times New Roman" w:hAnsi="Times New Roman"/>
                <w:color w:val="auto"/>
                <w:sz w:val="18"/>
                <w:szCs w:val="18"/>
              </w:rPr>
            </w:pPr>
            <w:r>
              <w:rPr>
                <w:rFonts w:hint="eastAsia" w:ascii="Times New Roman" w:hAnsi="Times New Roman"/>
                <w:color w:val="auto"/>
                <w:sz w:val="18"/>
                <w:szCs w:val="18"/>
              </w:rPr>
              <w:t>识</w:t>
            </w:r>
          </w:p>
          <w:p w14:paraId="4542F8EC">
            <w:pPr>
              <w:jc w:val="center"/>
              <w:rPr>
                <w:rFonts w:ascii="Times New Roman" w:hAnsi="Times New Roman"/>
                <w:color w:val="auto"/>
                <w:sz w:val="18"/>
                <w:szCs w:val="18"/>
              </w:rPr>
            </w:pPr>
            <w:r>
              <w:rPr>
                <w:rFonts w:hint="eastAsia" w:ascii="Times New Roman" w:hAnsi="Times New Roman"/>
                <w:color w:val="auto"/>
                <w:sz w:val="18"/>
                <w:szCs w:val="18"/>
              </w:rPr>
              <w:t>别</w:t>
            </w:r>
          </w:p>
        </w:tc>
        <w:tc>
          <w:tcPr>
            <w:tcW w:w="1524" w:type="dxa"/>
            <w:vAlign w:val="center"/>
          </w:tcPr>
          <w:p w14:paraId="72D1556E">
            <w:pPr>
              <w:jc w:val="center"/>
              <w:rPr>
                <w:rFonts w:ascii="Times New Roman" w:hAnsi="Times New Roman"/>
                <w:color w:val="auto"/>
                <w:sz w:val="18"/>
                <w:szCs w:val="18"/>
              </w:rPr>
            </w:pPr>
            <w:r>
              <w:rPr>
                <w:rFonts w:hint="eastAsia" w:ascii="Times New Roman" w:hAnsi="Times New Roman"/>
                <w:color w:val="auto"/>
                <w:sz w:val="18"/>
                <w:szCs w:val="18"/>
              </w:rPr>
              <w:t>影响类型</w:t>
            </w:r>
          </w:p>
        </w:tc>
        <w:tc>
          <w:tcPr>
            <w:tcW w:w="6775" w:type="dxa"/>
            <w:gridSpan w:val="12"/>
            <w:vAlign w:val="center"/>
          </w:tcPr>
          <w:p w14:paraId="586A71FF">
            <w:pPr>
              <w:jc w:val="left"/>
              <w:rPr>
                <w:rFonts w:ascii="Times New Roman" w:hAnsi="Times New Roman"/>
                <w:color w:val="auto"/>
                <w:sz w:val="18"/>
                <w:szCs w:val="18"/>
              </w:rPr>
            </w:pPr>
            <w:r>
              <w:rPr>
                <w:rFonts w:hint="eastAsia" w:ascii="Times New Roman" w:hAnsi="Times New Roman"/>
                <w:color w:val="auto"/>
                <w:sz w:val="18"/>
                <w:szCs w:val="18"/>
              </w:rPr>
              <w:t xml:space="preserve">水污染影响型 </w:t>
            </w:r>
            <w:r>
              <w:rPr>
                <w:rFonts w:hint="eastAsia" w:ascii="Times New Roman" w:hAnsi="Times New Roman"/>
                <w:color w:val="auto"/>
                <w:sz w:val="18"/>
                <w:szCs w:val="18"/>
                <w:lang w:eastAsia="zh-CN"/>
              </w:rPr>
              <w:sym w:font="Wingdings 2" w:char="0052"/>
            </w:r>
            <w:r>
              <w:rPr>
                <w:rFonts w:hint="eastAsia" w:ascii="Times New Roman" w:hAnsi="Times New Roman"/>
                <w:color w:val="auto"/>
                <w:sz w:val="18"/>
                <w:szCs w:val="18"/>
              </w:rPr>
              <w:t>；水文要素影响型 □</w:t>
            </w:r>
          </w:p>
        </w:tc>
      </w:tr>
      <w:tr w14:paraId="31399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084D0637">
            <w:pPr>
              <w:jc w:val="center"/>
              <w:rPr>
                <w:rFonts w:ascii="Times New Roman" w:hAnsi="Times New Roman"/>
                <w:color w:val="auto"/>
                <w:sz w:val="18"/>
                <w:szCs w:val="18"/>
              </w:rPr>
            </w:pPr>
          </w:p>
        </w:tc>
        <w:tc>
          <w:tcPr>
            <w:tcW w:w="1524" w:type="dxa"/>
            <w:vAlign w:val="center"/>
          </w:tcPr>
          <w:p w14:paraId="00BD8FCF">
            <w:pPr>
              <w:jc w:val="center"/>
              <w:rPr>
                <w:rFonts w:ascii="Times New Roman" w:hAnsi="Times New Roman"/>
                <w:color w:val="auto"/>
                <w:sz w:val="18"/>
                <w:szCs w:val="18"/>
              </w:rPr>
            </w:pPr>
            <w:r>
              <w:rPr>
                <w:rFonts w:hint="eastAsia" w:ascii="Times New Roman" w:hAnsi="Times New Roman"/>
                <w:color w:val="auto"/>
                <w:sz w:val="18"/>
                <w:szCs w:val="18"/>
              </w:rPr>
              <w:t>水环境保护目标</w:t>
            </w:r>
          </w:p>
        </w:tc>
        <w:tc>
          <w:tcPr>
            <w:tcW w:w="6775" w:type="dxa"/>
            <w:gridSpan w:val="12"/>
            <w:vAlign w:val="center"/>
          </w:tcPr>
          <w:p w14:paraId="7BBF9415">
            <w:pPr>
              <w:jc w:val="left"/>
              <w:rPr>
                <w:rFonts w:hint="eastAsia" w:ascii="Times New Roman" w:hAnsi="Times New Roman"/>
                <w:color w:val="auto"/>
                <w:sz w:val="18"/>
                <w:szCs w:val="18"/>
              </w:rPr>
            </w:pPr>
            <w:r>
              <w:rPr>
                <w:rFonts w:hint="eastAsia" w:ascii="Times New Roman" w:hAnsi="Times New Roman"/>
                <w:color w:val="auto"/>
                <w:sz w:val="18"/>
                <w:szCs w:val="18"/>
              </w:rPr>
              <w:t xml:space="preserve">饮用水水源保护区 □；饮用水取水口 □；涉水的自然保护区 □；重要湿地 □； </w:t>
            </w:r>
          </w:p>
          <w:p w14:paraId="5CC2555C">
            <w:pPr>
              <w:jc w:val="left"/>
              <w:rPr>
                <w:rFonts w:hint="eastAsia" w:ascii="Times New Roman" w:hAnsi="Times New Roman" w:eastAsia="宋体"/>
                <w:color w:val="auto"/>
                <w:sz w:val="18"/>
                <w:szCs w:val="18"/>
                <w:lang w:eastAsia="zh-CN"/>
              </w:rPr>
            </w:pPr>
            <w:r>
              <w:rPr>
                <w:rFonts w:hint="eastAsia" w:ascii="Times New Roman" w:hAnsi="Times New Roman"/>
                <w:color w:val="auto"/>
                <w:sz w:val="18"/>
                <w:szCs w:val="18"/>
              </w:rPr>
              <w:t xml:space="preserve">重点保护与珍稀水生生物的栖息地 □；重要水生生物的自然产卵场及索饵场、越冬场和洄游通道、天然渔场等渔业水体 □；涉水的风景名胜区 □；其他 </w:t>
            </w:r>
            <w:r>
              <w:rPr>
                <w:rFonts w:hint="eastAsia"/>
                <w:color w:val="auto"/>
                <w:sz w:val="18"/>
                <w:szCs w:val="18"/>
                <w:lang w:eastAsia="zh-CN"/>
              </w:rPr>
              <w:t>☑</w:t>
            </w:r>
          </w:p>
        </w:tc>
      </w:tr>
      <w:tr w14:paraId="72B1B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2D265BB8">
            <w:pPr>
              <w:jc w:val="center"/>
              <w:rPr>
                <w:rFonts w:ascii="Times New Roman" w:hAnsi="Times New Roman"/>
                <w:color w:val="auto"/>
                <w:sz w:val="18"/>
                <w:szCs w:val="18"/>
              </w:rPr>
            </w:pPr>
          </w:p>
        </w:tc>
        <w:tc>
          <w:tcPr>
            <w:tcW w:w="1524" w:type="dxa"/>
            <w:vMerge w:val="restart"/>
            <w:vAlign w:val="center"/>
          </w:tcPr>
          <w:p w14:paraId="597B78CF">
            <w:pPr>
              <w:jc w:val="center"/>
              <w:rPr>
                <w:rFonts w:ascii="Times New Roman" w:hAnsi="Times New Roman"/>
                <w:color w:val="auto"/>
                <w:sz w:val="18"/>
                <w:szCs w:val="18"/>
              </w:rPr>
            </w:pPr>
            <w:r>
              <w:rPr>
                <w:rFonts w:hint="eastAsia" w:ascii="Times New Roman" w:hAnsi="Times New Roman"/>
                <w:color w:val="auto"/>
                <w:sz w:val="18"/>
                <w:szCs w:val="18"/>
              </w:rPr>
              <w:t>影响途径</w:t>
            </w:r>
          </w:p>
        </w:tc>
        <w:tc>
          <w:tcPr>
            <w:tcW w:w="3386" w:type="dxa"/>
            <w:gridSpan w:val="6"/>
            <w:vAlign w:val="center"/>
          </w:tcPr>
          <w:p w14:paraId="0D425357">
            <w:pPr>
              <w:jc w:val="center"/>
              <w:rPr>
                <w:rFonts w:ascii="Times New Roman" w:hAnsi="Times New Roman"/>
                <w:color w:val="auto"/>
                <w:sz w:val="18"/>
                <w:szCs w:val="18"/>
              </w:rPr>
            </w:pPr>
            <w:r>
              <w:rPr>
                <w:rFonts w:ascii="Times New Roman" w:hAnsi="Times New Roman"/>
                <w:color w:val="auto"/>
                <w:sz w:val="18"/>
                <w:szCs w:val="18"/>
              </w:rPr>
              <w:t>水污染影响型</w:t>
            </w:r>
          </w:p>
        </w:tc>
        <w:tc>
          <w:tcPr>
            <w:tcW w:w="3389" w:type="dxa"/>
            <w:gridSpan w:val="6"/>
            <w:vAlign w:val="center"/>
          </w:tcPr>
          <w:p w14:paraId="2A73A3BA">
            <w:pPr>
              <w:jc w:val="center"/>
              <w:rPr>
                <w:rFonts w:ascii="Times New Roman" w:hAnsi="Times New Roman"/>
                <w:color w:val="auto"/>
                <w:sz w:val="18"/>
                <w:szCs w:val="18"/>
              </w:rPr>
            </w:pPr>
            <w:r>
              <w:rPr>
                <w:rFonts w:hint="eastAsia" w:ascii="Times New Roman" w:hAnsi="Times New Roman"/>
                <w:color w:val="auto"/>
                <w:sz w:val="18"/>
                <w:szCs w:val="18"/>
              </w:rPr>
              <w:t>水文要素影响型</w:t>
            </w:r>
          </w:p>
        </w:tc>
      </w:tr>
      <w:tr w14:paraId="4200A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1092CD10">
            <w:pPr>
              <w:jc w:val="center"/>
              <w:rPr>
                <w:rFonts w:ascii="Times New Roman" w:hAnsi="Times New Roman"/>
                <w:color w:val="auto"/>
                <w:sz w:val="18"/>
                <w:szCs w:val="18"/>
              </w:rPr>
            </w:pPr>
          </w:p>
        </w:tc>
        <w:tc>
          <w:tcPr>
            <w:tcW w:w="1524" w:type="dxa"/>
            <w:vMerge w:val="continue"/>
            <w:vAlign w:val="center"/>
          </w:tcPr>
          <w:p w14:paraId="003563FC">
            <w:pPr>
              <w:jc w:val="center"/>
              <w:rPr>
                <w:rFonts w:ascii="Times New Roman" w:hAnsi="Times New Roman"/>
                <w:color w:val="auto"/>
                <w:sz w:val="18"/>
                <w:szCs w:val="18"/>
              </w:rPr>
            </w:pPr>
          </w:p>
        </w:tc>
        <w:tc>
          <w:tcPr>
            <w:tcW w:w="3386" w:type="dxa"/>
            <w:gridSpan w:val="6"/>
            <w:vAlign w:val="center"/>
          </w:tcPr>
          <w:p w14:paraId="3BFD396A">
            <w:pPr>
              <w:jc w:val="left"/>
              <w:rPr>
                <w:rFonts w:ascii="Times New Roman" w:hAnsi="Times New Roman"/>
                <w:color w:val="auto"/>
                <w:sz w:val="18"/>
                <w:szCs w:val="18"/>
              </w:rPr>
            </w:pPr>
            <w:r>
              <w:rPr>
                <w:rFonts w:hint="eastAsia" w:ascii="Times New Roman" w:hAnsi="Times New Roman"/>
                <w:color w:val="auto"/>
                <w:sz w:val="18"/>
                <w:szCs w:val="18"/>
              </w:rPr>
              <w:t xml:space="preserve">直接排放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 xml:space="preserve">；间接排放 </w:t>
            </w:r>
            <w:r>
              <w:rPr>
                <w:rFonts w:hint="eastAsia" w:ascii="Times New Roman" w:hAnsi="Times New Roman"/>
                <w:color w:val="auto"/>
                <w:sz w:val="18"/>
                <w:szCs w:val="18"/>
                <w:lang w:eastAsia="zh-CN"/>
              </w:rPr>
              <w:t>□</w:t>
            </w:r>
            <w:r>
              <w:rPr>
                <w:rFonts w:hint="eastAsia" w:ascii="Times New Roman" w:hAnsi="Times New Roman"/>
                <w:color w:val="auto"/>
                <w:sz w:val="18"/>
                <w:szCs w:val="18"/>
              </w:rPr>
              <w:t>；其他  □</w:t>
            </w:r>
          </w:p>
        </w:tc>
        <w:tc>
          <w:tcPr>
            <w:tcW w:w="3389" w:type="dxa"/>
            <w:gridSpan w:val="6"/>
            <w:vAlign w:val="center"/>
          </w:tcPr>
          <w:p w14:paraId="5986A3B3">
            <w:pPr>
              <w:jc w:val="left"/>
              <w:rPr>
                <w:rFonts w:ascii="Times New Roman" w:hAnsi="Times New Roman"/>
                <w:color w:val="auto"/>
                <w:sz w:val="18"/>
                <w:szCs w:val="18"/>
              </w:rPr>
            </w:pPr>
            <w:r>
              <w:rPr>
                <w:rFonts w:hint="eastAsia" w:ascii="Times New Roman" w:hAnsi="Times New Roman"/>
                <w:color w:val="auto"/>
                <w:sz w:val="18"/>
                <w:szCs w:val="18"/>
              </w:rPr>
              <w:t>水温 □；径流 □；水域面积 □</w:t>
            </w:r>
          </w:p>
        </w:tc>
      </w:tr>
      <w:tr w14:paraId="0934C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5B0C3264">
            <w:pPr>
              <w:jc w:val="center"/>
              <w:rPr>
                <w:rFonts w:ascii="Times New Roman" w:hAnsi="Times New Roman"/>
                <w:color w:val="auto"/>
                <w:sz w:val="18"/>
                <w:szCs w:val="18"/>
              </w:rPr>
            </w:pPr>
          </w:p>
        </w:tc>
        <w:tc>
          <w:tcPr>
            <w:tcW w:w="1524" w:type="dxa"/>
            <w:vAlign w:val="center"/>
          </w:tcPr>
          <w:p w14:paraId="2B3DF990">
            <w:pPr>
              <w:jc w:val="center"/>
              <w:rPr>
                <w:rFonts w:ascii="Times New Roman" w:hAnsi="Times New Roman"/>
                <w:color w:val="auto"/>
                <w:sz w:val="18"/>
                <w:szCs w:val="18"/>
              </w:rPr>
            </w:pPr>
            <w:r>
              <w:rPr>
                <w:rFonts w:hint="eastAsia" w:ascii="Times New Roman" w:hAnsi="Times New Roman"/>
                <w:color w:val="auto"/>
                <w:sz w:val="18"/>
                <w:szCs w:val="18"/>
              </w:rPr>
              <w:t>影响因子</w:t>
            </w:r>
          </w:p>
        </w:tc>
        <w:tc>
          <w:tcPr>
            <w:tcW w:w="3386" w:type="dxa"/>
            <w:gridSpan w:val="6"/>
            <w:vAlign w:val="center"/>
          </w:tcPr>
          <w:p w14:paraId="3FA7371D">
            <w:pPr>
              <w:jc w:val="left"/>
              <w:rPr>
                <w:rFonts w:hint="eastAsia" w:ascii="Times New Roman" w:hAnsi="Times New Roman"/>
                <w:color w:val="auto"/>
                <w:sz w:val="18"/>
                <w:szCs w:val="18"/>
              </w:rPr>
            </w:pPr>
            <w:r>
              <w:rPr>
                <w:rFonts w:hint="eastAsia" w:ascii="Times New Roman" w:hAnsi="Times New Roman"/>
                <w:color w:val="auto"/>
                <w:sz w:val="18"/>
                <w:szCs w:val="18"/>
              </w:rPr>
              <w:t xml:space="preserve">持久性污染物 </w:t>
            </w:r>
            <w:r>
              <w:rPr>
                <w:rFonts w:hint="eastAsia" w:ascii="Times New Roman" w:hAnsi="Times New Roman"/>
                <w:color w:val="auto"/>
                <w:sz w:val="18"/>
                <w:szCs w:val="18"/>
                <w:lang w:eastAsia="zh-CN"/>
              </w:rPr>
              <w:t>□</w:t>
            </w:r>
            <w:r>
              <w:rPr>
                <w:rFonts w:hint="eastAsia" w:ascii="Times New Roman" w:hAnsi="Times New Roman"/>
                <w:color w:val="auto"/>
                <w:sz w:val="18"/>
                <w:szCs w:val="18"/>
              </w:rPr>
              <w:t xml:space="preserve">；有毒有害污染物 </w:t>
            </w:r>
            <w:r>
              <w:rPr>
                <w:rFonts w:hint="eastAsia" w:ascii="Times New Roman" w:hAnsi="Times New Roman"/>
                <w:color w:val="auto"/>
                <w:sz w:val="18"/>
                <w:szCs w:val="18"/>
                <w:lang w:eastAsia="zh-CN"/>
              </w:rPr>
              <w:t>□</w:t>
            </w:r>
            <w:r>
              <w:rPr>
                <w:rFonts w:hint="eastAsia" w:ascii="Times New Roman" w:hAnsi="Times New Roman"/>
                <w:color w:val="auto"/>
                <w:sz w:val="18"/>
                <w:szCs w:val="18"/>
              </w:rPr>
              <w:t xml:space="preserve">；非持久性污染物 </w:t>
            </w:r>
            <w:r>
              <w:rPr>
                <w:rFonts w:hint="eastAsia" w:ascii="Times New Roman" w:hAnsi="Times New Roman"/>
                <w:color w:val="auto"/>
                <w:sz w:val="18"/>
                <w:szCs w:val="18"/>
                <w:lang w:eastAsia="zh-CN"/>
              </w:rPr>
              <w:sym w:font="Wingdings 2" w:char="0052"/>
            </w:r>
            <w:r>
              <w:rPr>
                <w:rFonts w:hint="eastAsia" w:ascii="Times New Roman" w:hAnsi="Times New Roman"/>
                <w:color w:val="auto"/>
                <w:sz w:val="18"/>
                <w:szCs w:val="18"/>
              </w:rPr>
              <w:t>；</w:t>
            </w:r>
          </w:p>
          <w:p w14:paraId="3E526C30">
            <w:pPr>
              <w:jc w:val="left"/>
              <w:rPr>
                <w:rFonts w:hint="eastAsia" w:ascii="Times New Roman" w:hAnsi="Times New Roman"/>
                <w:color w:val="auto"/>
                <w:sz w:val="18"/>
                <w:szCs w:val="18"/>
              </w:rPr>
            </w:pPr>
            <w:r>
              <w:rPr>
                <w:rFonts w:hint="eastAsia" w:ascii="Times New Roman" w:hAnsi="Times New Roman"/>
                <w:color w:val="auto"/>
                <w:sz w:val="18"/>
                <w:szCs w:val="18"/>
              </w:rPr>
              <w:t xml:space="preserve">pH值 </w:t>
            </w:r>
            <w:r>
              <w:rPr>
                <w:rFonts w:hint="eastAsia" w:ascii="Times New Roman" w:hAnsi="Times New Roman"/>
                <w:color w:val="auto"/>
                <w:sz w:val="18"/>
                <w:szCs w:val="18"/>
                <w:lang w:eastAsia="zh-CN"/>
              </w:rPr>
              <w:sym w:font="Wingdings 2" w:char="0052"/>
            </w:r>
            <w:r>
              <w:rPr>
                <w:rFonts w:hint="eastAsia" w:ascii="Times New Roman" w:hAnsi="Times New Roman"/>
                <w:color w:val="auto"/>
                <w:sz w:val="18"/>
                <w:szCs w:val="18"/>
              </w:rPr>
              <w:t xml:space="preserve">；热污染 □；富营养化 □；其他  </w:t>
            </w:r>
            <w:r>
              <w:rPr>
                <w:rFonts w:hint="eastAsia" w:ascii="Times New Roman" w:hAnsi="Times New Roman"/>
                <w:color w:val="auto"/>
                <w:sz w:val="18"/>
                <w:szCs w:val="18"/>
              </w:rPr>
              <w:sym w:font="Wingdings 2" w:char="0052"/>
            </w:r>
          </w:p>
        </w:tc>
        <w:tc>
          <w:tcPr>
            <w:tcW w:w="3389" w:type="dxa"/>
            <w:gridSpan w:val="6"/>
            <w:vAlign w:val="center"/>
          </w:tcPr>
          <w:p w14:paraId="35F75E9A">
            <w:pPr>
              <w:jc w:val="left"/>
              <w:rPr>
                <w:rFonts w:hint="eastAsia" w:ascii="Times New Roman" w:hAnsi="Times New Roman"/>
                <w:color w:val="auto"/>
                <w:sz w:val="18"/>
                <w:szCs w:val="18"/>
              </w:rPr>
            </w:pPr>
            <w:r>
              <w:rPr>
                <w:rFonts w:hint="eastAsia" w:ascii="Times New Roman" w:hAnsi="Times New Roman"/>
                <w:color w:val="auto"/>
                <w:sz w:val="18"/>
                <w:szCs w:val="18"/>
              </w:rPr>
              <w:t>水温 □；水位（水深） □；流速 □；流量 □；其他 □</w:t>
            </w:r>
          </w:p>
        </w:tc>
      </w:tr>
      <w:tr w14:paraId="30F5C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69" w:type="dxa"/>
            <w:gridSpan w:val="2"/>
            <w:vMerge w:val="restart"/>
            <w:vAlign w:val="center"/>
          </w:tcPr>
          <w:p w14:paraId="22CE301F">
            <w:pPr>
              <w:jc w:val="center"/>
              <w:rPr>
                <w:rFonts w:hint="eastAsia" w:ascii="Times New Roman" w:hAnsi="Times New Roman"/>
                <w:color w:val="auto"/>
                <w:sz w:val="18"/>
                <w:szCs w:val="18"/>
              </w:rPr>
            </w:pPr>
            <w:r>
              <w:rPr>
                <w:rFonts w:ascii="Times New Roman" w:hAnsi="Times New Roman"/>
                <w:color w:val="auto"/>
                <w:sz w:val="18"/>
                <w:szCs w:val="18"/>
              </w:rPr>
              <w:t>评价等级</w:t>
            </w:r>
          </w:p>
        </w:tc>
        <w:tc>
          <w:tcPr>
            <w:tcW w:w="3386" w:type="dxa"/>
            <w:gridSpan w:val="6"/>
            <w:vAlign w:val="center"/>
          </w:tcPr>
          <w:p w14:paraId="134FA35D">
            <w:pPr>
              <w:jc w:val="center"/>
              <w:rPr>
                <w:rFonts w:ascii="Times New Roman" w:hAnsi="Times New Roman"/>
                <w:color w:val="auto"/>
                <w:sz w:val="18"/>
                <w:szCs w:val="18"/>
              </w:rPr>
            </w:pPr>
            <w:r>
              <w:rPr>
                <w:rFonts w:ascii="Times New Roman" w:hAnsi="Times New Roman"/>
                <w:color w:val="auto"/>
                <w:sz w:val="18"/>
                <w:szCs w:val="18"/>
              </w:rPr>
              <w:t>水污染影响型</w:t>
            </w:r>
          </w:p>
        </w:tc>
        <w:tc>
          <w:tcPr>
            <w:tcW w:w="3389" w:type="dxa"/>
            <w:gridSpan w:val="6"/>
            <w:vAlign w:val="center"/>
          </w:tcPr>
          <w:p w14:paraId="20397386">
            <w:pPr>
              <w:jc w:val="center"/>
              <w:rPr>
                <w:rFonts w:ascii="Times New Roman" w:hAnsi="Times New Roman"/>
                <w:color w:val="auto"/>
                <w:sz w:val="18"/>
                <w:szCs w:val="18"/>
              </w:rPr>
            </w:pPr>
            <w:r>
              <w:rPr>
                <w:rFonts w:hint="eastAsia" w:ascii="Times New Roman" w:hAnsi="Times New Roman"/>
                <w:color w:val="auto"/>
                <w:sz w:val="18"/>
                <w:szCs w:val="18"/>
              </w:rPr>
              <w:t>水文要素影响型</w:t>
            </w:r>
          </w:p>
        </w:tc>
      </w:tr>
      <w:tr w14:paraId="39000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69" w:type="dxa"/>
            <w:gridSpan w:val="2"/>
            <w:vMerge w:val="continue"/>
            <w:vAlign w:val="center"/>
          </w:tcPr>
          <w:p w14:paraId="68CA847F">
            <w:pPr>
              <w:jc w:val="center"/>
              <w:rPr>
                <w:rFonts w:hint="eastAsia" w:ascii="Times New Roman" w:hAnsi="Times New Roman"/>
                <w:color w:val="auto"/>
                <w:sz w:val="18"/>
                <w:szCs w:val="18"/>
              </w:rPr>
            </w:pPr>
          </w:p>
        </w:tc>
        <w:tc>
          <w:tcPr>
            <w:tcW w:w="3386" w:type="dxa"/>
            <w:gridSpan w:val="6"/>
            <w:vAlign w:val="center"/>
          </w:tcPr>
          <w:p w14:paraId="7A851CC1">
            <w:pPr>
              <w:jc w:val="left"/>
              <w:rPr>
                <w:rFonts w:hint="eastAsia" w:ascii="Times New Roman" w:hAnsi="Times New Roman" w:eastAsia="宋体"/>
                <w:color w:val="auto"/>
                <w:sz w:val="18"/>
                <w:szCs w:val="18"/>
                <w:lang w:eastAsia="zh-CN"/>
              </w:rPr>
            </w:pPr>
            <w:r>
              <w:rPr>
                <w:rFonts w:hint="eastAsia" w:ascii="Times New Roman" w:hAnsi="Times New Roman"/>
                <w:color w:val="auto"/>
                <w:sz w:val="18"/>
                <w:szCs w:val="18"/>
              </w:rPr>
              <w:t xml:space="preserve">一级 □；二级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 xml:space="preserve">；三级A □；三级B </w:t>
            </w:r>
            <w:r>
              <w:rPr>
                <w:rFonts w:hint="eastAsia" w:ascii="Times New Roman" w:hAnsi="Times New Roman"/>
                <w:color w:val="auto"/>
                <w:sz w:val="18"/>
                <w:szCs w:val="18"/>
                <w:lang w:eastAsia="zh-CN"/>
              </w:rPr>
              <w:t>□</w:t>
            </w:r>
          </w:p>
        </w:tc>
        <w:tc>
          <w:tcPr>
            <w:tcW w:w="3389" w:type="dxa"/>
            <w:gridSpan w:val="6"/>
            <w:vAlign w:val="center"/>
          </w:tcPr>
          <w:p w14:paraId="0F9634B3">
            <w:pPr>
              <w:jc w:val="left"/>
              <w:rPr>
                <w:rFonts w:hint="eastAsia" w:ascii="Times New Roman" w:hAnsi="Times New Roman"/>
                <w:color w:val="auto"/>
                <w:sz w:val="18"/>
                <w:szCs w:val="18"/>
              </w:rPr>
            </w:pPr>
            <w:r>
              <w:rPr>
                <w:rFonts w:hint="eastAsia" w:ascii="Times New Roman" w:hAnsi="Times New Roman"/>
                <w:color w:val="auto"/>
                <w:sz w:val="18"/>
                <w:szCs w:val="18"/>
              </w:rPr>
              <w:t>一级 □；二级 □；三级 □</w:t>
            </w:r>
          </w:p>
        </w:tc>
      </w:tr>
      <w:tr w14:paraId="292AA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restart"/>
            <w:vAlign w:val="center"/>
          </w:tcPr>
          <w:p w14:paraId="6240E831">
            <w:pPr>
              <w:jc w:val="center"/>
              <w:rPr>
                <w:rFonts w:hint="eastAsia" w:ascii="Times New Roman" w:hAnsi="Times New Roman"/>
                <w:color w:val="auto"/>
                <w:sz w:val="18"/>
                <w:szCs w:val="18"/>
              </w:rPr>
            </w:pPr>
            <w:r>
              <w:rPr>
                <w:rFonts w:hint="eastAsia" w:ascii="Times New Roman" w:hAnsi="Times New Roman"/>
                <w:color w:val="auto"/>
                <w:sz w:val="18"/>
                <w:szCs w:val="18"/>
              </w:rPr>
              <w:t>现</w:t>
            </w:r>
          </w:p>
          <w:p w14:paraId="31FDC2E3">
            <w:pPr>
              <w:jc w:val="center"/>
              <w:rPr>
                <w:rFonts w:hint="eastAsia" w:ascii="Times New Roman" w:hAnsi="Times New Roman"/>
                <w:color w:val="auto"/>
                <w:sz w:val="18"/>
                <w:szCs w:val="18"/>
              </w:rPr>
            </w:pPr>
            <w:r>
              <w:rPr>
                <w:rFonts w:hint="eastAsia" w:ascii="Times New Roman" w:hAnsi="Times New Roman"/>
                <w:color w:val="auto"/>
                <w:sz w:val="18"/>
                <w:szCs w:val="18"/>
              </w:rPr>
              <w:t>状</w:t>
            </w:r>
          </w:p>
          <w:p w14:paraId="3C3FC729">
            <w:pPr>
              <w:jc w:val="center"/>
              <w:rPr>
                <w:rFonts w:hint="eastAsia" w:ascii="Times New Roman" w:hAnsi="Times New Roman"/>
                <w:color w:val="auto"/>
                <w:sz w:val="18"/>
                <w:szCs w:val="18"/>
              </w:rPr>
            </w:pPr>
            <w:r>
              <w:rPr>
                <w:rFonts w:hint="eastAsia" w:ascii="Times New Roman" w:hAnsi="Times New Roman"/>
                <w:color w:val="auto"/>
                <w:sz w:val="18"/>
                <w:szCs w:val="18"/>
              </w:rPr>
              <w:t>调</w:t>
            </w:r>
          </w:p>
          <w:p w14:paraId="218487EA">
            <w:pPr>
              <w:jc w:val="center"/>
              <w:rPr>
                <w:rFonts w:hint="eastAsia" w:ascii="Times New Roman" w:hAnsi="Times New Roman"/>
                <w:color w:val="auto"/>
                <w:sz w:val="18"/>
                <w:szCs w:val="18"/>
              </w:rPr>
            </w:pPr>
            <w:r>
              <w:rPr>
                <w:rFonts w:hint="eastAsia" w:ascii="Times New Roman" w:hAnsi="Times New Roman"/>
                <w:color w:val="auto"/>
                <w:sz w:val="18"/>
                <w:szCs w:val="18"/>
              </w:rPr>
              <w:t>查</w:t>
            </w:r>
          </w:p>
        </w:tc>
        <w:tc>
          <w:tcPr>
            <w:tcW w:w="1524" w:type="dxa"/>
            <w:vMerge w:val="restart"/>
            <w:vAlign w:val="center"/>
          </w:tcPr>
          <w:p w14:paraId="67D7A291">
            <w:pPr>
              <w:jc w:val="center"/>
              <w:rPr>
                <w:rFonts w:hint="eastAsia" w:ascii="Times New Roman" w:hAnsi="Times New Roman"/>
                <w:color w:val="auto"/>
                <w:sz w:val="18"/>
                <w:szCs w:val="18"/>
              </w:rPr>
            </w:pPr>
            <w:r>
              <w:rPr>
                <w:rFonts w:hint="eastAsia" w:ascii="Times New Roman" w:hAnsi="Times New Roman"/>
                <w:color w:val="auto"/>
                <w:sz w:val="18"/>
                <w:szCs w:val="18"/>
              </w:rPr>
              <w:t>区域污染源</w:t>
            </w:r>
          </w:p>
        </w:tc>
        <w:tc>
          <w:tcPr>
            <w:tcW w:w="3386" w:type="dxa"/>
            <w:gridSpan w:val="6"/>
            <w:vAlign w:val="center"/>
          </w:tcPr>
          <w:p w14:paraId="61888DE6">
            <w:pPr>
              <w:jc w:val="center"/>
              <w:rPr>
                <w:rFonts w:hint="eastAsia" w:ascii="Times New Roman" w:hAnsi="Times New Roman"/>
                <w:color w:val="auto"/>
                <w:sz w:val="18"/>
                <w:szCs w:val="18"/>
              </w:rPr>
            </w:pPr>
            <w:r>
              <w:rPr>
                <w:rFonts w:hint="eastAsia" w:ascii="Times New Roman" w:hAnsi="Times New Roman"/>
                <w:color w:val="auto"/>
                <w:sz w:val="18"/>
                <w:szCs w:val="18"/>
              </w:rPr>
              <w:t>调查项目</w:t>
            </w:r>
          </w:p>
        </w:tc>
        <w:tc>
          <w:tcPr>
            <w:tcW w:w="3389" w:type="dxa"/>
            <w:gridSpan w:val="6"/>
            <w:vAlign w:val="center"/>
          </w:tcPr>
          <w:p w14:paraId="496DBE1D">
            <w:pPr>
              <w:jc w:val="center"/>
              <w:rPr>
                <w:rFonts w:hint="eastAsia" w:ascii="Times New Roman" w:hAnsi="Times New Roman"/>
                <w:color w:val="auto"/>
                <w:sz w:val="18"/>
                <w:szCs w:val="18"/>
              </w:rPr>
            </w:pPr>
            <w:r>
              <w:rPr>
                <w:rFonts w:hint="eastAsia" w:ascii="Times New Roman" w:hAnsi="Times New Roman"/>
                <w:color w:val="auto"/>
                <w:sz w:val="18"/>
                <w:szCs w:val="18"/>
              </w:rPr>
              <w:t>数据来源</w:t>
            </w:r>
          </w:p>
        </w:tc>
      </w:tr>
      <w:tr w14:paraId="47B9BD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10BEC19F">
            <w:pPr>
              <w:jc w:val="center"/>
              <w:rPr>
                <w:rFonts w:hint="eastAsia" w:ascii="Times New Roman" w:hAnsi="Times New Roman"/>
                <w:color w:val="auto"/>
                <w:sz w:val="18"/>
                <w:szCs w:val="18"/>
              </w:rPr>
            </w:pPr>
          </w:p>
        </w:tc>
        <w:tc>
          <w:tcPr>
            <w:tcW w:w="1524" w:type="dxa"/>
            <w:vMerge w:val="continue"/>
            <w:vAlign w:val="center"/>
          </w:tcPr>
          <w:p w14:paraId="38537F1E">
            <w:pPr>
              <w:jc w:val="center"/>
              <w:rPr>
                <w:rFonts w:hint="eastAsia" w:ascii="Times New Roman" w:hAnsi="Times New Roman"/>
                <w:color w:val="auto"/>
                <w:sz w:val="18"/>
                <w:szCs w:val="18"/>
              </w:rPr>
            </w:pPr>
          </w:p>
        </w:tc>
        <w:tc>
          <w:tcPr>
            <w:tcW w:w="1693" w:type="dxa"/>
            <w:gridSpan w:val="2"/>
            <w:vAlign w:val="center"/>
          </w:tcPr>
          <w:p w14:paraId="7785A2F2">
            <w:pPr>
              <w:jc w:val="left"/>
              <w:rPr>
                <w:rFonts w:hint="eastAsia" w:ascii="Times New Roman" w:hAnsi="Times New Roman"/>
                <w:color w:val="auto"/>
                <w:sz w:val="18"/>
                <w:szCs w:val="18"/>
              </w:rPr>
            </w:pPr>
            <w:r>
              <w:rPr>
                <w:rFonts w:hint="eastAsia" w:ascii="Times New Roman" w:hAnsi="Times New Roman"/>
                <w:color w:val="auto"/>
                <w:sz w:val="18"/>
                <w:szCs w:val="18"/>
              </w:rPr>
              <w:t xml:space="preserve">已建 </w:t>
            </w:r>
            <w:r>
              <w:rPr>
                <w:rFonts w:hint="eastAsia" w:ascii="Times New Roman" w:hAnsi="Times New Roman"/>
                <w:color w:val="auto"/>
                <w:sz w:val="18"/>
                <w:szCs w:val="18"/>
              </w:rPr>
              <w:sym w:font="Wingdings 2" w:char="00A3"/>
            </w:r>
            <w:r>
              <w:rPr>
                <w:rFonts w:hint="eastAsia" w:ascii="Times New Roman" w:hAnsi="Times New Roman"/>
                <w:color w:val="auto"/>
                <w:sz w:val="18"/>
                <w:szCs w:val="18"/>
              </w:rPr>
              <w:t xml:space="preserve">；在建 </w:t>
            </w:r>
            <w:r>
              <w:rPr>
                <w:rFonts w:hint="eastAsia" w:ascii="Times New Roman" w:hAnsi="Times New Roman"/>
                <w:color w:val="auto"/>
                <w:sz w:val="18"/>
                <w:szCs w:val="18"/>
              </w:rPr>
              <w:sym w:font="Wingdings 2" w:char="00A3"/>
            </w:r>
            <w:r>
              <w:rPr>
                <w:rFonts w:hint="eastAsia" w:ascii="Times New Roman" w:hAnsi="Times New Roman"/>
                <w:color w:val="auto"/>
                <w:sz w:val="18"/>
                <w:szCs w:val="18"/>
              </w:rPr>
              <w:t xml:space="preserve">；拟建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；其他 □</w:t>
            </w:r>
          </w:p>
        </w:tc>
        <w:tc>
          <w:tcPr>
            <w:tcW w:w="1693" w:type="dxa"/>
            <w:gridSpan w:val="4"/>
            <w:vAlign w:val="center"/>
          </w:tcPr>
          <w:p w14:paraId="2A7C2667">
            <w:pPr>
              <w:jc w:val="left"/>
              <w:rPr>
                <w:rFonts w:hint="eastAsia" w:ascii="Times New Roman" w:hAnsi="Times New Roman"/>
                <w:color w:val="auto"/>
                <w:sz w:val="18"/>
                <w:szCs w:val="18"/>
              </w:rPr>
            </w:pPr>
            <w:r>
              <w:rPr>
                <w:rFonts w:hint="eastAsia" w:ascii="Times New Roman" w:hAnsi="Times New Roman"/>
                <w:color w:val="auto"/>
                <w:sz w:val="18"/>
                <w:szCs w:val="18"/>
              </w:rPr>
              <w:t>拟替代的污染源□</w:t>
            </w:r>
          </w:p>
        </w:tc>
        <w:tc>
          <w:tcPr>
            <w:tcW w:w="3389" w:type="dxa"/>
            <w:gridSpan w:val="6"/>
            <w:vAlign w:val="center"/>
          </w:tcPr>
          <w:p w14:paraId="585400A0">
            <w:pPr>
              <w:jc w:val="center"/>
              <w:rPr>
                <w:rFonts w:hint="eastAsia" w:ascii="Times New Roman" w:hAnsi="Times New Roman" w:eastAsia="宋体"/>
                <w:color w:val="auto"/>
                <w:sz w:val="18"/>
                <w:szCs w:val="18"/>
                <w:lang w:eastAsia="zh-CN"/>
              </w:rPr>
            </w:pPr>
            <w:r>
              <w:rPr>
                <w:rFonts w:hint="eastAsia" w:ascii="Times New Roman" w:hAnsi="Times New Roman"/>
                <w:color w:val="auto"/>
                <w:sz w:val="18"/>
                <w:szCs w:val="18"/>
              </w:rPr>
              <w:t xml:space="preserve">排污许可证 □；环评 </w:t>
            </w:r>
            <w:r>
              <w:rPr>
                <w:rFonts w:hint="eastAsia" w:ascii="Times New Roman" w:hAnsi="Times New Roman"/>
                <w:color w:val="auto"/>
                <w:sz w:val="18"/>
                <w:szCs w:val="18"/>
              </w:rPr>
              <w:sym w:font="Wingdings 2" w:char="00A3"/>
            </w:r>
            <w:r>
              <w:rPr>
                <w:rFonts w:hint="eastAsia" w:ascii="Times New Roman" w:hAnsi="Times New Roman"/>
                <w:color w:val="auto"/>
                <w:sz w:val="18"/>
                <w:szCs w:val="18"/>
              </w:rPr>
              <w:t xml:space="preserve">；环保验收 </w:t>
            </w:r>
            <w:r>
              <w:rPr>
                <w:rFonts w:hint="eastAsia" w:ascii="Times New Roman" w:hAnsi="Times New Roman"/>
                <w:color w:val="auto"/>
                <w:sz w:val="18"/>
                <w:szCs w:val="18"/>
              </w:rPr>
              <w:sym w:font="Wingdings 2" w:char="00A3"/>
            </w:r>
            <w:r>
              <w:rPr>
                <w:rFonts w:hint="eastAsia" w:ascii="Times New Roman" w:hAnsi="Times New Roman"/>
                <w:color w:val="auto"/>
                <w:sz w:val="18"/>
                <w:szCs w:val="18"/>
              </w:rPr>
              <w:t xml:space="preserve">；既有实测 </w:t>
            </w:r>
            <w:r>
              <w:rPr>
                <w:rFonts w:hint="eastAsia" w:ascii="Times New Roman" w:hAnsi="Times New Roman"/>
                <w:color w:val="auto"/>
                <w:sz w:val="18"/>
                <w:szCs w:val="18"/>
              </w:rPr>
              <w:sym w:font="Wingdings 2" w:char="00A3"/>
            </w:r>
            <w:r>
              <w:rPr>
                <w:rFonts w:hint="eastAsia" w:ascii="Times New Roman" w:hAnsi="Times New Roman"/>
                <w:color w:val="auto"/>
                <w:sz w:val="18"/>
                <w:szCs w:val="18"/>
              </w:rPr>
              <w:t xml:space="preserve">；现场监测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 xml:space="preserve">；入河排放口数据 □；其他 </w:t>
            </w:r>
            <w:r>
              <w:rPr>
                <w:rFonts w:hint="eastAsia"/>
                <w:color w:val="auto"/>
                <w:sz w:val="18"/>
                <w:szCs w:val="18"/>
                <w:lang w:eastAsia="zh-CN"/>
              </w:rPr>
              <w:t>☑</w:t>
            </w:r>
          </w:p>
        </w:tc>
      </w:tr>
      <w:tr w14:paraId="40A97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5542EA7E">
            <w:pPr>
              <w:jc w:val="center"/>
              <w:rPr>
                <w:rFonts w:hint="eastAsia" w:ascii="Times New Roman" w:hAnsi="Times New Roman"/>
                <w:color w:val="auto"/>
                <w:sz w:val="18"/>
                <w:szCs w:val="18"/>
              </w:rPr>
            </w:pPr>
          </w:p>
        </w:tc>
        <w:tc>
          <w:tcPr>
            <w:tcW w:w="1524" w:type="dxa"/>
            <w:vMerge w:val="restart"/>
            <w:vAlign w:val="center"/>
          </w:tcPr>
          <w:p w14:paraId="77E98465">
            <w:pPr>
              <w:jc w:val="center"/>
              <w:rPr>
                <w:rFonts w:hint="eastAsia" w:ascii="Times New Roman" w:hAnsi="Times New Roman"/>
                <w:color w:val="auto"/>
                <w:sz w:val="18"/>
                <w:szCs w:val="18"/>
              </w:rPr>
            </w:pPr>
            <w:r>
              <w:rPr>
                <w:rFonts w:hint="eastAsia" w:ascii="Times New Roman" w:hAnsi="Times New Roman"/>
                <w:color w:val="auto"/>
                <w:sz w:val="18"/>
                <w:szCs w:val="18"/>
              </w:rPr>
              <w:t>受影响水体水环境质量</w:t>
            </w:r>
          </w:p>
        </w:tc>
        <w:tc>
          <w:tcPr>
            <w:tcW w:w="3386" w:type="dxa"/>
            <w:gridSpan w:val="6"/>
            <w:vAlign w:val="center"/>
          </w:tcPr>
          <w:p w14:paraId="4AA95BE2">
            <w:pPr>
              <w:jc w:val="center"/>
              <w:rPr>
                <w:rFonts w:hint="eastAsia" w:ascii="Times New Roman" w:hAnsi="Times New Roman"/>
                <w:color w:val="auto"/>
                <w:sz w:val="18"/>
                <w:szCs w:val="18"/>
              </w:rPr>
            </w:pPr>
            <w:r>
              <w:rPr>
                <w:rFonts w:hint="eastAsia" w:ascii="Times New Roman" w:hAnsi="Times New Roman"/>
                <w:color w:val="auto"/>
                <w:sz w:val="18"/>
                <w:szCs w:val="18"/>
              </w:rPr>
              <w:t>调查时期</w:t>
            </w:r>
          </w:p>
        </w:tc>
        <w:tc>
          <w:tcPr>
            <w:tcW w:w="3389" w:type="dxa"/>
            <w:gridSpan w:val="6"/>
            <w:vAlign w:val="center"/>
          </w:tcPr>
          <w:p w14:paraId="4E7F19FB">
            <w:pPr>
              <w:jc w:val="center"/>
              <w:rPr>
                <w:rFonts w:hint="eastAsia" w:ascii="Times New Roman" w:hAnsi="Times New Roman"/>
                <w:color w:val="auto"/>
                <w:sz w:val="18"/>
                <w:szCs w:val="18"/>
              </w:rPr>
            </w:pPr>
            <w:r>
              <w:rPr>
                <w:rFonts w:hint="eastAsia" w:ascii="Times New Roman" w:hAnsi="Times New Roman"/>
                <w:color w:val="auto"/>
                <w:sz w:val="18"/>
                <w:szCs w:val="18"/>
              </w:rPr>
              <w:t>数据来源</w:t>
            </w:r>
          </w:p>
        </w:tc>
      </w:tr>
      <w:tr w14:paraId="0BAE6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1D325AEC">
            <w:pPr>
              <w:jc w:val="center"/>
              <w:rPr>
                <w:rFonts w:hint="eastAsia" w:ascii="Times New Roman" w:hAnsi="Times New Roman"/>
                <w:color w:val="auto"/>
                <w:sz w:val="18"/>
                <w:szCs w:val="18"/>
              </w:rPr>
            </w:pPr>
          </w:p>
        </w:tc>
        <w:tc>
          <w:tcPr>
            <w:tcW w:w="1524" w:type="dxa"/>
            <w:vMerge w:val="continue"/>
            <w:vAlign w:val="center"/>
          </w:tcPr>
          <w:p w14:paraId="66CF46D8">
            <w:pPr>
              <w:jc w:val="center"/>
              <w:rPr>
                <w:rFonts w:hint="eastAsia" w:ascii="Times New Roman" w:hAnsi="Times New Roman"/>
                <w:color w:val="auto"/>
                <w:sz w:val="18"/>
                <w:szCs w:val="18"/>
              </w:rPr>
            </w:pPr>
          </w:p>
        </w:tc>
        <w:tc>
          <w:tcPr>
            <w:tcW w:w="3386" w:type="dxa"/>
            <w:gridSpan w:val="6"/>
            <w:vAlign w:val="center"/>
          </w:tcPr>
          <w:p w14:paraId="0E52838E">
            <w:pPr>
              <w:jc w:val="left"/>
              <w:rPr>
                <w:rFonts w:hint="eastAsia" w:ascii="Times New Roman" w:hAnsi="Times New Roman"/>
                <w:color w:val="auto"/>
                <w:sz w:val="18"/>
                <w:szCs w:val="18"/>
              </w:rPr>
            </w:pPr>
            <w:r>
              <w:rPr>
                <w:rFonts w:hint="eastAsia" w:ascii="Times New Roman" w:hAnsi="Times New Roman"/>
                <w:color w:val="auto"/>
                <w:sz w:val="18"/>
                <w:szCs w:val="18"/>
              </w:rPr>
              <w:t xml:space="preserve">丰水期 </w:t>
            </w:r>
            <w:r>
              <w:rPr>
                <w:rFonts w:hint="eastAsia" w:ascii="Times New Roman" w:hAnsi="Times New Roman"/>
                <w:color w:val="auto"/>
                <w:sz w:val="18"/>
                <w:szCs w:val="18"/>
              </w:rPr>
              <w:sym w:font="Wingdings 2" w:char="00A3"/>
            </w:r>
            <w:r>
              <w:rPr>
                <w:rFonts w:hint="eastAsia" w:ascii="Times New Roman" w:hAnsi="Times New Roman"/>
                <w:color w:val="auto"/>
                <w:sz w:val="18"/>
                <w:szCs w:val="18"/>
              </w:rPr>
              <w:t xml:space="preserve">；平水期 </w:t>
            </w:r>
            <w:r>
              <w:rPr>
                <w:rFonts w:hint="eastAsia" w:ascii="Times New Roman" w:hAnsi="Times New Roman"/>
                <w:color w:val="auto"/>
                <w:sz w:val="18"/>
                <w:szCs w:val="18"/>
              </w:rPr>
              <w:sym w:font="Wingdings 2" w:char="00A3"/>
            </w:r>
            <w:r>
              <w:rPr>
                <w:rFonts w:hint="eastAsia" w:ascii="Times New Roman" w:hAnsi="Times New Roman"/>
                <w:color w:val="auto"/>
                <w:sz w:val="18"/>
                <w:szCs w:val="18"/>
              </w:rPr>
              <w:t xml:space="preserve">；枯水期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；冰封期 □</w:t>
            </w:r>
          </w:p>
          <w:p w14:paraId="4596066C">
            <w:pPr>
              <w:jc w:val="left"/>
              <w:rPr>
                <w:rFonts w:hint="eastAsia" w:ascii="Times New Roman" w:hAnsi="Times New Roman"/>
                <w:color w:val="auto"/>
                <w:sz w:val="18"/>
                <w:szCs w:val="18"/>
              </w:rPr>
            </w:pPr>
            <w:r>
              <w:rPr>
                <w:rFonts w:hint="eastAsia" w:ascii="Times New Roman" w:hAnsi="Times New Roman"/>
                <w:color w:val="auto"/>
                <w:sz w:val="18"/>
                <w:szCs w:val="18"/>
              </w:rPr>
              <w:t xml:space="preserve">春季 </w:t>
            </w:r>
            <w:r>
              <w:rPr>
                <w:rFonts w:hint="eastAsia" w:ascii="Times New Roman" w:hAnsi="Times New Roman"/>
                <w:color w:val="auto"/>
                <w:sz w:val="18"/>
                <w:szCs w:val="18"/>
                <w:lang w:eastAsia="zh-CN"/>
              </w:rPr>
              <w:sym w:font="Wingdings 2" w:char="0052"/>
            </w:r>
            <w:r>
              <w:rPr>
                <w:rFonts w:hint="eastAsia" w:ascii="Times New Roman" w:hAnsi="Times New Roman"/>
                <w:color w:val="auto"/>
                <w:sz w:val="18"/>
                <w:szCs w:val="18"/>
              </w:rPr>
              <w:t xml:space="preserve">；夏季 </w:t>
            </w:r>
            <w:r>
              <w:rPr>
                <w:rFonts w:hint="eastAsia" w:ascii="Times New Roman" w:hAnsi="Times New Roman"/>
                <w:color w:val="auto"/>
                <w:sz w:val="18"/>
                <w:szCs w:val="18"/>
              </w:rPr>
              <w:sym w:font="Wingdings 2" w:char="00A3"/>
            </w:r>
            <w:r>
              <w:rPr>
                <w:rFonts w:hint="eastAsia" w:ascii="Times New Roman" w:hAnsi="Times New Roman"/>
                <w:color w:val="auto"/>
                <w:sz w:val="18"/>
                <w:szCs w:val="18"/>
              </w:rPr>
              <w:t xml:space="preserve">；秋季 □；冬季 □ </w:t>
            </w:r>
          </w:p>
        </w:tc>
        <w:tc>
          <w:tcPr>
            <w:tcW w:w="3389" w:type="dxa"/>
            <w:gridSpan w:val="6"/>
            <w:vAlign w:val="center"/>
          </w:tcPr>
          <w:p w14:paraId="4A20B4AA">
            <w:pPr>
              <w:rPr>
                <w:rFonts w:hint="eastAsia" w:ascii="Times New Roman" w:hAnsi="Times New Roman" w:eastAsia="宋体"/>
                <w:color w:val="auto"/>
                <w:sz w:val="18"/>
                <w:szCs w:val="18"/>
                <w:lang w:eastAsia="zh-CN"/>
              </w:rPr>
            </w:pPr>
            <w:r>
              <w:rPr>
                <w:rFonts w:hint="eastAsia" w:ascii="Times New Roman" w:hAnsi="Times New Roman"/>
                <w:color w:val="auto"/>
                <w:sz w:val="18"/>
                <w:szCs w:val="18"/>
              </w:rPr>
              <w:t xml:space="preserve">生态环境保护主管部门 </w:t>
            </w:r>
            <w:r>
              <w:rPr>
                <w:rFonts w:hint="eastAsia"/>
                <w:color w:val="auto"/>
                <w:sz w:val="18"/>
                <w:szCs w:val="18"/>
                <w:lang w:eastAsia="zh-CN"/>
              </w:rPr>
              <w:t>☑</w:t>
            </w:r>
            <w:r>
              <w:rPr>
                <w:rFonts w:hint="eastAsia" w:ascii="Times New Roman" w:hAnsi="Times New Roman"/>
                <w:color w:val="auto"/>
                <w:sz w:val="18"/>
                <w:szCs w:val="18"/>
              </w:rPr>
              <w:t xml:space="preserve">；补充监测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 xml:space="preserve">；其他 </w:t>
            </w:r>
            <w:r>
              <w:rPr>
                <w:rFonts w:hint="eastAsia" w:ascii="Times New Roman" w:hAnsi="Times New Roman"/>
                <w:color w:val="auto"/>
                <w:sz w:val="18"/>
                <w:szCs w:val="18"/>
                <w:lang w:eastAsia="zh-CN"/>
              </w:rPr>
              <w:t>□</w:t>
            </w:r>
          </w:p>
        </w:tc>
      </w:tr>
      <w:tr w14:paraId="01955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10B36DC9">
            <w:pPr>
              <w:jc w:val="center"/>
              <w:rPr>
                <w:rFonts w:hint="eastAsia" w:ascii="Times New Roman" w:hAnsi="Times New Roman"/>
                <w:color w:val="auto"/>
                <w:sz w:val="18"/>
                <w:szCs w:val="18"/>
              </w:rPr>
            </w:pPr>
          </w:p>
        </w:tc>
        <w:tc>
          <w:tcPr>
            <w:tcW w:w="1524" w:type="dxa"/>
            <w:vAlign w:val="center"/>
          </w:tcPr>
          <w:p w14:paraId="6EF6616A">
            <w:pPr>
              <w:jc w:val="center"/>
              <w:rPr>
                <w:rFonts w:hint="eastAsia" w:ascii="Times New Roman" w:hAnsi="Times New Roman"/>
                <w:color w:val="auto"/>
                <w:sz w:val="18"/>
                <w:szCs w:val="18"/>
              </w:rPr>
            </w:pPr>
            <w:r>
              <w:rPr>
                <w:rFonts w:hint="eastAsia" w:ascii="Times New Roman" w:hAnsi="Times New Roman"/>
                <w:color w:val="auto"/>
                <w:sz w:val="18"/>
                <w:szCs w:val="18"/>
              </w:rPr>
              <w:t>区域水资源开发利用状况</w:t>
            </w:r>
          </w:p>
        </w:tc>
        <w:tc>
          <w:tcPr>
            <w:tcW w:w="6775" w:type="dxa"/>
            <w:gridSpan w:val="12"/>
            <w:vAlign w:val="center"/>
          </w:tcPr>
          <w:p w14:paraId="50270026">
            <w:pPr>
              <w:jc w:val="left"/>
              <w:rPr>
                <w:rFonts w:hint="eastAsia" w:ascii="Times New Roman" w:hAnsi="Times New Roman"/>
                <w:color w:val="auto"/>
                <w:sz w:val="18"/>
                <w:szCs w:val="18"/>
              </w:rPr>
            </w:pPr>
            <w:r>
              <w:rPr>
                <w:rFonts w:hint="eastAsia" w:ascii="Times New Roman" w:hAnsi="Times New Roman"/>
                <w:color w:val="auto"/>
                <w:sz w:val="18"/>
                <w:szCs w:val="18"/>
              </w:rPr>
              <w:t>未开发 □；开发量 40%以下 □；开发量 40%以上 □</w:t>
            </w:r>
          </w:p>
        </w:tc>
      </w:tr>
      <w:tr w14:paraId="160BB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58E51DDD">
            <w:pPr>
              <w:jc w:val="center"/>
              <w:rPr>
                <w:rFonts w:hint="eastAsia" w:ascii="Times New Roman" w:hAnsi="Times New Roman"/>
                <w:color w:val="auto"/>
                <w:sz w:val="18"/>
                <w:szCs w:val="18"/>
              </w:rPr>
            </w:pPr>
          </w:p>
        </w:tc>
        <w:tc>
          <w:tcPr>
            <w:tcW w:w="1524" w:type="dxa"/>
            <w:vMerge w:val="restart"/>
            <w:vAlign w:val="center"/>
          </w:tcPr>
          <w:p w14:paraId="516F1562">
            <w:pPr>
              <w:jc w:val="center"/>
              <w:rPr>
                <w:rFonts w:hint="eastAsia" w:ascii="Times New Roman" w:hAnsi="Times New Roman"/>
                <w:color w:val="auto"/>
                <w:sz w:val="18"/>
                <w:szCs w:val="18"/>
              </w:rPr>
            </w:pPr>
            <w:r>
              <w:rPr>
                <w:rFonts w:hint="eastAsia" w:ascii="Times New Roman" w:hAnsi="Times New Roman"/>
                <w:color w:val="auto"/>
                <w:sz w:val="18"/>
                <w:szCs w:val="18"/>
              </w:rPr>
              <w:t>水文情势调查</w:t>
            </w:r>
          </w:p>
        </w:tc>
        <w:tc>
          <w:tcPr>
            <w:tcW w:w="3386" w:type="dxa"/>
            <w:gridSpan w:val="6"/>
            <w:vAlign w:val="center"/>
          </w:tcPr>
          <w:p w14:paraId="3C8FD90D">
            <w:pPr>
              <w:jc w:val="center"/>
              <w:rPr>
                <w:rFonts w:hint="eastAsia" w:ascii="Times New Roman" w:hAnsi="Times New Roman"/>
                <w:color w:val="auto"/>
                <w:sz w:val="18"/>
                <w:szCs w:val="18"/>
              </w:rPr>
            </w:pPr>
            <w:r>
              <w:rPr>
                <w:rFonts w:hint="eastAsia" w:ascii="Times New Roman" w:hAnsi="Times New Roman"/>
                <w:color w:val="auto"/>
                <w:sz w:val="18"/>
                <w:szCs w:val="18"/>
              </w:rPr>
              <w:t>调查时期</w:t>
            </w:r>
          </w:p>
        </w:tc>
        <w:tc>
          <w:tcPr>
            <w:tcW w:w="3389" w:type="dxa"/>
            <w:gridSpan w:val="6"/>
            <w:vAlign w:val="center"/>
          </w:tcPr>
          <w:p w14:paraId="10725D41">
            <w:pPr>
              <w:jc w:val="center"/>
              <w:rPr>
                <w:rFonts w:hint="eastAsia" w:ascii="Times New Roman" w:hAnsi="Times New Roman"/>
                <w:color w:val="auto"/>
                <w:sz w:val="18"/>
                <w:szCs w:val="18"/>
              </w:rPr>
            </w:pPr>
            <w:r>
              <w:rPr>
                <w:rFonts w:hint="eastAsia" w:ascii="Times New Roman" w:hAnsi="Times New Roman"/>
                <w:color w:val="auto"/>
                <w:sz w:val="18"/>
                <w:szCs w:val="18"/>
              </w:rPr>
              <w:t>数据来源</w:t>
            </w:r>
          </w:p>
        </w:tc>
      </w:tr>
      <w:tr w14:paraId="741CB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5AC575FE">
            <w:pPr>
              <w:jc w:val="center"/>
              <w:rPr>
                <w:rFonts w:hint="eastAsia" w:ascii="Times New Roman" w:hAnsi="Times New Roman"/>
                <w:color w:val="auto"/>
                <w:sz w:val="18"/>
                <w:szCs w:val="18"/>
              </w:rPr>
            </w:pPr>
          </w:p>
        </w:tc>
        <w:tc>
          <w:tcPr>
            <w:tcW w:w="1524" w:type="dxa"/>
            <w:vMerge w:val="continue"/>
            <w:vAlign w:val="center"/>
          </w:tcPr>
          <w:p w14:paraId="543F84EC">
            <w:pPr>
              <w:jc w:val="center"/>
              <w:rPr>
                <w:rFonts w:hint="eastAsia" w:ascii="Times New Roman" w:hAnsi="Times New Roman"/>
                <w:color w:val="auto"/>
                <w:sz w:val="18"/>
                <w:szCs w:val="18"/>
              </w:rPr>
            </w:pPr>
          </w:p>
        </w:tc>
        <w:tc>
          <w:tcPr>
            <w:tcW w:w="3386" w:type="dxa"/>
            <w:gridSpan w:val="6"/>
            <w:vAlign w:val="center"/>
          </w:tcPr>
          <w:p w14:paraId="1646ED30">
            <w:pPr>
              <w:jc w:val="left"/>
              <w:rPr>
                <w:rFonts w:hint="eastAsia" w:ascii="Times New Roman" w:hAnsi="Times New Roman"/>
                <w:color w:val="auto"/>
                <w:sz w:val="18"/>
                <w:szCs w:val="18"/>
              </w:rPr>
            </w:pPr>
            <w:r>
              <w:rPr>
                <w:rFonts w:hint="eastAsia" w:ascii="Times New Roman" w:hAnsi="Times New Roman"/>
                <w:color w:val="auto"/>
                <w:sz w:val="18"/>
                <w:szCs w:val="18"/>
              </w:rPr>
              <w:t xml:space="preserve">丰水期 □；平水期 □；枯水期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；冰封期</w:t>
            </w:r>
          </w:p>
          <w:p w14:paraId="78C5A5DA">
            <w:pPr>
              <w:jc w:val="left"/>
              <w:rPr>
                <w:rFonts w:hint="eastAsia" w:ascii="Times New Roman" w:hAnsi="Times New Roman"/>
                <w:color w:val="auto"/>
                <w:sz w:val="18"/>
                <w:szCs w:val="18"/>
              </w:rPr>
            </w:pPr>
            <w:r>
              <w:rPr>
                <w:rFonts w:hint="eastAsia" w:ascii="Times New Roman" w:hAnsi="Times New Roman"/>
                <w:color w:val="auto"/>
                <w:sz w:val="18"/>
                <w:szCs w:val="18"/>
              </w:rPr>
              <w:t xml:space="preserve">春季 □；夏季 </w:t>
            </w:r>
            <w:r>
              <w:rPr>
                <w:rFonts w:hint="eastAsia" w:ascii="Times New Roman" w:hAnsi="Times New Roman"/>
                <w:color w:val="auto"/>
                <w:sz w:val="18"/>
                <w:szCs w:val="18"/>
                <w:lang w:eastAsia="zh-CN"/>
              </w:rPr>
              <w:t>□</w:t>
            </w:r>
            <w:r>
              <w:rPr>
                <w:rFonts w:hint="eastAsia" w:ascii="Times New Roman" w:hAnsi="Times New Roman"/>
                <w:color w:val="auto"/>
                <w:sz w:val="18"/>
                <w:szCs w:val="18"/>
              </w:rPr>
              <w:t>；秋季 □；冬季 □</w:t>
            </w:r>
          </w:p>
        </w:tc>
        <w:tc>
          <w:tcPr>
            <w:tcW w:w="3389" w:type="dxa"/>
            <w:gridSpan w:val="6"/>
            <w:vAlign w:val="center"/>
          </w:tcPr>
          <w:p w14:paraId="7F49E932">
            <w:pPr>
              <w:jc w:val="left"/>
              <w:rPr>
                <w:rFonts w:hint="eastAsia" w:ascii="Times New Roman" w:hAnsi="Times New Roman" w:eastAsia="宋体"/>
                <w:color w:val="auto"/>
                <w:sz w:val="18"/>
                <w:szCs w:val="18"/>
                <w:lang w:eastAsia="zh-CN"/>
              </w:rPr>
            </w:pPr>
            <w:r>
              <w:rPr>
                <w:rFonts w:hint="eastAsia" w:ascii="Times New Roman" w:hAnsi="Times New Roman"/>
                <w:color w:val="auto"/>
                <w:sz w:val="18"/>
                <w:szCs w:val="18"/>
              </w:rPr>
              <w:t xml:space="preserve">水行政主管部门 □；补充监测 </w:t>
            </w:r>
            <w:r>
              <w:rPr>
                <w:rFonts w:hint="eastAsia" w:ascii="Times New Roman" w:hAnsi="Times New Roman"/>
                <w:color w:val="auto"/>
                <w:sz w:val="18"/>
                <w:szCs w:val="18"/>
                <w:lang w:eastAsia="zh-CN"/>
              </w:rPr>
              <w:sym w:font="Wingdings 2" w:char="0052"/>
            </w:r>
            <w:r>
              <w:rPr>
                <w:rFonts w:hint="eastAsia" w:ascii="Times New Roman" w:hAnsi="Times New Roman"/>
                <w:color w:val="auto"/>
                <w:sz w:val="18"/>
                <w:szCs w:val="18"/>
              </w:rPr>
              <w:t xml:space="preserve">；其他 </w:t>
            </w:r>
            <w:r>
              <w:rPr>
                <w:rFonts w:hint="eastAsia"/>
                <w:color w:val="auto"/>
                <w:sz w:val="18"/>
                <w:szCs w:val="18"/>
                <w:lang w:eastAsia="zh-CN"/>
              </w:rPr>
              <w:t>☑</w:t>
            </w:r>
          </w:p>
        </w:tc>
      </w:tr>
      <w:tr w14:paraId="6E7A4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667A9CE6">
            <w:pPr>
              <w:jc w:val="center"/>
              <w:rPr>
                <w:rFonts w:hint="eastAsia" w:ascii="Times New Roman" w:hAnsi="Times New Roman"/>
                <w:color w:val="auto"/>
                <w:sz w:val="18"/>
                <w:szCs w:val="18"/>
              </w:rPr>
            </w:pPr>
          </w:p>
        </w:tc>
        <w:tc>
          <w:tcPr>
            <w:tcW w:w="1524" w:type="dxa"/>
            <w:vMerge w:val="restart"/>
            <w:vAlign w:val="center"/>
          </w:tcPr>
          <w:p w14:paraId="66D7949C">
            <w:pPr>
              <w:jc w:val="center"/>
              <w:rPr>
                <w:rFonts w:hint="eastAsia" w:ascii="Times New Roman" w:hAnsi="Times New Roman"/>
                <w:color w:val="auto"/>
                <w:sz w:val="18"/>
                <w:szCs w:val="18"/>
              </w:rPr>
            </w:pPr>
            <w:r>
              <w:rPr>
                <w:rFonts w:hint="eastAsia" w:ascii="Times New Roman" w:hAnsi="Times New Roman"/>
                <w:color w:val="auto"/>
                <w:sz w:val="18"/>
                <w:szCs w:val="18"/>
              </w:rPr>
              <w:t>补充监测</w:t>
            </w:r>
          </w:p>
        </w:tc>
        <w:tc>
          <w:tcPr>
            <w:tcW w:w="2258" w:type="dxa"/>
            <w:gridSpan w:val="4"/>
            <w:vAlign w:val="center"/>
          </w:tcPr>
          <w:p w14:paraId="0A968B1E">
            <w:pPr>
              <w:jc w:val="center"/>
              <w:rPr>
                <w:rFonts w:hint="eastAsia" w:ascii="Times New Roman" w:hAnsi="Times New Roman"/>
                <w:color w:val="auto"/>
                <w:sz w:val="18"/>
                <w:szCs w:val="18"/>
              </w:rPr>
            </w:pPr>
            <w:r>
              <w:rPr>
                <w:rFonts w:hint="eastAsia" w:ascii="Times New Roman" w:hAnsi="Times New Roman"/>
                <w:color w:val="auto"/>
                <w:sz w:val="18"/>
                <w:szCs w:val="18"/>
              </w:rPr>
              <w:t>监测时期</w:t>
            </w:r>
          </w:p>
        </w:tc>
        <w:tc>
          <w:tcPr>
            <w:tcW w:w="3369" w:type="dxa"/>
            <w:gridSpan w:val="7"/>
            <w:vAlign w:val="center"/>
          </w:tcPr>
          <w:p w14:paraId="28374F1A">
            <w:pPr>
              <w:jc w:val="center"/>
              <w:rPr>
                <w:rFonts w:hint="eastAsia" w:ascii="Times New Roman" w:hAnsi="Times New Roman"/>
                <w:color w:val="auto"/>
                <w:sz w:val="18"/>
                <w:szCs w:val="18"/>
              </w:rPr>
            </w:pPr>
            <w:r>
              <w:rPr>
                <w:rFonts w:hint="eastAsia" w:ascii="Times New Roman" w:hAnsi="Times New Roman"/>
                <w:color w:val="auto"/>
                <w:sz w:val="18"/>
                <w:szCs w:val="18"/>
              </w:rPr>
              <w:t>监测因子</w:t>
            </w:r>
          </w:p>
        </w:tc>
        <w:tc>
          <w:tcPr>
            <w:tcW w:w="1148" w:type="dxa"/>
            <w:vAlign w:val="center"/>
          </w:tcPr>
          <w:p w14:paraId="41C1939D">
            <w:pPr>
              <w:jc w:val="center"/>
              <w:rPr>
                <w:rFonts w:hint="eastAsia" w:ascii="Times New Roman" w:hAnsi="Times New Roman"/>
                <w:color w:val="auto"/>
                <w:sz w:val="18"/>
                <w:szCs w:val="18"/>
              </w:rPr>
            </w:pPr>
            <w:r>
              <w:rPr>
                <w:rFonts w:hint="eastAsia" w:ascii="Times New Roman" w:hAnsi="Times New Roman"/>
                <w:color w:val="auto"/>
                <w:sz w:val="18"/>
                <w:szCs w:val="18"/>
              </w:rPr>
              <w:t>监测断面或点位</w:t>
            </w:r>
          </w:p>
        </w:tc>
      </w:tr>
      <w:tr w14:paraId="0CD35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17D7021F">
            <w:pPr>
              <w:jc w:val="center"/>
              <w:rPr>
                <w:rFonts w:hint="eastAsia" w:ascii="Times New Roman" w:hAnsi="Times New Roman"/>
                <w:color w:val="auto"/>
                <w:sz w:val="18"/>
                <w:szCs w:val="18"/>
              </w:rPr>
            </w:pPr>
          </w:p>
        </w:tc>
        <w:tc>
          <w:tcPr>
            <w:tcW w:w="1524" w:type="dxa"/>
            <w:vMerge w:val="continue"/>
            <w:vAlign w:val="center"/>
          </w:tcPr>
          <w:p w14:paraId="5E2F18A7">
            <w:pPr>
              <w:jc w:val="center"/>
              <w:rPr>
                <w:rFonts w:hint="eastAsia" w:ascii="Times New Roman" w:hAnsi="Times New Roman"/>
                <w:color w:val="auto"/>
                <w:sz w:val="18"/>
                <w:szCs w:val="18"/>
              </w:rPr>
            </w:pPr>
          </w:p>
        </w:tc>
        <w:tc>
          <w:tcPr>
            <w:tcW w:w="2258" w:type="dxa"/>
            <w:gridSpan w:val="4"/>
            <w:vAlign w:val="center"/>
          </w:tcPr>
          <w:p w14:paraId="15C9B6C5">
            <w:pPr>
              <w:jc w:val="left"/>
              <w:rPr>
                <w:rFonts w:hint="eastAsia" w:ascii="Times New Roman" w:hAnsi="Times New Roman"/>
                <w:color w:val="auto"/>
                <w:sz w:val="18"/>
                <w:szCs w:val="18"/>
              </w:rPr>
            </w:pPr>
            <w:r>
              <w:rPr>
                <w:rFonts w:hint="eastAsia" w:ascii="Times New Roman" w:hAnsi="Times New Roman"/>
                <w:color w:val="auto"/>
                <w:sz w:val="18"/>
                <w:szCs w:val="18"/>
              </w:rPr>
              <w:t xml:space="preserve">丰水期 □；平水期 □；枯水期 □；冰封期 □ </w:t>
            </w:r>
          </w:p>
          <w:p w14:paraId="4DA8443D">
            <w:pPr>
              <w:jc w:val="left"/>
              <w:rPr>
                <w:rFonts w:hint="eastAsia" w:ascii="Times New Roman" w:hAnsi="Times New Roman"/>
                <w:color w:val="auto"/>
                <w:sz w:val="18"/>
                <w:szCs w:val="18"/>
              </w:rPr>
            </w:pPr>
            <w:r>
              <w:rPr>
                <w:rFonts w:hint="eastAsia" w:ascii="Times New Roman" w:hAnsi="Times New Roman"/>
                <w:color w:val="auto"/>
                <w:sz w:val="18"/>
                <w:szCs w:val="18"/>
              </w:rPr>
              <w:t xml:space="preserve">春季 </w:t>
            </w:r>
            <w:r>
              <w:rPr>
                <w:rFonts w:hint="eastAsia" w:ascii="Times New Roman" w:hAnsi="Times New Roman"/>
                <w:color w:val="auto"/>
                <w:sz w:val="18"/>
                <w:szCs w:val="18"/>
                <w:lang w:eastAsia="zh-CN"/>
              </w:rPr>
              <w:sym w:font="Wingdings 2" w:char="0052"/>
            </w:r>
            <w:r>
              <w:rPr>
                <w:rFonts w:hint="eastAsia" w:ascii="Times New Roman" w:hAnsi="Times New Roman"/>
                <w:color w:val="auto"/>
                <w:sz w:val="18"/>
                <w:szCs w:val="18"/>
              </w:rPr>
              <w:t>；夏季 □；秋季 □；冬季 □</w:t>
            </w:r>
          </w:p>
        </w:tc>
        <w:tc>
          <w:tcPr>
            <w:tcW w:w="3369" w:type="dxa"/>
            <w:gridSpan w:val="7"/>
            <w:vAlign w:val="center"/>
          </w:tcPr>
          <w:p w14:paraId="76F6364D">
            <w:pPr>
              <w:jc w:val="center"/>
              <w:rPr>
                <w:rFonts w:hint="eastAsia" w:ascii="Times New Roman" w:hAnsi="Times New Roman"/>
                <w:color w:val="auto"/>
                <w:sz w:val="18"/>
                <w:szCs w:val="18"/>
              </w:rPr>
            </w:pPr>
            <w:r>
              <w:rPr>
                <w:rFonts w:hint="eastAsia" w:ascii="Times New Roman" w:hAnsi="Times New Roman"/>
                <w:color w:val="auto"/>
                <w:sz w:val="18"/>
                <w:szCs w:val="18"/>
              </w:rPr>
              <w:t>（pH、溶解氧、COD、BOD</w:t>
            </w:r>
            <w:r>
              <w:rPr>
                <w:rFonts w:hint="eastAsia" w:ascii="Times New Roman" w:hAnsi="Times New Roman"/>
                <w:color w:val="auto"/>
                <w:sz w:val="18"/>
                <w:szCs w:val="18"/>
                <w:vertAlign w:val="subscript"/>
              </w:rPr>
              <w:t>5</w:t>
            </w:r>
            <w:r>
              <w:rPr>
                <w:rFonts w:hint="eastAsia" w:ascii="Times New Roman" w:hAnsi="Times New Roman"/>
                <w:color w:val="auto"/>
                <w:sz w:val="18"/>
                <w:szCs w:val="18"/>
              </w:rPr>
              <w:t>、SS、氨氮、六价铬、总磷、阴离子表面活性 剂、粪大肠菌群、色度、硫化物、挥发酚、苯胺类、石油类）</w:t>
            </w:r>
          </w:p>
        </w:tc>
        <w:tc>
          <w:tcPr>
            <w:tcW w:w="1148" w:type="dxa"/>
            <w:vAlign w:val="center"/>
          </w:tcPr>
          <w:p w14:paraId="0D92151C">
            <w:pPr>
              <w:jc w:val="center"/>
              <w:rPr>
                <w:rFonts w:hint="eastAsia" w:ascii="Times New Roman" w:hAnsi="Times New Roman"/>
                <w:color w:val="auto"/>
                <w:sz w:val="18"/>
                <w:szCs w:val="18"/>
              </w:rPr>
            </w:pPr>
            <w:r>
              <w:rPr>
                <w:rFonts w:hint="eastAsia" w:ascii="Times New Roman" w:hAnsi="Times New Roman"/>
                <w:color w:val="auto"/>
                <w:sz w:val="18"/>
                <w:szCs w:val="18"/>
              </w:rPr>
              <w:t>监测断面或点位个数</w:t>
            </w:r>
          </w:p>
          <w:p w14:paraId="6FFB1A5A">
            <w:pPr>
              <w:jc w:val="center"/>
              <w:rPr>
                <w:rFonts w:hint="eastAsia" w:ascii="Times New Roman" w:hAnsi="Times New Roman"/>
                <w:color w:val="auto"/>
                <w:sz w:val="18"/>
                <w:szCs w:val="18"/>
              </w:rPr>
            </w:pPr>
            <w:r>
              <w:rPr>
                <w:rFonts w:hint="eastAsia" w:ascii="Times New Roman" w:hAnsi="Times New Roman"/>
                <w:color w:val="auto"/>
                <w:sz w:val="18"/>
                <w:szCs w:val="18"/>
              </w:rPr>
              <w:t>（</w:t>
            </w:r>
            <w:r>
              <w:rPr>
                <w:rFonts w:hint="eastAsia" w:ascii="Times New Roman" w:hAnsi="Times New Roman"/>
                <w:color w:val="auto"/>
                <w:sz w:val="18"/>
                <w:szCs w:val="18"/>
                <w:lang w:val="en-US" w:eastAsia="zh-CN"/>
              </w:rPr>
              <w:t>3</w:t>
            </w:r>
            <w:r>
              <w:rPr>
                <w:rFonts w:hint="eastAsia" w:ascii="Times New Roman" w:hAnsi="Times New Roman"/>
                <w:color w:val="auto"/>
                <w:sz w:val="18"/>
                <w:szCs w:val="18"/>
              </w:rPr>
              <w:t xml:space="preserve">）个 </w:t>
            </w:r>
          </w:p>
        </w:tc>
      </w:tr>
      <w:tr w14:paraId="642A8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restart"/>
            <w:vAlign w:val="center"/>
          </w:tcPr>
          <w:p w14:paraId="2E24720D">
            <w:pPr>
              <w:jc w:val="center"/>
              <w:rPr>
                <w:rFonts w:hint="eastAsia" w:ascii="Times New Roman" w:hAnsi="Times New Roman"/>
                <w:color w:val="auto"/>
                <w:sz w:val="18"/>
                <w:szCs w:val="18"/>
              </w:rPr>
            </w:pPr>
            <w:r>
              <w:rPr>
                <w:rFonts w:hint="eastAsia" w:ascii="Times New Roman" w:hAnsi="Times New Roman"/>
                <w:color w:val="auto"/>
                <w:sz w:val="18"/>
                <w:szCs w:val="18"/>
              </w:rPr>
              <w:t>现</w:t>
            </w:r>
          </w:p>
          <w:p w14:paraId="790AA7D3">
            <w:pPr>
              <w:jc w:val="center"/>
              <w:rPr>
                <w:rFonts w:hint="eastAsia" w:ascii="Times New Roman" w:hAnsi="Times New Roman"/>
                <w:color w:val="auto"/>
                <w:sz w:val="18"/>
                <w:szCs w:val="18"/>
              </w:rPr>
            </w:pPr>
            <w:r>
              <w:rPr>
                <w:rFonts w:hint="eastAsia" w:ascii="Times New Roman" w:hAnsi="Times New Roman"/>
                <w:color w:val="auto"/>
                <w:sz w:val="18"/>
                <w:szCs w:val="18"/>
              </w:rPr>
              <w:t>状</w:t>
            </w:r>
          </w:p>
          <w:p w14:paraId="5FA1B12E">
            <w:pPr>
              <w:jc w:val="center"/>
              <w:rPr>
                <w:rFonts w:hint="eastAsia" w:ascii="Times New Roman" w:hAnsi="Times New Roman"/>
                <w:color w:val="auto"/>
                <w:sz w:val="18"/>
                <w:szCs w:val="18"/>
              </w:rPr>
            </w:pPr>
            <w:r>
              <w:rPr>
                <w:rFonts w:hint="eastAsia" w:ascii="Times New Roman" w:hAnsi="Times New Roman"/>
                <w:color w:val="auto"/>
                <w:sz w:val="18"/>
                <w:szCs w:val="18"/>
              </w:rPr>
              <w:t>评</w:t>
            </w:r>
          </w:p>
          <w:p w14:paraId="7744BBAF">
            <w:pPr>
              <w:jc w:val="center"/>
              <w:rPr>
                <w:rFonts w:hint="eastAsia" w:ascii="Times New Roman" w:hAnsi="Times New Roman"/>
                <w:color w:val="auto"/>
                <w:sz w:val="18"/>
                <w:szCs w:val="18"/>
              </w:rPr>
            </w:pPr>
            <w:r>
              <w:rPr>
                <w:rFonts w:hint="eastAsia" w:ascii="Times New Roman" w:hAnsi="Times New Roman"/>
                <w:color w:val="auto"/>
                <w:sz w:val="18"/>
                <w:szCs w:val="18"/>
              </w:rPr>
              <w:t>价</w:t>
            </w:r>
          </w:p>
        </w:tc>
        <w:tc>
          <w:tcPr>
            <w:tcW w:w="1524" w:type="dxa"/>
            <w:vAlign w:val="center"/>
          </w:tcPr>
          <w:p w14:paraId="5A97A059">
            <w:pPr>
              <w:jc w:val="center"/>
              <w:rPr>
                <w:rFonts w:hint="eastAsia" w:ascii="Times New Roman" w:hAnsi="Times New Roman"/>
                <w:color w:val="auto"/>
                <w:sz w:val="18"/>
                <w:szCs w:val="18"/>
              </w:rPr>
            </w:pPr>
            <w:r>
              <w:rPr>
                <w:rFonts w:hint="eastAsia" w:ascii="Times New Roman" w:hAnsi="Times New Roman"/>
                <w:color w:val="auto"/>
                <w:sz w:val="18"/>
                <w:szCs w:val="18"/>
              </w:rPr>
              <w:t>评价范围</w:t>
            </w:r>
          </w:p>
        </w:tc>
        <w:tc>
          <w:tcPr>
            <w:tcW w:w="6775" w:type="dxa"/>
            <w:gridSpan w:val="12"/>
            <w:vAlign w:val="center"/>
          </w:tcPr>
          <w:p w14:paraId="30109A53">
            <w:pPr>
              <w:jc w:val="left"/>
              <w:rPr>
                <w:rFonts w:hint="eastAsia" w:ascii="Times New Roman" w:hAnsi="Times New Roman"/>
                <w:color w:val="auto"/>
                <w:sz w:val="18"/>
                <w:szCs w:val="18"/>
              </w:rPr>
            </w:pPr>
            <w:r>
              <w:rPr>
                <w:rFonts w:hint="eastAsia" w:ascii="Times New Roman" w:hAnsi="Times New Roman"/>
                <w:color w:val="auto"/>
                <w:sz w:val="18"/>
                <w:szCs w:val="18"/>
              </w:rPr>
              <w:t>河流：长度（</w:t>
            </w:r>
            <w:r>
              <w:rPr>
                <w:rFonts w:hint="eastAsia"/>
                <w:color w:val="auto"/>
                <w:sz w:val="18"/>
                <w:szCs w:val="18"/>
                <w:lang w:val="en-US" w:eastAsia="zh-CN"/>
              </w:rPr>
              <w:t>3</w:t>
            </w:r>
            <w:r>
              <w:rPr>
                <w:rFonts w:hint="eastAsia" w:ascii="Times New Roman" w:hAnsi="Times New Roman"/>
                <w:color w:val="auto"/>
                <w:sz w:val="18"/>
                <w:szCs w:val="18"/>
              </w:rPr>
              <w:t>）km；湖库、河口及近岸海域：面积（/）km</w:t>
            </w:r>
            <w:r>
              <w:rPr>
                <w:rFonts w:hint="eastAsia" w:ascii="Times New Roman" w:hAnsi="Times New Roman"/>
                <w:color w:val="auto"/>
                <w:sz w:val="18"/>
                <w:szCs w:val="18"/>
                <w:vertAlign w:val="superscript"/>
              </w:rPr>
              <w:t>2</w:t>
            </w:r>
            <w:r>
              <w:rPr>
                <w:rFonts w:hint="eastAsia" w:ascii="Times New Roman" w:hAnsi="Times New Roman"/>
                <w:color w:val="auto"/>
                <w:sz w:val="18"/>
                <w:szCs w:val="18"/>
              </w:rPr>
              <w:t xml:space="preserve"> </w:t>
            </w:r>
          </w:p>
        </w:tc>
      </w:tr>
      <w:tr w14:paraId="41C64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6EC08E24">
            <w:pPr>
              <w:jc w:val="center"/>
              <w:rPr>
                <w:rFonts w:hint="eastAsia" w:ascii="Times New Roman" w:hAnsi="Times New Roman"/>
                <w:color w:val="auto"/>
                <w:sz w:val="18"/>
                <w:szCs w:val="18"/>
              </w:rPr>
            </w:pPr>
          </w:p>
        </w:tc>
        <w:tc>
          <w:tcPr>
            <w:tcW w:w="1524" w:type="dxa"/>
            <w:vAlign w:val="center"/>
          </w:tcPr>
          <w:p w14:paraId="5943EB53">
            <w:pPr>
              <w:jc w:val="center"/>
              <w:rPr>
                <w:rFonts w:hint="eastAsia" w:ascii="Times New Roman" w:hAnsi="Times New Roman"/>
                <w:color w:val="auto"/>
                <w:sz w:val="18"/>
                <w:szCs w:val="18"/>
              </w:rPr>
            </w:pPr>
            <w:r>
              <w:rPr>
                <w:rFonts w:hint="eastAsia" w:ascii="Times New Roman" w:hAnsi="Times New Roman"/>
                <w:color w:val="auto"/>
                <w:sz w:val="18"/>
                <w:szCs w:val="18"/>
              </w:rPr>
              <w:t>评价因子</w:t>
            </w:r>
          </w:p>
        </w:tc>
        <w:tc>
          <w:tcPr>
            <w:tcW w:w="6775" w:type="dxa"/>
            <w:gridSpan w:val="12"/>
            <w:vAlign w:val="center"/>
          </w:tcPr>
          <w:p w14:paraId="6FB0AC2C">
            <w:pPr>
              <w:jc w:val="center"/>
              <w:rPr>
                <w:rFonts w:hint="eastAsia" w:ascii="Times New Roman" w:hAnsi="Times New Roman"/>
                <w:color w:val="auto"/>
                <w:sz w:val="18"/>
                <w:szCs w:val="18"/>
              </w:rPr>
            </w:pPr>
            <w:r>
              <w:rPr>
                <w:rFonts w:hint="eastAsia" w:ascii="Times New Roman" w:hAnsi="Times New Roman"/>
                <w:color w:val="auto"/>
                <w:sz w:val="18"/>
                <w:szCs w:val="18"/>
              </w:rPr>
              <w:t>（pH、溶解氧、COD、BOD</w:t>
            </w:r>
            <w:r>
              <w:rPr>
                <w:rFonts w:hint="eastAsia" w:ascii="Times New Roman" w:hAnsi="Times New Roman"/>
                <w:color w:val="auto"/>
                <w:sz w:val="18"/>
                <w:szCs w:val="18"/>
                <w:vertAlign w:val="subscript"/>
              </w:rPr>
              <w:t>5</w:t>
            </w:r>
            <w:r>
              <w:rPr>
                <w:rFonts w:hint="eastAsia" w:ascii="Times New Roman" w:hAnsi="Times New Roman"/>
                <w:color w:val="auto"/>
                <w:sz w:val="18"/>
                <w:szCs w:val="18"/>
              </w:rPr>
              <w:t>、 SS、氨氮、六价铬、总磷、阴离子表面活性剂、粪大肠菌群、色度、硫化物、挥发酚、苯胺类、石油类）</w:t>
            </w:r>
          </w:p>
        </w:tc>
      </w:tr>
      <w:tr w14:paraId="3D950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72365EDE">
            <w:pPr>
              <w:jc w:val="center"/>
              <w:rPr>
                <w:rFonts w:hint="eastAsia" w:ascii="Times New Roman" w:hAnsi="Times New Roman"/>
                <w:color w:val="auto"/>
                <w:sz w:val="18"/>
                <w:szCs w:val="18"/>
              </w:rPr>
            </w:pPr>
          </w:p>
        </w:tc>
        <w:tc>
          <w:tcPr>
            <w:tcW w:w="1524" w:type="dxa"/>
            <w:vAlign w:val="center"/>
          </w:tcPr>
          <w:p w14:paraId="12E4089F">
            <w:pPr>
              <w:jc w:val="center"/>
              <w:rPr>
                <w:rFonts w:hint="eastAsia" w:ascii="Times New Roman" w:hAnsi="Times New Roman"/>
                <w:color w:val="auto"/>
                <w:sz w:val="18"/>
                <w:szCs w:val="18"/>
              </w:rPr>
            </w:pPr>
            <w:r>
              <w:rPr>
                <w:rFonts w:hint="eastAsia" w:ascii="Times New Roman" w:hAnsi="Times New Roman"/>
                <w:color w:val="auto"/>
                <w:sz w:val="18"/>
                <w:szCs w:val="18"/>
              </w:rPr>
              <w:t>评价标准</w:t>
            </w:r>
          </w:p>
        </w:tc>
        <w:tc>
          <w:tcPr>
            <w:tcW w:w="6775" w:type="dxa"/>
            <w:gridSpan w:val="12"/>
            <w:vAlign w:val="center"/>
          </w:tcPr>
          <w:p w14:paraId="308FF6BD">
            <w:pPr>
              <w:jc w:val="left"/>
              <w:rPr>
                <w:rFonts w:hint="eastAsia" w:ascii="Times New Roman" w:hAnsi="Times New Roman"/>
                <w:color w:val="auto"/>
                <w:sz w:val="18"/>
                <w:szCs w:val="18"/>
              </w:rPr>
            </w:pPr>
            <w:r>
              <w:rPr>
                <w:rFonts w:hint="eastAsia" w:ascii="Times New Roman" w:hAnsi="Times New Roman"/>
                <w:color w:val="auto"/>
                <w:sz w:val="18"/>
                <w:szCs w:val="18"/>
              </w:rPr>
              <w:t xml:space="preserve">河流、湖库、河口：Ⅰ类 □；Ⅱ类 □；Ⅲ类 </w:t>
            </w:r>
            <w:r>
              <w:rPr>
                <w:rFonts w:hint="eastAsia" w:ascii="Times New Roman" w:hAnsi="Times New Roman"/>
                <w:color w:val="auto"/>
                <w:sz w:val="18"/>
                <w:szCs w:val="18"/>
                <w:lang w:eastAsia="zh-CN"/>
              </w:rPr>
              <w:sym w:font="Wingdings 2" w:char="0052"/>
            </w:r>
            <w:r>
              <w:rPr>
                <w:rFonts w:hint="eastAsia" w:ascii="Times New Roman" w:hAnsi="Times New Roman"/>
                <w:color w:val="auto"/>
                <w:sz w:val="18"/>
                <w:szCs w:val="18"/>
              </w:rPr>
              <w:t xml:space="preserve">；Ⅳ类 □；Ⅴ类 </w:t>
            </w:r>
            <w:r>
              <w:rPr>
                <w:rFonts w:hint="eastAsia" w:ascii="Times New Roman" w:hAnsi="Times New Roman"/>
                <w:color w:val="auto"/>
                <w:sz w:val="18"/>
                <w:szCs w:val="18"/>
                <w:lang w:eastAsia="zh-CN"/>
              </w:rPr>
              <w:t>□</w:t>
            </w:r>
            <w:r>
              <w:rPr>
                <w:rFonts w:hint="eastAsia" w:ascii="Times New Roman" w:hAnsi="Times New Roman"/>
                <w:color w:val="auto"/>
                <w:sz w:val="18"/>
                <w:szCs w:val="18"/>
              </w:rPr>
              <w:t xml:space="preserve"> </w:t>
            </w:r>
          </w:p>
          <w:p w14:paraId="02086A43">
            <w:pPr>
              <w:jc w:val="left"/>
              <w:rPr>
                <w:rFonts w:hint="eastAsia" w:ascii="Times New Roman" w:hAnsi="Times New Roman"/>
                <w:color w:val="auto"/>
                <w:sz w:val="18"/>
                <w:szCs w:val="18"/>
              </w:rPr>
            </w:pPr>
            <w:r>
              <w:rPr>
                <w:rFonts w:hint="eastAsia" w:ascii="Times New Roman" w:hAnsi="Times New Roman"/>
                <w:color w:val="auto"/>
                <w:sz w:val="18"/>
                <w:szCs w:val="18"/>
              </w:rPr>
              <w:t xml:space="preserve">近岸海域：第一类 □；第二类 □；第三类 □；第四类 □ </w:t>
            </w:r>
          </w:p>
          <w:p w14:paraId="75F0649F">
            <w:pPr>
              <w:jc w:val="left"/>
              <w:rPr>
                <w:rFonts w:hint="eastAsia" w:ascii="Times New Roman" w:hAnsi="Times New Roman"/>
                <w:color w:val="auto"/>
                <w:sz w:val="18"/>
                <w:szCs w:val="18"/>
              </w:rPr>
            </w:pPr>
            <w:r>
              <w:rPr>
                <w:rFonts w:hint="eastAsia" w:ascii="Times New Roman" w:hAnsi="Times New Roman"/>
                <w:color w:val="auto"/>
                <w:sz w:val="18"/>
                <w:szCs w:val="18"/>
              </w:rPr>
              <w:t xml:space="preserve">规划年评价标准（/） </w:t>
            </w:r>
          </w:p>
        </w:tc>
      </w:tr>
      <w:tr w14:paraId="65B79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5" w:type="dxa"/>
            <w:vMerge w:val="continue"/>
            <w:vAlign w:val="center"/>
          </w:tcPr>
          <w:p w14:paraId="59C9AB12">
            <w:pPr>
              <w:jc w:val="center"/>
              <w:rPr>
                <w:rFonts w:hint="eastAsia" w:ascii="Times New Roman" w:hAnsi="Times New Roman"/>
                <w:color w:val="auto"/>
                <w:sz w:val="18"/>
                <w:szCs w:val="18"/>
              </w:rPr>
            </w:pPr>
          </w:p>
        </w:tc>
        <w:tc>
          <w:tcPr>
            <w:tcW w:w="1524" w:type="dxa"/>
            <w:vAlign w:val="center"/>
          </w:tcPr>
          <w:p w14:paraId="2CD5E7C8">
            <w:pPr>
              <w:jc w:val="center"/>
              <w:rPr>
                <w:rFonts w:hint="eastAsia" w:ascii="Times New Roman" w:hAnsi="Times New Roman"/>
                <w:color w:val="auto"/>
                <w:sz w:val="18"/>
                <w:szCs w:val="18"/>
              </w:rPr>
            </w:pPr>
            <w:r>
              <w:rPr>
                <w:rFonts w:hint="eastAsia" w:ascii="Times New Roman" w:hAnsi="Times New Roman"/>
                <w:color w:val="auto"/>
                <w:sz w:val="18"/>
                <w:szCs w:val="18"/>
              </w:rPr>
              <w:t>评价时期</w:t>
            </w:r>
          </w:p>
        </w:tc>
        <w:tc>
          <w:tcPr>
            <w:tcW w:w="6775" w:type="dxa"/>
            <w:gridSpan w:val="12"/>
            <w:vAlign w:val="center"/>
          </w:tcPr>
          <w:p w14:paraId="5411C3FA">
            <w:pPr>
              <w:jc w:val="left"/>
              <w:rPr>
                <w:rFonts w:hint="eastAsia" w:ascii="Times New Roman" w:hAnsi="Times New Roman"/>
                <w:color w:val="auto"/>
                <w:sz w:val="18"/>
                <w:szCs w:val="18"/>
              </w:rPr>
            </w:pPr>
            <w:r>
              <w:rPr>
                <w:rFonts w:hint="eastAsia" w:ascii="Times New Roman" w:hAnsi="Times New Roman"/>
                <w:color w:val="auto"/>
                <w:sz w:val="18"/>
                <w:szCs w:val="18"/>
              </w:rPr>
              <w:t xml:space="preserve">丰水期 </w:t>
            </w:r>
            <w:r>
              <w:rPr>
                <w:rFonts w:hint="eastAsia" w:ascii="Times New Roman" w:hAnsi="Times New Roman"/>
                <w:color w:val="auto"/>
                <w:sz w:val="18"/>
                <w:szCs w:val="18"/>
              </w:rPr>
              <w:sym w:font="Wingdings 2" w:char="00A3"/>
            </w:r>
            <w:r>
              <w:rPr>
                <w:rFonts w:hint="eastAsia" w:ascii="Times New Roman" w:hAnsi="Times New Roman"/>
                <w:color w:val="auto"/>
                <w:sz w:val="18"/>
                <w:szCs w:val="18"/>
              </w:rPr>
              <w:t xml:space="preserve">；平水期 </w:t>
            </w:r>
            <w:r>
              <w:rPr>
                <w:rFonts w:hint="eastAsia" w:ascii="Times New Roman" w:hAnsi="Times New Roman"/>
                <w:color w:val="auto"/>
                <w:sz w:val="18"/>
                <w:szCs w:val="18"/>
              </w:rPr>
              <w:sym w:font="Wingdings 2" w:char="00A3"/>
            </w:r>
            <w:r>
              <w:rPr>
                <w:rFonts w:hint="eastAsia" w:ascii="Times New Roman" w:hAnsi="Times New Roman"/>
                <w:color w:val="auto"/>
                <w:sz w:val="18"/>
                <w:szCs w:val="18"/>
              </w:rPr>
              <w:t xml:space="preserve">；枯水期 </w:t>
            </w:r>
            <w:r>
              <w:rPr>
                <w:rFonts w:hint="eastAsia"/>
                <w:color w:val="auto"/>
                <w:sz w:val="18"/>
                <w:szCs w:val="18"/>
                <w:lang w:eastAsia="zh-CN"/>
              </w:rPr>
              <w:t>☑</w:t>
            </w:r>
            <w:r>
              <w:rPr>
                <w:rFonts w:hint="eastAsia" w:ascii="Times New Roman" w:hAnsi="Times New Roman"/>
                <w:color w:val="auto"/>
                <w:sz w:val="18"/>
                <w:szCs w:val="18"/>
              </w:rPr>
              <w:t xml:space="preserve">；冰封期 □ </w:t>
            </w:r>
          </w:p>
          <w:p w14:paraId="54DEAEBA">
            <w:pPr>
              <w:jc w:val="left"/>
              <w:rPr>
                <w:rFonts w:hint="eastAsia" w:ascii="Times New Roman" w:hAnsi="Times New Roman"/>
                <w:color w:val="auto"/>
                <w:sz w:val="18"/>
                <w:szCs w:val="18"/>
              </w:rPr>
            </w:pPr>
            <w:r>
              <w:rPr>
                <w:rFonts w:hint="eastAsia" w:ascii="Times New Roman" w:hAnsi="Times New Roman"/>
                <w:color w:val="auto"/>
                <w:sz w:val="18"/>
                <w:szCs w:val="18"/>
              </w:rPr>
              <w:t xml:space="preserve">春季 </w:t>
            </w:r>
            <w:r>
              <w:rPr>
                <w:rFonts w:hint="eastAsia" w:ascii="Times New Roman" w:hAnsi="Times New Roman"/>
                <w:color w:val="auto"/>
                <w:sz w:val="18"/>
                <w:szCs w:val="18"/>
              </w:rPr>
              <w:sym w:font="Wingdings 2" w:char="00A3"/>
            </w:r>
            <w:r>
              <w:rPr>
                <w:rFonts w:hint="eastAsia" w:ascii="Times New Roman" w:hAnsi="Times New Roman"/>
                <w:color w:val="auto"/>
                <w:sz w:val="18"/>
                <w:szCs w:val="18"/>
              </w:rPr>
              <w:t xml:space="preserve">；夏季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 xml:space="preserve">；秋季 □；冬季 </w:t>
            </w:r>
            <w:r>
              <w:rPr>
                <w:rFonts w:hint="eastAsia" w:ascii="Times New Roman" w:hAnsi="Times New Roman"/>
                <w:color w:val="auto"/>
                <w:sz w:val="18"/>
                <w:szCs w:val="18"/>
              </w:rPr>
              <w:sym w:font="Wingdings 2" w:char="00A3"/>
            </w:r>
            <w:r>
              <w:rPr>
                <w:rFonts w:hint="eastAsia" w:ascii="Times New Roman" w:hAnsi="Times New Roman"/>
                <w:color w:val="auto"/>
                <w:sz w:val="18"/>
                <w:szCs w:val="18"/>
              </w:rPr>
              <w:t xml:space="preserve"> </w:t>
            </w:r>
          </w:p>
        </w:tc>
      </w:tr>
      <w:tr w14:paraId="60C24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9" w:hRule="atLeast"/>
          <w:jc w:val="center"/>
        </w:trPr>
        <w:tc>
          <w:tcPr>
            <w:tcW w:w="945" w:type="dxa"/>
            <w:vMerge w:val="continue"/>
            <w:vAlign w:val="center"/>
          </w:tcPr>
          <w:p w14:paraId="24CC2F1E">
            <w:pPr>
              <w:jc w:val="center"/>
              <w:rPr>
                <w:rFonts w:hint="eastAsia" w:ascii="Times New Roman" w:hAnsi="Times New Roman"/>
                <w:color w:val="auto"/>
                <w:sz w:val="18"/>
                <w:szCs w:val="18"/>
              </w:rPr>
            </w:pPr>
          </w:p>
        </w:tc>
        <w:tc>
          <w:tcPr>
            <w:tcW w:w="1524" w:type="dxa"/>
            <w:vAlign w:val="center"/>
          </w:tcPr>
          <w:p w14:paraId="696BC471">
            <w:pPr>
              <w:jc w:val="center"/>
              <w:rPr>
                <w:rFonts w:hint="eastAsia" w:ascii="Times New Roman" w:hAnsi="Times New Roman"/>
                <w:color w:val="auto"/>
                <w:sz w:val="18"/>
                <w:szCs w:val="18"/>
              </w:rPr>
            </w:pPr>
            <w:r>
              <w:rPr>
                <w:rFonts w:hint="eastAsia" w:ascii="Times New Roman" w:hAnsi="Times New Roman"/>
                <w:color w:val="auto"/>
                <w:sz w:val="18"/>
                <w:szCs w:val="18"/>
              </w:rPr>
              <w:t>评价结论</w:t>
            </w:r>
          </w:p>
        </w:tc>
        <w:tc>
          <w:tcPr>
            <w:tcW w:w="5507" w:type="dxa"/>
            <w:gridSpan w:val="10"/>
            <w:vAlign w:val="center"/>
          </w:tcPr>
          <w:p w14:paraId="49A67527">
            <w:pPr>
              <w:jc w:val="left"/>
              <w:rPr>
                <w:rFonts w:hint="eastAsia" w:ascii="Times New Roman" w:hAnsi="Times New Roman"/>
                <w:color w:val="auto"/>
                <w:sz w:val="18"/>
                <w:szCs w:val="18"/>
              </w:rPr>
            </w:pPr>
            <w:r>
              <w:rPr>
                <w:rFonts w:hint="eastAsia" w:ascii="Times New Roman" w:hAnsi="Times New Roman"/>
                <w:color w:val="auto"/>
                <w:sz w:val="18"/>
                <w:szCs w:val="18"/>
              </w:rPr>
              <w:t xml:space="preserve">水环境功能区或水功能区、近岸海域环境功能区水质达标状况 □：达标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 xml:space="preserve">；不达标 </w:t>
            </w:r>
            <w:r>
              <w:rPr>
                <w:rFonts w:ascii="Times New Roman" w:hAnsi="Times New Roman"/>
                <w:color w:val="auto"/>
                <w:sz w:val="18"/>
                <w:szCs w:val="18"/>
              </w:rPr>
              <w:sym w:font="Wingdings 2" w:char="00A3"/>
            </w:r>
            <w:r>
              <w:rPr>
                <w:rFonts w:hint="eastAsia" w:ascii="Times New Roman" w:hAnsi="Times New Roman"/>
                <w:color w:val="auto"/>
                <w:sz w:val="18"/>
                <w:szCs w:val="18"/>
              </w:rPr>
              <w:t xml:space="preserve"> </w:t>
            </w:r>
          </w:p>
          <w:p w14:paraId="34CA1456">
            <w:pPr>
              <w:jc w:val="left"/>
              <w:rPr>
                <w:rFonts w:hint="eastAsia" w:ascii="Times New Roman" w:hAnsi="Times New Roman"/>
                <w:color w:val="auto"/>
                <w:sz w:val="18"/>
                <w:szCs w:val="18"/>
              </w:rPr>
            </w:pPr>
            <w:r>
              <w:rPr>
                <w:rFonts w:hint="eastAsia" w:ascii="Times New Roman" w:hAnsi="Times New Roman"/>
                <w:color w:val="auto"/>
                <w:sz w:val="18"/>
                <w:szCs w:val="18"/>
              </w:rPr>
              <w:t xml:space="preserve">水环境控制单元或断面水质达标状况：达标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 xml:space="preserve">；不达标 </w:t>
            </w:r>
            <w:r>
              <w:rPr>
                <w:rFonts w:ascii="Times New Roman" w:hAnsi="Times New Roman"/>
                <w:color w:val="auto"/>
                <w:sz w:val="18"/>
                <w:szCs w:val="18"/>
              </w:rPr>
              <w:sym w:font="Wingdings 2" w:char="00A3"/>
            </w:r>
          </w:p>
          <w:p w14:paraId="768B582D">
            <w:pPr>
              <w:jc w:val="left"/>
              <w:rPr>
                <w:rFonts w:hint="eastAsia" w:ascii="Times New Roman" w:hAnsi="Times New Roman"/>
                <w:color w:val="auto"/>
                <w:sz w:val="18"/>
                <w:szCs w:val="18"/>
              </w:rPr>
            </w:pPr>
            <w:r>
              <w:rPr>
                <w:rFonts w:hint="eastAsia" w:ascii="Times New Roman" w:hAnsi="Times New Roman"/>
                <w:color w:val="auto"/>
                <w:sz w:val="18"/>
                <w:szCs w:val="18"/>
              </w:rPr>
              <w:t xml:space="preserve">水环境保护目标质量状况：达标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 xml:space="preserve">；不达标 □ </w:t>
            </w:r>
          </w:p>
          <w:p w14:paraId="395AAF47">
            <w:pPr>
              <w:jc w:val="left"/>
              <w:rPr>
                <w:rFonts w:hint="eastAsia" w:ascii="Times New Roman" w:hAnsi="Times New Roman"/>
                <w:color w:val="auto"/>
                <w:sz w:val="18"/>
                <w:szCs w:val="18"/>
              </w:rPr>
            </w:pPr>
            <w:r>
              <w:rPr>
                <w:rFonts w:hint="eastAsia" w:ascii="Times New Roman" w:hAnsi="Times New Roman"/>
                <w:color w:val="auto"/>
                <w:sz w:val="18"/>
                <w:szCs w:val="18"/>
              </w:rPr>
              <w:t xml:space="preserve">对照断面、控制断面等代表性断面的水质状况：达标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 xml:space="preserve">；不达标 </w:t>
            </w:r>
            <w:r>
              <w:rPr>
                <w:rFonts w:ascii="Times New Roman" w:hAnsi="Times New Roman"/>
                <w:color w:val="auto"/>
                <w:sz w:val="18"/>
                <w:szCs w:val="18"/>
              </w:rPr>
              <w:sym w:font="Wingdings 2" w:char="00A3"/>
            </w:r>
          </w:p>
          <w:p w14:paraId="5CFDC41D">
            <w:pPr>
              <w:jc w:val="left"/>
              <w:rPr>
                <w:rFonts w:hint="eastAsia" w:ascii="Times New Roman" w:hAnsi="Times New Roman"/>
                <w:color w:val="auto"/>
                <w:sz w:val="18"/>
                <w:szCs w:val="18"/>
              </w:rPr>
            </w:pPr>
            <w:r>
              <w:rPr>
                <w:rFonts w:hint="eastAsia" w:ascii="Times New Roman" w:hAnsi="Times New Roman"/>
                <w:color w:val="auto"/>
                <w:sz w:val="18"/>
                <w:szCs w:val="18"/>
              </w:rPr>
              <w:t xml:space="preserve">底泥污染评价 □ </w:t>
            </w:r>
          </w:p>
          <w:p w14:paraId="1DFCAF33">
            <w:pPr>
              <w:jc w:val="left"/>
              <w:rPr>
                <w:rFonts w:hint="eastAsia" w:ascii="Times New Roman" w:hAnsi="Times New Roman"/>
                <w:color w:val="auto"/>
                <w:sz w:val="18"/>
                <w:szCs w:val="18"/>
              </w:rPr>
            </w:pPr>
            <w:r>
              <w:rPr>
                <w:rFonts w:hint="eastAsia" w:ascii="Times New Roman" w:hAnsi="Times New Roman"/>
                <w:color w:val="auto"/>
                <w:sz w:val="18"/>
                <w:szCs w:val="18"/>
              </w:rPr>
              <w:t xml:space="preserve">水资源与开发利用程度及其水文情势评价 □ </w:t>
            </w:r>
          </w:p>
          <w:p w14:paraId="03F96BE9">
            <w:pPr>
              <w:jc w:val="left"/>
              <w:rPr>
                <w:rFonts w:hint="eastAsia" w:ascii="Times New Roman" w:hAnsi="Times New Roman"/>
                <w:color w:val="auto"/>
                <w:sz w:val="18"/>
                <w:szCs w:val="18"/>
              </w:rPr>
            </w:pPr>
            <w:r>
              <w:rPr>
                <w:rFonts w:hint="eastAsia" w:ascii="Times New Roman" w:hAnsi="Times New Roman"/>
                <w:color w:val="auto"/>
                <w:sz w:val="18"/>
                <w:szCs w:val="18"/>
              </w:rPr>
              <w:t xml:space="preserve">水环境质量回顾评价 □ </w:t>
            </w:r>
          </w:p>
          <w:p w14:paraId="066DA6F6">
            <w:pPr>
              <w:jc w:val="left"/>
              <w:rPr>
                <w:rFonts w:hint="eastAsia" w:ascii="Times New Roman" w:hAnsi="Times New Roman"/>
                <w:color w:val="auto"/>
                <w:sz w:val="18"/>
                <w:szCs w:val="18"/>
              </w:rPr>
            </w:pPr>
            <w:r>
              <w:rPr>
                <w:rFonts w:hint="eastAsia" w:ascii="Times New Roman" w:hAnsi="Times New Roman"/>
                <w:color w:val="auto"/>
                <w:sz w:val="18"/>
                <w:szCs w:val="18"/>
              </w:rPr>
              <w:t>流域（区域）水资源（包括水能资源）与开发利用总体状况、生态流量管理要求与现状满足程度、建设项目占用水域空间的水流状况与河湖演变状况 □</w:t>
            </w:r>
          </w:p>
        </w:tc>
        <w:tc>
          <w:tcPr>
            <w:tcW w:w="1268" w:type="dxa"/>
            <w:gridSpan w:val="2"/>
            <w:vAlign w:val="center"/>
          </w:tcPr>
          <w:p w14:paraId="00B7B1DE">
            <w:pPr>
              <w:jc w:val="center"/>
              <w:rPr>
                <w:rFonts w:hint="eastAsia" w:ascii="Times New Roman" w:hAnsi="Times New Roman"/>
                <w:color w:val="auto"/>
                <w:sz w:val="18"/>
                <w:szCs w:val="18"/>
              </w:rPr>
            </w:pPr>
            <w:r>
              <w:rPr>
                <w:rFonts w:hint="eastAsia" w:ascii="Times New Roman" w:hAnsi="Times New Roman"/>
                <w:color w:val="auto"/>
                <w:sz w:val="18"/>
                <w:szCs w:val="18"/>
              </w:rPr>
              <w:t xml:space="preserve">达标区 </w:t>
            </w:r>
            <w:r>
              <w:rPr>
                <w:rFonts w:hint="eastAsia" w:ascii="Times New Roman" w:hAnsi="Times New Roman"/>
                <w:color w:val="auto"/>
                <w:sz w:val="18"/>
                <w:szCs w:val="18"/>
              </w:rPr>
              <w:sym w:font="Wingdings 2" w:char="00A3"/>
            </w:r>
            <w:r>
              <w:rPr>
                <w:rFonts w:hint="eastAsia" w:ascii="Times New Roman" w:hAnsi="Times New Roman"/>
                <w:color w:val="auto"/>
                <w:sz w:val="18"/>
                <w:szCs w:val="18"/>
              </w:rPr>
              <w:t xml:space="preserve"> </w:t>
            </w:r>
          </w:p>
          <w:p w14:paraId="2D99BD73">
            <w:pPr>
              <w:jc w:val="center"/>
              <w:rPr>
                <w:rFonts w:hint="eastAsia" w:ascii="Times New Roman" w:hAnsi="Times New Roman"/>
                <w:color w:val="auto"/>
                <w:sz w:val="18"/>
                <w:szCs w:val="18"/>
              </w:rPr>
            </w:pPr>
            <w:r>
              <w:rPr>
                <w:rFonts w:hint="eastAsia" w:ascii="Times New Roman" w:hAnsi="Times New Roman"/>
                <w:color w:val="auto"/>
                <w:sz w:val="18"/>
                <w:szCs w:val="18"/>
              </w:rPr>
              <w:t xml:space="preserve">不达标区 </w:t>
            </w:r>
            <w:r>
              <w:rPr>
                <w:rFonts w:ascii="Times New Roman" w:hAnsi="Times New Roman"/>
                <w:color w:val="auto"/>
                <w:sz w:val="18"/>
                <w:szCs w:val="18"/>
              </w:rPr>
              <w:sym w:font="Wingdings 2" w:char="0052"/>
            </w:r>
          </w:p>
        </w:tc>
      </w:tr>
      <w:tr w14:paraId="3E3B90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restart"/>
            <w:vAlign w:val="center"/>
          </w:tcPr>
          <w:p w14:paraId="388325BF">
            <w:pPr>
              <w:jc w:val="center"/>
              <w:rPr>
                <w:rFonts w:hint="eastAsia" w:ascii="Times New Roman" w:hAnsi="Times New Roman"/>
                <w:color w:val="auto"/>
                <w:sz w:val="18"/>
                <w:szCs w:val="18"/>
              </w:rPr>
            </w:pPr>
            <w:r>
              <w:rPr>
                <w:rFonts w:hint="eastAsia" w:ascii="Times New Roman" w:hAnsi="Times New Roman"/>
                <w:color w:val="auto"/>
                <w:sz w:val="18"/>
                <w:szCs w:val="18"/>
              </w:rPr>
              <w:t>影</w:t>
            </w:r>
          </w:p>
          <w:p w14:paraId="4DD05912">
            <w:pPr>
              <w:jc w:val="center"/>
              <w:rPr>
                <w:rFonts w:hint="eastAsia" w:ascii="Times New Roman" w:hAnsi="Times New Roman"/>
                <w:color w:val="auto"/>
                <w:sz w:val="18"/>
                <w:szCs w:val="18"/>
              </w:rPr>
            </w:pPr>
            <w:r>
              <w:rPr>
                <w:rFonts w:hint="eastAsia" w:ascii="Times New Roman" w:hAnsi="Times New Roman"/>
                <w:color w:val="auto"/>
                <w:sz w:val="18"/>
                <w:szCs w:val="18"/>
              </w:rPr>
              <w:t>响</w:t>
            </w:r>
          </w:p>
          <w:p w14:paraId="4149AA9B">
            <w:pPr>
              <w:jc w:val="center"/>
              <w:rPr>
                <w:rFonts w:hint="eastAsia" w:ascii="Times New Roman" w:hAnsi="Times New Roman"/>
                <w:color w:val="auto"/>
                <w:sz w:val="18"/>
                <w:szCs w:val="18"/>
              </w:rPr>
            </w:pPr>
            <w:r>
              <w:rPr>
                <w:rFonts w:hint="eastAsia" w:ascii="Times New Roman" w:hAnsi="Times New Roman"/>
                <w:color w:val="auto"/>
                <w:sz w:val="18"/>
                <w:szCs w:val="18"/>
              </w:rPr>
              <w:t>预</w:t>
            </w:r>
          </w:p>
          <w:p w14:paraId="567C2A67">
            <w:pPr>
              <w:jc w:val="center"/>
              <w:rPr>
                <w:rFonts w:hint="eastAsia" w:ascii="Times New Roman" w:hAnsi="Times New Roman"/>
                <w:color w:val="auto"/>
                <w:sz w:val="18"/>
                <w:szCs w:val="18"/>
              </w:rPr>
            </w:pPr>
            <w:r>
              <w:rPr>
                <w:rFonts w:hint="eastAsia" w:ascii="Times New Roman" w:hAnsi="Times New Roman"/>
                <w:color w:val="auto"/>
                <w:sz w:val="18"/>
                <w:szCs w:val="18"/>
              </w:rPr>
              <w:t>测</w:t>
            </w:r>
          </w:p>
        </w:tc>
        <w:tc>
          <w:tcPr>
            <w:tcW w:w="1524" w:type="dxa"/>
            <w:vAlign w:val="center"/>
          </w:tcPr>
          <w:p w14:paraId="42F78E6B">
            <w:pPr>
              <w:jc w:val="center"/>
              <w:rPr>
                <w:rFonts w:hint="eastAsia" w:ascii="Times New Roman" w:hAnsi="Times New Roman"/>
                <w:color w:val="auto"/>
                <w:sz w:val="18"/>
                <w:szCs w:val="18"/>
              </w:rPr>
            </w:pPr>
            <w:r>
              <w:rPr>
                <w:rFonts w:hint="eastAsia" w:ascii="Times New Roman" w:hAnsi="Times New Roman"/>
                <w:color w:val="auto"/>
                <w:sz w:val="18"/>
                <w:szCs w:val="18"/>
              </w:rPr>
              <w:t>预测范围</w:t>
            </w:r>
          </w:p>
        </w:tc>
        <w:tc>
          <w:tcPr>
            <w:tcW w:w="6775" w:type="dxa"/>
            <w:gridSpan w:val="12"/>
            <w:vAlign w:val="center"/>
          </w:tcPr>
          <w:p w14:paraId="50CE5EBC">
            <w:pPr>
              <w:jc w:val="left"/>
              <w:rPr>
                <w:rFonts w:hint="eastAsia" w:ascii="Times New Roman" w:hAnsi="Times New Roman"/>
                <w:color w:val="auto"/>
                <w:sz w:val="18"/>
                <w:szCs w:val="18"/>
              </w:rPr>
            </w:pPr>
            <w:r>
              <w:rPr>
                <w:rFonts w:hint="eastAsia" w:ascii="Times New Roman" w:hAnsi="Times New Roman"/>
                <w:color w:val="auto"/>
                <w:sz w:val="18"/>
                <w:szCs w:val="18"/>
              </w:rPr>
              <w:t>河流：长度（</w:t>
            </w:r>
            <w:r>
              <w:rPr>
                <w:rFonts w:hint="eastAsia"/>
                <w:color w:val="auto"/>
                <w:sz w:val="18"/>
                <w:szCs w:val="18"/>
                <w:lang w:val="en-US" w:eastAsia="zh-CN"/>
              </w:rPr>
              <w:t>3</w:t>
            </w:r>
            <w:r>
              <w:rPr>
                <w:rFonts w:hint="eastAsia" w:ascii="Times New Roman" w:hAnsi="Times New Roman"/>
                <w:color w:val="auto"/>
                <w:sz w:val="18"/>
                <w:szCs w:val="18"/>
              </w:rPr>
              <w:t>）km；湖库、河口及近岸海域：面积（/）km</w:t>
            </w:r>
            <w:r>
              <w:rPr>
                <w:rFonts w:hint="eastAsia" w:ascii="Times New Roman" w:hAnsi="Times New Roman"/>
                <w:color w:val="auto"/>
                <w:sz w:val="18"/>
                <w:szCs w:val="18"/>
                <w:vertAlign w:val="superscript"/>
              </w:rPr>
              <w:t>2</w:t>
            </w:r>
          </w:p>
        </w:tc>
      </w:tr>
      <w:tr w14:paraId="6FF13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6161B973">
            <w:pPr>
              <w:jc w:val="center"/>
              <w:rPr>
                <w:rFonts w:hint="eastAsia" w:ascii="Times New Roman" w:hAnsi="Times New Roman"/>
                <w:color w:val="auto"/>
                <w:sz w:val="18"/>
                <w:szCs w:val="18"/>
              </w:rPr>
            </w:pPr>
          </w:p>
        </w:tc>
        <w:tc>
          <w:tcPr>
            <w:tcW w:w="1524" w:type="dxa"/>
            <w:vAlign w:val="center"/>
          </w:tcPr>
          <w:p w14:paraId="008CDE88">
            <w:pPr>
              <w:jc w:val="center"/>
              <w:rPr>
                <w:rFonts w:hint="eastAsia" w:ascii="Times New Roman" w:hAnsi="Times New Roman"/>
                <w:color w:val="auto"/>
                <w:sz w:val="18"/>
                <w:szCs w:val="18"/>
              </w:rPr>
            </w:pPr>
            <w:r>
              <w:rPr>
                <w:rFonts w:hint="eastAsia" w:ascii="Times New Roman" w:hAnsi="Times New Roman"/>
                <w:color w:val="auto"/>
                <w:sz w:val="18"/>
                <w:szCs w:val="18"/>
              </w:rPr>
              <w:t>预测因子</w:t>
            </w:r>
          </w:p>
        </w:tc>
        <w:tc>
          <w:tcPr>
            <w:tcW w:w="6775" w:type="dxa"/>
            <w:gridSpan w:val="12"/>
            <w:vAlign w:val="center"/>
          </w:tcPr>
          <w:p w14:paraId="74EF0A0B">
            <w:pPr>
              <w:jc w:val="left"/>
              <w:rPr>
                <w:rFonts w:hint="eastAsia" w:ascii="Times New Roman" w:hAnsi="Times New Roman"/>
                <w:color w:val="auto"/>
                <w:sz w:val="18"/>
                <w:szCs w:val="18"/>
              </w:rPr>
            </w:pPr>
            <w:r>
              <w:rPr>
                <w:rFonts w:hint="eastAsia" w:ascii="Times New Roman" w:hAnsi="Times New Roman"/>
                <w:color w:val="auto"/>
                <w:sz w:val="18"/>
                <w:szCs w:val="18"/>
              </w:rPr>
              <w:t>（</w:t>
            </w:r>
            <w:r>
              <w:rPr>
                <w:rFonts w:hint="eastAsia"/>
                <w:color w:val="auto"/>
                <w:sz w:val="18"/>
                <w:szCs w:val="18"/>
                <w:lang w:val="en-US" w:eastAsia="zh-CN"/>
              </w:rPr>
              <w:t>化学需氧量、五日生化需氧量、总磷</w:t>
            </w:r>
            <w:r>
              <w:rPr>
                <w:rFonts w:hint="eastAsia" w:ascii="Times New Roman" w:hAnsi="Times New Roman"/>
                <w:color w:val="auto"/>
                <w:sz w:val="18"/>
                <w:szCs w:val="18"/>
              </w:rPr>
              <w:t>）</w:t>
            </w:r>
          </w:p>
        </w:tc>
      </w:tr>
      <w:tr w14:paraId="10B1F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4F64E35E">
            <w:pPr>
              <w:jc w:val="center"/>
              <w:rPr>
                <w:rFonts w:hint="eastAsia" w:ascii="Times New Roman" w:hAnsi="Times New Roman"/>
                <w:color w:val="auto"/>
                <w:sz w:val="18"/>
                <w:szCs w:val="18"/>
              </w:rPr>
            </w:pPr>
          </w:p>
        </w:tc>
        <w:tc>
          <w:tcPr>
            <w:tcW w:w="1524" w:type="dxa"/>
            <w:vAlign w:val="center"/>
          </w:tcPr>
          <w:p w14:paraId="640CF8BA">
            <w:pPr>
              <w:jc w:val="center"/>
              <w:rPr>
                <w:rFonts w:hint="eastAsia" w:ascii="Times New Roman" w:hAnsi="Times New Roman"/>
                <w:color w:val="auto"/>
                <w:sz w:val="18"/>
                <w:szCs w:val="18"/>
              </w:rPr>
            </w:pPr>
            <w:r>
              <w:rPr>
                <w:rFonts w:hint="eastAsia" w:ascii="Times New Roman" w:hAnsi="Times New Roman"/>
                <w:color w:val="auto"/>
                <w:sz w:val="18"/>
                <w:szCs w:val="18"/>
              </w:rPr>
              <w:t>预测时期</w:t>
            </w:r>
          </w:p>
        </w:tc>
        <w:tc>
          <w:tcPr>
            <w:tcW w:w="6775" w:type="dxa"/>
            <w:gridSpan w:val="12"/>
            <w:vAlign w:val="center"/>
          </w:tcPr>
          <w:p w14:paraId="0071936F">
            <w:pPr>
              <w:jc w:val="left"/>
              <w:rPr>
                <w:rFonts w:hint="eastAsia" w:ascii="Times New Roman" w:hAnsi="Times New Roman"/>
                <w:color w:val="auto"/>
                <w:sz w:val="18"/>
                <w:szCs w:val="18"/>
              </w:rPr>
            </w:pPr>
            <w:r>
              <w:rPr>
                <w:rFonts w:hint="eastAsia" w:ascii="Times New Roman" w:hAnsi="Times New Roman"/>
                <w:color w:val="auto"/>
                <w:sz w:val="18"/>
                <w:szCs w:val="18"/>
              </w:rPr>
              <w:t xml:space="preserve">丰水期 □；平水期 □；枯水期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；冰封期 □</w:t>
            </w:r>
          </w:p>
          <w:p w14:paraId="2978433B">
            <w:pPr>
              <w:jc w:val="left"/>
              <w:rPr>
                <w:rFonts w:hint="eastAsia" w:ascii="Times New Roman" w:hAnsi="Times New Roman"/>
                <w:color w:val="auto"/>
                <w:sz w:val="18"/>
                <w:szCs w:val="18"/>
              </w:rPr>
            </w:pPr>
            <w:r>
              <w:rPr>
                <w:rFonts w:hint="eastAsia" w:ascii="Times New Roman" w:hAnsi="Times New Roman"/>
                <w:color w:val="auto"/>
                <w:sz w:val="18"/>
                <w:szCs w:val="18"/>
              </w:rPr>
              <w:t xml:space="preserve">春季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 xml:space="preserve">；夏季 □；秋季 □；冬季 □ </w:t>
            </w:r>
          </w:p>
          <w:p w14:paraId="345D8C03">
            <w:pPr>
              <w:jc w:val="left"/>
              <w:rPr>
                <w:rFonts w:hint="eastAsia" w:ascii="Times New Roman" w:hAnsi="Times New Roman"/>
                <w:color w:val="auto"/>
                <w:sz w:val="18"/>
                <w:szCs w:val="18"/>
              </w:rPr>
            </w:pPr>
            <w:r>
              <w:rPr>
                <w:rFonts w:hint="eastAsia" w:ascii="Times New Roman" w:hAnsi="Times New Roman"/>
                <w:color w:val="auto"/>
                <w:sz w:val="18"/>
                <w:szCs w:val="18"/>
              </w:rPr>
              <w:t>设计水文条件 □</w:t>
            </w:r>
          </w:p>
        </w:tc>
      </w:tr>
      <w:tr w14:paraId="67978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4344C51F">
            <w:pPr>
              <w:jc w:val="center"/>
              <w:rPr>
                <w:rFonts w:hint="eastAsia" w:ascii="Times New Roman" w:hAnsi="Times New Roman"/>
                <w:color w:val="auto"/>
                <w:sz w:val="18"/>
                <w:szCs w:val="18"/>
              </w:rPr>
            </w:pPr>
          </w:p>
        </w:tc>
        <w:tc>
          <w:tcPr>
            <w:tcW w:w="1524" w:type="dxa"/>
            <w:vAlign w:val="center"/>
          </w:tcPr>
          <w:p w14:paraId="25B5E5D6">
            <w:pPr>
              <w:jc w:val="center"/>
              <w:rPr>
                <w:rFonts w:hint="eastAsia" w:ascii="Times New Roman" w:hAnsi="Times New Roman"/>
                <w:color w:val="auto"/>
                <w:sz w:val="18"/>
                <w:szCs w:val="18"/>
              </w:rPr>
            </w:pPr>
            <w:r>
              <w:rPr>
                <w:rFonts w:hint="eastAsia" w:ascii="Times New Roman" w:hAnsi="Times New Roman"/>
                <w:color w:val="auto"/>
                <w:sz w:val="18"/>
                <w:szCs w:val="18"/>
              </w:rPr>
              <w:t>预测情景</w:t>
            </w:r>
          </w:p>
        </w:tc>
        <w:tc>
          <w:tcPr>
            <w:tcW w:w="6775" w:type="dxa"/>
            <w:gridSpan w:val="12"/>
            <w:vAlign w:val="center"/>
          </w:tcPr>
          <w:p w14:paraId="5FA60127">
            <w:pPr>
              <w:jc w:val="left"/>
              <w:rPr>
                <w:rFonts w:hint="eastAsia" w:ascii="Times New Roman" w:hAnsi="Times New Roman"/>
                <w:color w:val="auto"/>
                <w:sz w:val="18"/>
                <w:szCs w:val="18"/>
              </w:rPr>
            </w:pPr>
            <w:r>
              <w:rPr>
                <w:rFonts w:hint="eastAsia" w:ascii="Times New Roman" w:hAnsi="Times New Roman"/>
                <w:color w:val="auto"/>
                <w:sz w:val="18"/>
                <w:szCs w:val="18"/>
              </w:rPr>
              <w:t xml:space="preserve">建设期 □；生产运行期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 xml:space="preserve">；服务期满后 □ </w:t>
            </w:r>
          </w:p>
          <w:p w14:paraId="4404466C">
            <w:pPr>
              <w:jc w:val="left"/>
              <w:rPr>
                <w:rFonts w:hint="eastAsia" w:ascii="Times New Roman" w:hAnsi="Times New Roman"/>
                <w:color w:val="auto"/>
                <w:sz w:val="18"/>
                <w:szCs w:val="18"/>
              </w:rPr>
            </w:pPr>
            <w:r>
              <w:rPr>
                <w:rFonts w:hint="eastAsia" w:ascii="Times New Roman" w:hAnsi="Times New Roman"/>
                <w:color w:val="auto"/>
                <w:sz w:val="18"/>
                <w:szCs w:val="18"/>
              </w:rPr>
              <w:t xml:space="preserve">正常工况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 xml:space="preserve">；非正常工况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 xml:space="preserve"> </w:t>
            </w:r>
          </w:p>
          <w:p w14:paraId="4629DB46">
            <w:pPr>
              <w:jc w:val="left"/>
              <w:rPr>
                <w:rFonts w:hint="eastAsia" w:ascii="Times New Roman" w:hAnsi="Times New Roman"/>
                <w:color w:val="auto"/>
                <w:sz w:val="18"/>
                <w:szCs w:val="18"/>
              </w:rPr>
            </w:pPr>
            <w:r>
              <w:rPr>
                <w:rFonts w:hint="eastAsia" w:ascii="Times New Roman" w:hAnsi="Times New Roman"/>
                <w:color w:val="auto"/>
                <w:sz w:val="18"/>
                <w:szCs w:val="18"/>
              </w:rPr>
              <w:t xml:space="preserve">污染控制和减缓措施方案 </w:t>
            </w:r>
            <w:r>
              <w:rPr>
                <w:rFonts w:hint="eastAsia"/>
                <w:color w:val="auto"/>
                <w:sz w:val="18"/>
                <w:szCs w:val="18"/>
                <w:lang w:eastAsia="zh-CN"/>
              </w:rPr>
              <w:t>☑</w:t>
            </w:r>
            <w:r>
              <w:rPr>
                <w:rFonts w:hint="eastAsia" w:ascii="Times New Roman" w:hAnsi="Times New Roman"/>
                <w:color w:val="auto"/>
                <w:sz w:val="18"/>
                <w:szCs w:val="18"/>
              </w:rPr>
              <w:t xml:space="preserve"> </w:t>
            </w:r>
          </w:p>
          <w:p w14:paraId="6F564D11">
            <w:pPr>
              <w:jc w:val="left"/>
              <w:rPr>
                <w:rFonts w:hint="eastAsia" w:ascii="Times New Roman" w:hAnsi="Times New Roman"/>
                <w:color w:val="auto"/>
                <w:sz w:val="18"/>
                <w:szCs w:val="18"/>
              </w:rPr>
            </w:pPr>
            <w:r>
              <w:rPr>
                <w:rFonts w:hint="eastAsia" w:ascii="Times New Roman" w:hAnsi="Times New Roman"/>
                <w:color w:val="auto"/>
                <w:sz w:val="18"/>
                <w:szCs w:val="18"/>
              </w:rPr>
              <w:t>区（流）域环境质量改善目标要求情景 □</w:t>
            </w:r>
          </w:p>
        </w:tc>
      </w:tr>
      <w:tr w14:paraId="3775D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4DD7AFEE">
            <w:pPr>
              <w:jc w:val="center"/>
              <w:rPr>
                <w:rFonts w:hint="eastAsia" w:ascii="Times New Roman" w:hAnsi="Times New Roman"/>
                <w:color w:val="auto"/>
                <w:sz w:val="18"/>
                <w:szCs w:val="18"/>
              </w:rPr>
            </w:pPr>
          </w:p>
        </w:tc>
        <w:tc>
          <w:tcPr>
            <w:tcW w:w="1524" w:type="dxa"/>
            <w:vAlign w:val="center"/>
          </w:tcPr>
          <w:p w14:paraId="0712CCA3">
            <w:pPr>
              <w:jc w:val="center"/>
              <w:rPr>
                <w:rFonts w:hint="eastAsia" w:ascii="Times New Roman" w:hAnsi="Times New Roman"/>
                <w:color w:val="auto"/>
                <w:sz w:val="18"/>
                <w:szCs w:val="18"/>
              </w:rPr>
            </w:pPr>
            <w:r>
              <w:rPr>
                <w:rFonts w:hint="eastAsia" w:ascii="Times New Roman" w:hAnsi="Times New Roman"/>
                <w:color w:val="auto"/>
                <w:sz w:val="18"/>
                <w:szCs w:val="18"/>
              </w:rPr>
              <w:t>预测方法</w:t>
            </w:r>
          </w:p>
        </w:tc>
        <w:tc>
          <w:tcPr>
            <w:tcW w:w="6775" w:type="dxa"/>
            <w:gridSpan w:val="12"/>
            <w:vAlign w:val="center"/>
          </w:tcPr>
          <w:p w14:paraId="5758F7D6">
            <w:pPr>
              <w:jc w:val="left"/>
              <w:rPr>
                <w:rFonts w:hint="eastAsia" w:ascii="Times New Roman" w:hAnsi="Times New Roman"/>
                <w:color w:val="auto"/>
                <w:sz w:val="18"/>
                <w:szCs w:val="18"/>
              </w:rPr>
            </w:pPr>
            <w:r>
              <w:rPr>
                <w:rFonts w:hint="eastAsia" w:ascii="Times New Roman" w:hAnsi="Times New Roman"/>
                <w:color w:val="auto"/>
                <w:sz w:val="18"/>
                <w:szCs w:val="18"/>
              </w:rPr>
              <w:t xml:space="preserve">数值解 </w:t>
            </w:r>
            <w:r>
              <w:rPr>
                <w:rFonts w:hint="eastAsia" w:ascii="Times New Roman" w:hAnsi="Times New Roman"/>
                <w:color w:val="auto"/>
                <w:sz w:val="18"/>
                <w:szCs w:val="18"/>
              </w:rPr>
              <w:sym w:font="Wingdings 2" w:char="00A3"/>
            </w:r>
            <w:r>
              <w:rPr>
                <w:rFonts w:hint="eastAsia" w:ascii="Times New Roman" w:hAnsi="Times New Roman"/>
                <w:color w:val="auto"/>
                <w:sz w:val="18"/>
                <w:szCs w:val="18"/>
              </w:rPr>
              <w:t xml:space="preserve">：解析解 □；其他 □ </w:t>
            </w:r>
          </w:p>
          <w:p w14:paraId="3A4619BE">
            <w:pPr>
              <w:jc w:val="left"/>
              <w:rPr>
                <w:rFonts w:hint="eastAsia" w:ascii="Times New Roman" w:hAnsi="Times New Roman"/>
                <w:color w:val="auto"/>
                <w:sz w:val="18"/>
                <w:szCs w:val="18"/>
              </w:rPr>
            </w:pPr>
            <w:r>
              <w:rPr>
                <w:rFonts w:hint="eastAsia" w:ascii="Times New Roman" w:hAnsi="Times New Roman"/>
                <w:color w:val="auto"/>
                <w:sz w:val="18"/>
                <w:szCs w:val="18"/>
              </w:rPr>
              <w:t xml:space="preserve">导则推荐模式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 xml:space="preserve">：其他 </w:t>
            </w:r>
            <w:r>
              <w:rPr>
                <w:rFonts w:hint="eastAsia" w:ascii="Times New Roman" w:hAnsi="Times New Roman"/>
                <w:color w:val="auto"/>
                <w:sz w:val="18"/>
                <w:szCs w:val="18"/>
              </w:rPr>
              <w:sym w:font="Wingdings 2" w:char="00A3"/>
            </w:r>
          </w:p>
        </w:tc>
      </w:tr>
      <w:tr w14:paraId="1DE03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restart"/>
            <w:vAlign w:val="center"/>
          </w:tcPr>
          <w:p w14:paraId="1081D1E7">
            <w:pPr>
              <w:jc w:val="center"/>
              <w:rPr>
                <w:rFonts w:hint="eastAsia" w:ascii="Times New Roman" w:hAnsi="Times New Roman"/>
                <w:color w:val="auto"/>
                <w:sz w:val="18"/>
                <w:szCs w:val="18"/>
              </w:rPr>
            </w:pPr>
            <w:r>
              <w:rPr>
                <w:rFonts w:hint="eastAsia" w:ascii="Times New Roman" w:hAnsi="Times New Roman"/>
                <w:color w:val="auto"/>
                <w:sz w:val="18"/>
                <w:szCs w:val="18"/>
              </w:rPr>
              <w:t>影</w:t>
            </w:r>
          </w:p>
          <w:p w14:paraId="1938503B">
            <w:pPr>
              <w:jc w:val="center"/>
              <w:rPr>
                <w:rFonts w:hint="eastAsia" w:ascii="Times New Roman" w:hAnsi="Times New Roman"/>
                <w:color w:val="auto"/>
                <w:sz w:val="18"/>
                <w:szCs w:val="18"/>
              </w:rPr>
            </w:pPr>
            <w:r>
              <w:rPr>
                <w:rFonts w:hint="eastAsia" w:ascii="Times New Roman" w:hAnsi="Times New Roman"/>
                <w:color w:val="auto"/>
                <w:sz w:val="18"/>
                <w:szCs w:val="18"/>
              </w:rPr>
              <w:t>响</w:t>
            </w:r>
          </w:p>
          <w:p w14:paraId="74552567">
            <w:pPr>
              <w:jc w:val="center"/>
              <w:rPr>
                <w:rFonts w:hint="eastAsia" w:ascii="Times New Roman" w:hAnsi="Times New Roman"/>
                <w:color w:val="auto"/>
                <w:sz w:val="18"/>
                <w:szCs w:val="18"/>
              </w:rPr>
            </w:pPr>
            <w:r>
              <w:rPr>
                <w:rFonts w:hint="eastAsia" w:ascii="Times New Roman" w:hAnsi="Times New Roman"/>
                <w:color w:val="auto"/>
                <w:sz w:val="18"/>
                <w:szCs w:val="18"/>
              </w:rPr>
              <w:t>评</w:t>
            </w:r>
          </w:p>
          <w:p w14:paraId="40C4BB81">
            <w:pPr>
              <w:jc w:val="center"/>
              <w:rPr>
                <w:rFonts w:hint="eastAsia" w:ascii="Times New Roman" w:hAnsi="Times New Roman"/>
                <w:color w:val="auto"/>
                <w:sz w:val="18"/>
                <w:szCs w:val="18"/>
              </w:rPr>
            </w:pPr>
            <w:r>
              <w:rPr>
                <w:rFonts w:hint="eastAsia" w:ascii="Times New Roman" w:hAnsi="Times New Roman"/>
                <w:color w:val="auto"/>
                <w:sz w:val="18"/>
                <w:szCs w:val="18"/>
              </w:rPr>
              <w:t>价</w:t>
            </w:r>
          </w:p>
        </w:tc>
        <w:tc>
          <w:tcPr>
            <w:tcW w:w="1524" w:type="dxa"/>
            <w:vAlign w:val="center"/>
          </w:tcPr>
          <w:p w14:paraId="44FCEA16">
            <w:pPr>
              <w:jc w:val="center"/>
              <w:rPr>
                <w:rFonts w:hint="eastAsia" w:ascii="Times New Roman" w:hAnsi="Times New Roman"/>
                <w:color w:val="auto"/>
                <w:sz w:val="18"/>
                <w:szCs w:val="18"/>
              </w:rPr>
            </w:pPr>
            <w:r>
              <w:rPr>
                <w:rFonts w:hint="eastAsia" w:ascii="Times New Roman" w:hAnsi="Times New Roman"/>
                <w:color w:val="auto"/>
                <w:sz w:val="18"/>
                <w:szCs w:val="18"/>
              </w:rPr>
              <w:t>水污染控制和水环境影响减缓措</w:t>
            </w:r>
          </w:p>
          <w:p w14:paraId="3FD30D94">
            <w:pPr>
              <w:jc w:val="center"/>
              <w:rPr>
                <w:rFonts w:hint="eastAsia" w:ascii="Times New Roman" w:hAnsi="Times New Roman"/>
                <w:color w:val="auto"/>
                <w:sz w:val="18"/>
                <w:szCs w:val="18"/>
              </w:rPr>
            </w:pPr>
            <w:r>
              <w:rPr>
                <w:rFonts w:hint="eastAsia" w:ascii="Times New Roman" w:hAnsi="Times New Roman"/>
                <w:color w:val="auto"/>
                <w:sz w:val="18"/>
                <w:szCs w:val="18"/>
              </w:rPr>
              <w:t>施有效性评价</w:t>
            </w:r>
          </w:p>
        </w:tc>
        <w:tc>
          <w:tcPr>
            <w:tcW w:w="6775" w:type="dxa"/>
            <w:gridSpan w:val="12"/>
            <w:vAlign w:val="center"/>
          </w:tcPr>
          <w:p w14:paraId="63E39CA0">
            <w:pPr>
              <w:jc w:val="left"/>
              <w:rPr>
                <w:rFonts w:hint="eastAsia" w:ascii="Times New Roman" w:hAnsi="Times New Roman"/>
                <w:color w:val="auto"/>
                <w:sz w:val="18"/>
                <w:szCs w:val="18"/>
              </w:rPr>
            </w:pPr>
            <w:r>
              <w:rPr>
                <w:rFonts w:hint="eastAsia" w:ascii="Times New Roman" w:hAnsi="Times New Roman"/>
                <w:color w:val="auto"/>
                <w:sz w:val="18"/>
                <w:szCs w:val="18"/>
              </w:rPr>
              <w:t xml:space="preserve">区（流）域水环境质量改善目标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 xml:space="preserve">；替代削减源 □ </w:t>
            </w:r>
          </w:p>
        </w:tc>
      </w:tr>
      <w:tr w14:paraId="377FA3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3237C072">
            <w:pPr>
              <w:jc w:val="center"/>
              <w:rPr>
                <w:rFonts w:hint="eastAsia" w:ascii="Times New Roman" w:hAnsi="Times New Roman"/>
                <w:color w:val="auto"/>
                <w:sz w:val="18"/>
                <w:szCs w:val="18"/>
              </w:rPr>
            </w:pPr>
          </w:p>
        </w:tc>
        <w:tc>
          <w:tcPr>
            <w:tcW w:w="1524" w:type="dxa"/>
            <w:vAlign w:val="center"/>
          </w:tcPr>
          <w:p w14:paraId="7D1B7A13">
            <w:pPr>
              <w:jc w:val="center"/>
              <w:rPr>
                <w:rFonts w:hint="eastAsia" w:ascii="Times New Roman" w:hAnsi="Times New Roman"/>
                <w:color w:val="auto"/>
                <w:sz w:val="18"/>
                <w:szCs w:val="18"/>
              </w:rPr>
            </w:pPr>
            <w:r>
              <w:rPr>
                <w:rFonts w:hint="eastAsia" w:ascii="Times New Roman" w:hAnsi="Times New Roman"/>
                <w:color w:val="auto"/>
                <w:sz w:val="18"/>
                <w:szCs w:val="18"/>
              </w:rPr>
              <w:t>水环境影响评价</w:t>
            </w:r>
          </w:p>
        </w:tc>
        <w:tc>
          <w:tcPr>
            <w:tcW w:w="6775" w:type="dxa"/>
            <w:gridSpan w:val="12"/>
            <w:vAlign w:val="center"/>
          </w:tcPr>
          <w:p w14:paraId="124EB6DE">
            <w:pPr>
              <w:jc w:val="left"/>
              <w:rPr>
                <w:rFonts w:hint="eastAsia" w:ascii="Times New Roman" w:hAnsi="Times New Roman"/>
                <w:color w:val="auto"/>
                <w:sz w:val="18"/>
                <w:szCs w:val="18"/>
              </w:rPr>
            </w:pPr>
            <w:r>
              <w:rPr>
                <w:rFonts w:hint="eastAsia" w:ascii="Times New Roman" w:hAnsi="Times New Roman"/>
                <w:color w:val="auto"/>
                <w:sz w:val="18"/>
                <w:szCs w:val="18"/>
              </w:rPr>
              <w:t xml:space="preserve">排放口混合区外满足水环境管理要求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 xml:space="preserve"> </w:t>
            </w:r>
          </w:p>
          <w:p w14:paraId="00231CD9">
            <w:pPr>
              <w:jc w:val="left"/>
              <w:rPr>
                <w:rFonts w:hint="eastAsia" w:ascii="Times New Roman" w:hAnsi="Times New Roman"/>
                <w:color w:val="auto"/>
                <w:sz w:val="18"/>
                <w:szCs w:val="18"/>
              </w:rPr>
            </w:pPr>
            <w:r>
              <w:rPr>
                <w:rFonts w:hint="eastAsia" w:ascii="Times New Roman" w:hAnsi="Times New Roman"/>
                <w:color w:val="auto"/>
                <w:sz w:val="18"/>
                <w:szCs w:val="18"/>
              </w:rPr>
              <w:t xml:space="preserve">水环境功能区或水功能区、近岸海域环境功能区水质达标 □ </w:t>
            </w:r>
          </w:p>
          <w:p w14:paraId="280D0E76">
            <w:pPr>
              <w:jc w:val="left"/>
              <w:rPr>
                <w:rFonts w:hint="eastAsia" w:ascii="Times New Roman" w:hAnsi="Times New Roman"/>
                <w:color w:val="auto"/>
                <w:sz w:val="18"/>
                <w:szCs w:val="18"/>
              </w:rPr>
            </w:pPr>
            <w:r>
              <w:rPr>
                <w:rFonts w:hint="eastAsia" w:ascii="Times New Roman" w:hAnsi="Times New Roman"/>
                <w:color w:val="auto"/>
                <w:sz w:val="18"/>
                <w:szCs w:val="18"/>
              </w:rPr>
              <w:t xml:space="preserve">满足水环境保护目标水域水环境质量要求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 xml:space="preserve"> </w:t>
            </w:r>
          </w:p>
          <w:p w14:paraId="629F6E3C">
            <w:pPr>
              <w:jc w:val="left"/>
              <w:rPr>
                <w:rFonts w:hint="eastAsia" w:ascii="Times New Roman" w:hAnsi="Times New Roman"/>
                <w:color w:val="auto"/>
                <w:sz w:val="18"/>
                <w:szCs w:val="18"/>
              </w:rPr>
            </w:pPr>
            <w:r>
              <w:rPr>
                <w:rFonts w:hint="eastAsia" w:ascii="Times New Roman" w:hAnsi="Times New Roman"/>
                <w:color w:val="auto"/>
                <w:sz w:val="18"/>
                <w:szCs w:val="18"/>
              </w:rPr>
              <w:t xml:space="preserve">水环境控制单元或断面水质达标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 xml:space="preserve"> </w:t>
            </w:r>
          </w:p>
          <w:p w14:paraId="5B5997D9">
            <w:pPr>
              <w:jc w:val="left"/>
              <w:rPr>
                <w:rFonts w:hint="eastAsia" w:ascii="Times New Roman" w:hAnsi="Times New Roman"/>
                <w:color w:val="auto"/>
                <w:sz w:val="18"/>
                <w:szCs w:val="18"/>
              </w:rPr>
            </w:pPr>
            <w:r>
              <w:rPr>
                <w:rFonts w:hint="eastAsia" w:ascii="Times New Roman" w:hAnsi="Times New Roman"/>
                <w:color w:val="auto"/>
                <w:sz w:val="18"/>
                <w:szCs w:val="18"/>
              </w:rPr>
              <w:t xml:space="preserve">满足重点水污染物排放总量控制指标要求，重点行业建设项目， 主要污染物排放满足等量或减量替代要求 □ </w:t>
            </w:r>
          </w:p>
          <w:p w14:paraId="6AD1BBF8">
            <w:pPr>
              <w:jc w:val="left"/>
              <w:rPr>
                <w:rFonts w:hint="eastAsia" w:ascii="Times New Roman" w:hAnsi="Times New Roman"/>
                <w:color w:val="auto"/>
                <w:sz w:val="18"/>
                <w:szCs w:val="18"/>
              </w:rPr>
            </w:pPr>
            <w:r>
              <w:rPr>
                <w:rFonts w:hint="eastAsia" w:ascii="Times New Roman" w:hAnsi="Times New Roman"/>
                <w:color w:val="auto"/>
                <w:sz w:val="18"/>
                <w:szCs w:val="18"/>
              </w:rPr>
              <w:t xml:space="preserve">满足区（流）域水环境质量改善目标要求 □ </w:t>
            </w:r>
          </w:p>
          <w:p w14:paraId="2731A58A">
            <w:pPr>
              <w:jc w:val="left"/>
              <w:rPr>
                <w:rFonts w:hint="eastAsia" w:ascii="Times New Roman" w:hAnsi="Times New Roman"/>
                <w:color w:val="auto"/>
                <w:sz w:val="18"/>
                <w:szCs w:val="18"/>
              </w:rPr>
            </w:pPr>
            <w:r>
              <w:rPr>
                <w:rFonts w:hint="eastAsia" w:ascii="Times New Roman" w:hAnsi="Times New Roman"/>
                <w:color w:val="auto"/>
                <w:sz w:val="18"/>
                <w:szCs w:val="18"/>
              </w:rPr>
              <w:t xml:space="preserve">水文要素影响型建设项目同时应包括水文情势变化评价、主要水文特征值影响评价、生态流量符合性评价 □ </w:t>
            </w:r>
          </w:p>
          <w:p w14:paraId="12043273">
            <w:pPr>
              <w:jc w:val="left"/>
              <w:rPr>
                <w:rFonts w:hint="eastAsia" w:ascii="Times New Roman" w:hAnsi="Times New Roman"/>
                <w:color w:val="auto"/>
                <w:sz w:val="18"/>
                <w:szCs w:val="18"/>
              </w:rPr>
            </w:pPr>
            <w:r>
              <w:rPr>
                <w:rFonts w:hint="eastAsia" w:ascii="Times New Roman" w:hAnsi="Times New Roman"/>
                <w:color w:val="auto"/>
                <w:sz w:val="18"/>
                <w:szCs w:val="18"/>
              </w:rPr>
              <w:t xml:space="preserve">对于新设或调整入河（湖库、近岸海域）排放口的建设项目，应包括排放口设置的环境合理性评价 □ </w:t>
            </w:r>
          </w:p>
          <w:p w14:paraId="08300DD1">
            <w:pPr>
              <w:jc w:val="left"/>
              <w:rPr>
                <w:rFonts w:hint="eastAsia" w:ascii="Times New Roman" w:hAnsi="Times New Roman"/>
                <w:color w:val="auto"/>
                <w:sz w:val="18"/>
                <w:szCs w:val="18"/>
              </w:rPr>
            </w:pPr>
            <w:r>
              <w:rPr>
                <w:rFonts w:hint="eastAsia" w:ascii="Times New Roman" w:hAnsi="Times New Roman"/>
                <w:color w:val="auto"/>
                <w:sz w:val="18"/>
                <w:szCs w:val="18"/>
              </w:rPr>
              <w:t>满足生态保护红线、水环境质量底线、资源利用上线和环境准入清单管理要求 □</w:t>
            </w:r>
          </w:p>
        </w:tc>
      </w:tr>
      <w:tr w14:paraId="74B2A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945" w:type="dxa"/>
            <w:vMerge w:val="continue"/>
            <w:vAlign w:val="center"/>
          </w:tcPr>
          <w:p w14:paraId="692C1D21">
            <w:pPr>
              <w:jc w:val="center"/>
              <w:rPr>
                <w:rFonts w:hint="eastAsia" w:ascii="Times New Roman" w:hAnsi="Times New Roman"/>
                <w:color w:val="auto"/>
                <w:sz w:val="18"/>
                <w:szCs w:val="18"/>
              </w:rPr>
            </w:pPr>
          </w:p>
        </w:tc>
        <w:tc>
          <w:tcPr>
            <w:tcW w:w="1524" w:type="dxa"/>
            <w:vMerge w:val="restart"/>
            <w:vAlign w:val="center"/>
          </w:tcPr>
          <w:p w14:paraId="2A7D18CF">
            <w:pPr>
              <w:jc w:val="center"/>
              <w:rPr>
                <w:rFonts w:hint="eastAsia" w:ascii="Times New Roman" w:hAnsi="Times New Roman"/>
                <w:color w:val="auto"/>
                <w:sz w:val="18"/>
                <w:szCs w:val="18"/>
              </w:rPr>
            </w:pPr>
            <w:r>
              <w:rPr>
                <w:rFonts w:hint="eastAsia" w:ascii="Times New Roman" w:hAnsi="Times New Roman"/>
                <w:color w:val="auto"/>
                <w:sz w:val="18"/>
                <w:szCs w:val="18"/>
              </w:rPr>
              <w:t>污染源排放量核算</w:t>
            </w:r>
          </w:p>
        </w:tc>
        <w:tc>
          <w:tcPr>
            <w:tcW w:w="2258" w:type="dxa"/>
            <w:gridSpan w:val="4"/>
            <w:vAlign w:val="center"/>
          </w:tcPr>
          <w:p w14:paraId="4C2B2592">
            <w:pPr>
              <w:jc w:val="center"/>
              <w:rPr>
                <w:rFonts w:hint="eastAsia" w:ascii="Times New Roman" w:hAnsi="Times New Roman"/>
                <w:color w:val="auto"/>
                <w:sz w:val="18"/>
                <w:szCs w:val="18"/>
              </w:rPr>
            </w:pPr>
            <w:r>
              <w:rPr>
                <w:rFonts w:hint="eastAsia" w:ascii="Times New Roman" w:hAnsi="Times New Roman"/>
                <w:color w:val="auto"/>
                <w:sz w:val="18"/>
                <w:szCs w:val="18"/>
              </w:rPr>
              <w:t>污染物名称</w:t>
            </w:r>
          </w:p>
        </w:tc>
        <w:tc>
          <w:tcPr>
            <w:tcW w:w="3162" w:type="dxa"/>
            <w:gridSpan w:val="5"/>
            <w:vAlign w:val="center"/>
          </w:tcPr>
          <w:p w14:paraId="10C8EBFB">
            <w:pPr>
              <w:jc w:val="center"/>
              <w:rPr>
                <w:rFonts w:hint="eastAsia" w:ascii="Times New Roman" w:hAnsi="Times New Roman"/>
                <w:color w:val="auto"/>
                <w:sz w:val="18"/>
                <w:szCs w:val="18"/>
              </w:rPr>
            </w:pPr>
            <w:r>
              <w:rPr>
                <w:rFonts w:hint="eastAsia" w:ascii="Times New Roman" w:hAnsi="Times New Roman"/>
                <w:color w:val="auto"/>
                <w:sz w:val="18"/>
                <w:szCs w:val="18"/>
              </w:rPr>
              <w:t>排放量/（t/a）</w:t>
            </w:r>
          </w:p>
        </w:tc>
        <w:tc>
          <w:tcPr>
            <w:tcW w:w="1355" w:type="dxa"/>
            <w:gridSpan w:val="3"/>
            <w:vAlign w:val="center"/>
          </w:tcPr>
          <w:p w14:paraId="32878A29">
            <w:pPr>
              <w:jc w:val="center"/>
              <w:rPr>
                <w:rFonts w:hint="eastAsia" w:ascii="Times New Roman" w:hAnsi="Times New Roman"/>
                <w:color w:val="auto"/>
                <w:sz w:val="18"/>
                <w:szCs w:val="18"/>
              </w:rPr>
            </w:pPr>
            <w:r>
              <w:rPr>
                <w:rFonts w:hint="eastAsia" w:ascii="Times New Roman" w:hAnsi="Times New Roman"/>
                <w:color w:val="auto"/>
                <w:sz w:val="18"/>
                <w:szCs w:val="18"/>
              </w:rPr>
              <w:t>排放浓度/（mg/L）</w:t>
            </w:r>
          </w:p>
        </w:tc>
      </w:tr>
      <w:tr w14:paraId="3640B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02E4FDE7">
            <w:pPr>
              <w:jc w:val="center"/>
              <w:rPr>
                <w:rFonts w:hint="eastAsia" w:ascii="Times New Roman" w:hAnsi="Times New Roman"/>
                <w:color w:val="auto"/>
                <w:sz w:val="18"/>
                <w:szCs w:val="18"/>
              </w:rPr>
            </w:pPr>
          </w:p>
        </w:tc>
        <w:tc>
          <w:tcPr>
            <w:tcW w:w="1524" w:type="dxa"/>
            <w:vMerge w:val="continue"/>
            <w:vAlign w:val="center"/>
          </w:tcPr>
          <w:p w14:paraId="5C576C93">
            <w:pPr>
              <w:jc w:val="center"/>
              <w:rPr>
                <w:rFonts w:hint="eastAsia" w:ascii="Times New Roman" w:hAnsi="Times New Roman"/>
                <w:color w:val="auto"/>
                <w:sz w:val="18"/>
                <w:szCs w:val="18"/>
              </w:rPr>
            </w:pPr>
          </w:p>
        </w:tc>
        <w:tc>
          <w:tcPr>
            <w:tcW w:w="2258" w:type="dxa"/>
            <w:gridSpan w:val="4"/>
            <w:vAlign w:val="center"/>
          </w:tcPr>
          <w:p w14:paraId="7B698C40">
            <w:pPr>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COD</w:t>
            </w:r>
          </w:p>
        </w:tc>
        <w:tc>
          <w:tcPr>
            <w:tcW w:w="3162" w:type="dxa"/>
            <w:gridSpan w:val="5"/>
            <w:vAlign w:val="center"/>
          </w:tcPr>
          <w:p w14:paraId="21173A75">
            <w:pPr>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219</w:t>
            </w:r>
          </w:p>
        </w:tc>
        <w:tc>
          <w:tcPr>
            <w:tcW w:w="1355" w:type="dxa"/>
            <w:gridSpan w:val="3"/>
            <w:vAlign w:val="center"/>
          </w:tcPr>
          <w:p w14:paraId="3DF91AC5">
            <w:pPr>
              <w:jc w:val="center"/>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40</w:t>
            </w:r>
          </w:p>
        </w:tc>
      </w:tr>
      <w:tr w14:paraId="45A94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0BFA8425">
            <w:pPr>
              <w:jc w:val="center"/>
              <w:rPr>
                <w:rFonts w:hint="eastAsia" w:ascii="Times New Roman" w:hAnsi="Times New Roman"/>
                <w:color w:val="auto"/>
                <w:sz w:val="18"/>
                <w:szCs w:val="18"/>
              </w:rPr>
            </w:pPr>
          </w:p>
        </w:tc>
        <w:tc>
          <w:tcPr>
            <w:tcW w:w="1524" w:type="dxa"/>
            <w:vMerge w:val="continue"/>
            <w:vAlign w:val="center"/>
          </w:tcPr>
          <w:p w14:paraId="2168A5DF">
            <w:pPr>
              <w:jc w:val="center"/>
              <w:rPr>
                <w:rFonts w:hint="eastAsia" w:ascii="Times New Roman" w:hAnsi="Times New Roman"/>
                <w:color w:val="auto"/>
                <w:sz w:val="18"/>
                <w:szCs w:val="18"/>
              </w:rPr>
            </w:pPr>
          </w:p>
        </w:tc>
        <w:tc>
          <w:tcPr>
            <w:tcW w:w="2258" w:type="dxa"/>
            <w:gridSpan w:val="4"/>
            <w:vAlign w:val="center"/>
          </w:tcPr>
          <w:p w14:paraId="621DDE8F">
            <w:pPr>
              <w:jc w:val="center"/>
              <w:rPr>
                <w:rFonts w:hint="default" w:ascii="Times New Roman" w:hAnsi="Times New Roman" w:cs="Times New Roman"/>
                <w:color w:val="auto"/>
                <w:sz w:val="18"/>
                <w:szCs w:val="18"/>
              </w:rPr>
            </w:pPr>
            <w:r>
              <w:rPr>
                <w:rFonts w:hint="default" w:ascii="Times New Roman" w:hAnsi="Times New Roman" w:cs="Times New Roman"/>
                <w:bCs/>
                <w:color w:val="auto"/>
                <w:sz w:val="18"/>
                <w:szCs w:val="18"/>
              </w:rPr>
              <w:t>NH</w:t>
            </w:r>
            <w:r>
              <w:rPr>
                <w:rFonts w:hint="default" w:ascii="Times New Roman" w:hAnsi="Times New Roman" w:cs="Times New Roman"/>
                <w:bCs/>
                <w:color w:val="auto"/>
                <w:sz w:val="18"/>
                <w:szCs w:val="18"/>
                <w:vertAlign w:val="subscript"/>
              </w:rPr>
              <w:t>3</w:t>
            </w:r>
            <w:r>
              <w:rPr>
                <w:rFonts w:hint="default" w:ascii="Times New Roman" w:hAnsi="Times New Roman" w:cs="Times New Roman"/>
                <w:bCs/>
                <w:color w:val="auto"/>
                <w:sz w:val="18"/>
                <w:szCs w:val="18"/>
              </w:rPr>
              <w:t>-N</w:t>
            </w:r>
          </w:p>
        </w:tc>
        <w:tc>
          <w:tcPr>
            <w:tcW w:w="3162" w:type="dxa"/>
            <w:gridSpan w:val="5"/>
            <w:vAlign w:val="center"/>
          </w:tcPr>
          <w:p w14:paraId="6A49A69A">
            <w:pPr>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16.425</w:t>
            </w:r>
          </w:p>
        </w:tc>
        <w:tc>
          <w:tcPr>
            <w:tcW w:w="1355" w:type="dxa"/>
            <w:gridSpan w:val="3"/>
            <w:vAlign w:val="center"/>
          </w:tcPr>
          <w:p w14:paraId="3AD46BF9">
            <w:pPr>
              <w:jc w:val="center"/>
              <w:rPr>
                <w:rFonts w:hint="default" w:ascii="Times New Roman" w:hAnsi="Times New Roman" w:cs="Times New Roman"/>
                <w:color w:val="auto"/>
                <w:sz w:val="18"/>
                <w:szCs w:val="18"/>
                <w:lang w:val="en-US" w:eastAsia="zh-CN"/>
              </w:rPr>
            </w:pPr>
            <w:r>
              <w:rPr>
                <w:rFonts w:hint="eastAsia" w:cs="Times New Roman"/>
                <w:color w:val="auto"/>
                <w:sz w:val="18"/>
                <w:szCs w:val="18"/>
                <w:lang w:val="en-US" w:eastAsia="zh-CN"/>
              </w:rPr>
              <w:t>3</w:t>
            </w:r>
          </w:p>
        </w:tc>
      </w:tr>
      <w:tr w14:paraId="6DAD8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214CE74C">
            <w:pPr>
              <w:jc w:val="center"/>
              <w:rPr>
                <w:rFonts w:hint="eastAsia" w:ascii="Times New Roman" w:hAnsi="Times New Roman"/>
                <w:color w:val="auto"/>
                <w:sz w:val="18"/>
                <w:szCs w:val="18"/>
              </w:rPr>
            </w:pPr>
          </w:p>
        </w:tc>
        <w:tc>
          <w:tcPr>
            <w:tcW w:w="1524" w:type="dxa"/>
            <w:vMerge w:val="restart"/>
            <w:vAlign w:val="center"/>
          </w:tcPr>
          <w:p w14:paraId="72008590">
            <w:pPr>
              <w:jc w:val="center"/>
              <w:rPr>
                <w:rFonts w:hint="eastAsia" w:ascii="Times New Roman" w:hAnsi="Times New Roman"/>
                <w:color w:val="auto"/>
                <w:sz w:val="18"/>
                <w:szCs w:val="18"/>
              </w:rPr>
            </w:pPr>
            <w:r>
              <w:rPr>
                <w:rFonts w:hint="eastAsia" w:ascii="Times New Roman" w:hAnsi="Times New Roman"/>
                <w:color w:val="auto"/>
                <w:sz w:val="18"/>
                <w:szCs w:val="18"/>
              </w:rPr>
              <w:t>替代源排放情况</w:t>
            </w:r>
          </w:p>
        </w:tc>
        <w:tc>
          <w:tcPr>
            <w:tcW w:w="1355" w:type="dxa"/>
            <w:vAlign w:val="center"/>
          </w:tcPr>
          <w:p w14:paraId="77216201">
            <w:pPr>
              <w:jc w:val="center"/>
              <w:rPr>
                <w:rFonts w:hint="eastAsia" w:ascii="Times New Roman" w:hAnsi="Times New Roman"/>
                <w:color w:val="auto"/>
                <w:sz w:val="18"/>
                <w:szCs w:val="18"/>
              </w:rPr>
            </w:pPr>
            <w:r>
              <w:rPr>
                <w:rFonts w:hint="eastAsia" w:ascii="Times New Roman" w:hAnsi="Times New Roman"/>
                <w:color w:val="auto"/>
                <w:sz w:val="18"/>
                <w:szCs w:val="18"/>
              </w:rPr>
              <w:t>污染源名称</w:t>
            </w:r>
          </w:p>
        </w:tc>
        <w:tc>
          <w:tcPr>
            <w:tcW w:w="1355" w:type="dxa"/>
            <w:gridSpan w:val="4"/>
            <w:vAlign w:val="center"/>
          </w:tcPr>
          <w:p w14:paraId="407D2658">
            <w:pPr>
              <w:jc w:val="center"/>
              <w:rPr>
                <w:rFonts w:hint="eastAsia" w:ascii="Times New Roman" w:hAnsi="Times New Roman"/>
                <w:color w:val="auto"/>
                <w:spacing w:val="-10"/>
                <w:sz w:val="18"/>
                <w:szCs w:val="18"/>
              </w:rPr>
            </w:pPr>
            <w:r>
              <w:rPr>
                <w:rFonts w:hint="eastAsia" w:ascii="Times New Roman" w:hAnsi="Times New Roman"/>
                <w:color w:val="auto"/>
                <w:spacing w:val="-10"/>
                <w:sz w:val="18"/>
                <w:szCs w:val="18"/>
              </w:rPr>
              <w:t>排污许可证编号</w:t>
            </w:r>
          </w:p>
        </w:tc>
        <w:tc>
          <w:tcPr>
            <w:tcW w:w="1355" w:type="dxa"/>
            <w:gridSpan w:val="2"/>
            <w:vAlign w:val="center"/>
          </w:tcPr>
          <w:p w14:paraId="6A3FEAFF">
            <w:pPr>
              <w:jc w:val="center"/>
              <w:rPr>
                <w:rFonts w:hint="eastAsia" w:ascii="Times New Roman" w:hAnsi="Times New Roman"/>
                <w:color w:val="auto"/>
                <w:sz w:val="18"/>
                <w:szCs w:val="18"/>
              </w:rPr>
            </w:pPr>
            <w:r>
              <w:rPr>
                <w:rFonts w:hint="eastAsia" w:ascii="Times New Roman" w:hAnsi="Times New Roman"/>
                <w:color w:val="auto"/>
                <w:sz w:val="18"/>
                <w:szCs w:val="18"/>
              </w:rPr>
              <w:t>污染物名称</w:t>
            </w:r>
          </w:p>
        </w:tc>
        <w:tc>
          <w:tcPr>
            <w:tcW w:w="1355" w:type="dxa"/>
            <w:gridSpan w:val="2"/>
            <w:vAlign w:val="center"/>
          </w:tcPr>
          <w:p w14:paraId="4275A5C8">
            <w:pPr>
              <w:jc w:val="center"/>
              <w:rPr>
                <w:rFonts w:hint="eastAsia" w:ascii="Times New Roman" w:hAnsi="Times New Roman"/>
                <w:color w:val="auto"/>
                <w:sz w:val="18"/>
                <w:szCs w:val="18"/>
              </w:rPr>
            </w:pPr>
            <w:r>
              <w:rPr>
                <w:rFonts w:hint="eastAsia" w:ascii="Times New Roman" w:hAnsi="Times New Roman"/>
                <w:color w:val="auto"/>
                <w:sz w:val="18"/>
                <w:szCs w:val="18"/>
              </w:rPr>
              <w:t>排放量/（t/a）</w:t>
            </w:r>
          </w:p>
        </w:tc>
        <w:tc>
          <w:tcPr>
            <w:tcW w:w="1355" w:type="dxa"/>
            <w:gridSpan w:val="3"/>
            <w:vAlign w:val="center"/>
          </w:tcPr>
          <w:p w14:paraId="55A2CD11">
            <w:pPr>
              <w:jc w:val="center"/>
              <w:rPr>
                <w:rFonts w:hint="eastAsia" w:ascii="Times New Roman" w:hAnsi="Times New Roman"/>
                <w:color w:val="auto"/>
                <w:sz w:val="18"/>
                <w:szCs w:val="18"/>
              </w:rPr>
            </w:pPr>
            <w:r>
              <w:rPr>
                <w:rFonts w:hint="eastAsia" w:ascii="Times New Roman" w:hAnsi="Times New Roman"/>
                <w:color w:val="auto"/>
                <w:sz w:val="18"/>
                <w:szCs w:val="18"/>
              </w:rPr>
              <w:t>排放浓度/（mg/L）</w:t>
            </w:r>
          </w:p>
        </w:tc>
      </w:tr>
      <w:tr w14:paraId="65D844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27C65517">
            <w:pPr>
              <w:jc w:val="center"/>
              <w:rPr>
                <w:rFonts w:hint="eastAsia" w:ascii="Times New Roman" w:hAnsi="Times New Roman"/>
                <w:color w:val="auto"/>
                <w:sz w:val="18"/>
                <w:szCs w:val="18"/>
              </w:rPr>
            </w:pPr>
          </w:p>
        </w:tc>
        <w:tc>
          <w:tcPr>
            <w:tcW w:w="1524" w:type="dxa"/>
            <w:vMerge w:val="continue"/>
            <w:vAlign w:val="center"/>
          </w:tcPr>
          <w:p w14:paraId="3F307521">
            <w:pPr>
              <w:jc w:val="center"/>
              <w:rPr>
                <w:rFonts w:hint="eastAsia" w:ascii="Times New Roman" w:hAnsi="Times New Roman"/>
                <w:color w:val="auto"/>
                <w:sz w:val="18"/>
                <w:szCs w:val="18"/>
              </w:rPr>
            </w:pPr>
          </w:p>
        </w:tc>
        <w:tc>
          <w:tcPr>
            <w:tcW w:w="1355" w:type="dxa"/>
            <w:vAlign w:val="top"/>
          </w:tcPr>
          <w:p w14:paraId="01ED15C5">
            <w:pPr>
              <w:jc w:val="center"/>
              <w:rPr>
                <w:color w:val="auto"/>
              </w:rPr>
            </w:pPr>
            <w:r>
              <w:rPr>
                <w:rFonts w:hint="eastAsia" w:ascii="Times New Roman" w:hAnsi="Times New Roman"/>
                <w:color w:val="auto"/>
                <w:sz w:val="18"/>
                <w:szCs w:val="18"/>
              </w:rPr>
              <w:t>（/）</w:t>
            </w:r>
          </w:p>
        </w:tc>
        <w:tc>
          <w:tcPr>
            <w:tcW w:w="1355" w:type="dxa"/>
            <w:gridSpan w:val="4"/>
            <w:vAlign w:val="top"/>
          </w:tcPr>
          <w:p w14:paraId="2378A656">
            <w:pPr>
              <w:jc w:val="center"/>
              <w:rPr>
                <w:color w:val="auto"/>
              </w:rPr>
            </w:pPr>
            <w:r>
              <w:rPr>
                <w:rFonts w:hint="eastAsia" w:ascii="Times New Roman" w:hAnsi="Times New Roman"/>
                <w:color w:val="auto"/>
                <w:sz w:val="18"/>
                <w:szCs w:val="18"/>
              </w:rPr>
              <w:t>（/）</w:t>
            </w:r>
          </w:p>
        </w:tc>
        <w:tc>
          <w:tcPr>
            <w:tcW w:w="1355" w:type="dxa"/>
            <w:gridSpan w:val="2"/>
            <w:vAlign w:val="top"/>
          </w:tcPr>
          <w:p w14:paraId="04FB91A3">
            <w:pPr>
              <w:jc w:val="center"/>
              <w:rPr>
                <w:color w:val="auto"/>
              </w:rPr>
            </w:pPr>
            <w:r>
              <w:rPr>
                <w:rFonts w:hint="eastAsia" w:ascii="Times New Roman" w:hAnsi="Times New Roman"/>
                <w:color w:val="auto"/>
                <w:sz w:val="18"/>
                <w:szCs w:val="18"/>
              </w:rPr>
              <w:t>（/）</w:t>
            </w:r>
          </w:p>
        </w:tc>
        <w:tc>
          <w:tcPr>
            <w:tcW w:w="1355" w:type="dxa"/>
            <w:gridSpan w:val="2"/>
            <w:vAlign w:val="top"/>
          </w:tcPr>
          <w:p w14:paraId="066D2193">
            <w:pPr>
              <w:jc w:val="center"/>
              <w:rPr>
                <w:color w:val="auto"/>
              </w:rPr>
            </w:pPr>
            <w:r>
              <w:rPr>
                <w:rFonts w:hint="eastAsia" w:ascii="Times New Roman" w:hAnsi="Times New Roman"/>
                <w:color w:val="auto"/>
                <w:sz w:val="18"/>
                <w:szCs w:val="18"/>
              </w:rPr>
              <w:t>（/）</w:t>
            </w:r>
          </w:p>
        </w:tc>
        <w:tc>
          <w:tcPr>
            <w:tcW w:w="1355" w:type="dxa"/>
            <w:gridSpan w:val="3"/>
            <w:vAlign w:val="top"/>
          </w:tcPr>
          <w:p w14:paraId="57AEE71B">
            <w:pPr>
              <w:jc w:val="center"/>
              <w:rPr>
                <w:color w:val="auto"/>
              </w:rPr>
            </w:pPr>
            <w:r>
              <w:rPr>
                <w:rFonts w:hint="eastAsia" w:ascii="Times New Roman" w:hAnsi="Times New Roman"/>
                <w:color w:val="auto"/>
                <w:sz w:val="18"/>
                <w:szCs w:val="18"/>
              </w:rPr>
              <w:t>（/）</w:t>
            </w:r>
          </w:p>
        </w:tc>
      </w:tr>
      <w:tr w14:paraId="38FE3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4B222503">
            <w:pPr>
              <w:jc w:val="center"/>
              <w:rPr>
                <w:rFonts w:hint="eastAsia" w:ascii="Times New Roman" w:hAnsi="Times New Roman"/>
                <w:color w:val="auto"/>
                <w:sz w:val="18"/>
                <w:szCs w:val="18"/>
              </w:rPr>
            </w:pPr>
          </w:p>
        </w:tc>
        <w:tc>
          <w:tcPr>
            <w:tcW w:w="1524" w:type="dxa"/>
            <w:vAlign w:val="center"/>
          </w:tcPr>
          <w:p w14:paraId="3040EB0E">
            <w:pPr>
              <w:jc w:val="center"/>
              <w:rPr>
                <w:rFonts w:hint="eastAsia" w:ascii="Times New Roman" w:hAnsi="Times New Roman"/>
                <w:color w:val="auto"/>
                <w:sz w:val="18"/>
                <w:szCs w:val="18"/>
              </w:rPr>
            </w:pPr>
            <w:r>
              <w:rPr>
                <w:rFonts w:hint="eastAsia" w:ascii="Times New Roman" w:hAnsi="Times New Roman"/>
                <w:color w:val="auto"/>
                <w:sz w:val="18"/>
                <w:szCs w:val="18"/>
              </w:rPr>
              <w:t>生态流量确定</w:t>
            </w:r>
          </w:p>
        </w:tc>
        <w:tc>
          <w:tcPr>
            <w:tcW w:w="6775" w:type="dxa"/>
            <w:gridSpan w:val="12"/>
            <w:vAlign w:val="center"/>
          </w:tcPr>
          <w:p w14:paraId="0127F319">
            <w:pPr>
              <w:jc w:val="left"/>
              <w:rPr>
                <w:rFonts w:hint="eastAsia" w:ascii="Times New Roman" w:hAnsi="Times New Roman"/>
                <w:color w:val="auto"/>
                <w:sz w:val="18"/>
                <w:szCs w:val="18"/>
              </w:rPr>
            </w:pPr>
            <w:r>
              <w:rPr>
                <w:rFonts w:hint="eastAsia" w:ascii="Times New Roman" w:hAnsi="Times New Roman"/>
                <w:color w:val="auto"/>
                <w:sz w:val="18"/>
                <w:szCs w:val="18"/>
              </w:rPr>
              <w:t>生态流量：一般水期（ ）m</w:t>
            </w:r>
            <w:r>
              <w:rPr>
                <w:rFonts w:hint="eastAsia" w:ascii="Times New Roman" w:hAnsi="Times New Roman"/>
                <w:color w:val="auto"/>
                <w:sz w:val="18"/>
                <w:szCs w:val="18"/>
                <w:vertAlign w:val="superscript"/>
              </w:rPr>
              <w:t>3</w:t>
            </w:r>
            <w:r>
              <w:rPr>
                <w:rFonts w:hint="eastAsia" w:ascii="Times New Roman" w:hAnsi="Times New Roman"/>
                <w:color w:val="auto"/>
                <w:sz w:val="18"/>
                <w:szCs w:val="18"/>
              </w:rPr>
              <w:t>/s；鱼类繁殖期（ ）m</w:t>
            </w:r>
            <w:r>
              <w:rPr>
                <w:rFonts w:hint="eastAsia" w:ascii="Times New Roman" w:hAnsi="Times New Roman"/>
                <w:color w:val="auto"/>
                <w:sz w:val="18"/>
                <w:szCs w:val="18"/>
                <w:vertAlign w:val="superscript"/>
              </w:rPr>
              <w:t>3</w:t>
            </w:r>
            <w:r>
              <w:rPr>
                <w:rFonts w:hint="eastAsia" w:ascii="Times New Roman" w:hAnsi="Times New Roman"/>
                <w:color w:val="auto"/>
                <w:sz w:val="18"/>
                <w:szCs w:val="18"/>
              </w:rPr>
              <w:t>/s；其他（ ）m</w:t>
            </w:r>
            <w:r>
              <w:rPr>
                <w:rFonts w:hint="eastAsia" w:ascii="Times New Roman" w:hAnsi="Times New Roman"/>
                <w:color w:val="auto"/>
                <w:sz w:val="18"/>
                <w:szCs w:val="18"/>
                <w:vertAlign w:val="superscript"/>
              </w:rPr>
              <w:t>3</w:t>
            </w:r>
            <w:r>
              <w:rPr>
                <w:rFonts w:hint="eastAsia" w:ascii="Times New Roman" w:hAnsi="Times New Roman"/>
                <w:color w:val="auto"/>
                <w:sz w:val="18"/>
                <w:szCs w:val="18"/>
              </w:rPr>
              <w:t xml:space="preserve">/s </w:t>
            </w:r>
          </w:p>
          <w:p w14:paraId="4AE338E8">
            <w:pPr>
              <w:jc w:val="left"/>
              <w:rPr>
                <w:rFonts w:hint="eastAsia" w:ascii="Times New Roman" w:hAnsi="Times New Roman"/>
                <w:color w:val="auto"/>
                <w:sz w:val="18"/>
                <w:szCs w:val="18"/>
              </w:rPr>
            </w:pPr>
            <w:r>
              <w:rPr>
                <w:rFonts w:hint="eastAsia" w:ascii="Times New Roman" w:hAnsi="Times New Roman"/>
                <w:color w:val="auto"/>
                <w:sz w:val="18"/>
                <w:szCs w:val="18"/>
              </w:rPr>
              <w:t>生态水位：一般水期（ ）m；鱼类繁殖期（ ）m；其他（ ）m</w:t>
            </w:r>
          </w:p>
        </w:tc>
      </w:tr>
      <w:tr w14:paraId="0AE52F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restart"/>
            <w:vAlign w:val="center"/>
          </w:tcPr>
          <w:p w14:paraId="592D0068">
            <w:pPr>
              <w:jc w:val="center"/>
              <w:rPr>
                <w:rFonts w:hint="eastAsia" w:ascii="Times New Roman" w:hAnsi="Times New Roman"/>
                <w:color w:val="auto"/>
                <w:sz w:val="18"/>
                <w:szCs w:val="18"/>
              </w:rPr>
            </w:pPr>
            <w:r>
              <w:rPr>
                <w:rFonts w:hint="eastAsia" w:ascii="Times New Roman" w:hAnsi="Times New Roman"/>
                <w:color w:val="auto"/>
                <w:sz w:val="18"/>
                <w:szCs w:val="18"/>
              </w:rPr>
              <w:t>防</w:t>
            </w:r>
          </w:p>
          <w:p w14:paraId="27CC421C">
            <w:pPr>
              <w:jc w:val="center"/>
              <w:rPr>
                <w:rFonts w:hint="eastAsia" w:ascii="Times New Roman" w:hAnsi="Times New Roman"/>
                <w:color w:val="auto"/>
                <w:sz w:val="18"/>
                <w:szCs w:val="18"/>
              </w:rPr>
            </w:pPr>
            <w:r>
              <w:rPr>
                <w:rFonts w:hint="eastAsia" w:ascii="Times New Roman" w:hAnsi="Times New Roman"/>
                <w:color w:val="auto"/>
                <w:sz w:val="18"/>
                <w:szCs w:val="18"/>
              </w:rPr>
              <w:t>治</w:t>
            </w:r>
          </w:p>
          <w:p w14:paraId="4ED41230">
            <w:pPr>
              <w:jc w:val="center"/>
              <w:rPr>
                <w:rFonts w:hint="eastAsia" w:ascii="Times New Roman" w:hAnsi="Times New Roman"/>
                <w:color w:val="auto"/>
                <w:sz w:val="18"/>
                <w:szCs w:val="18"/>
              </w:rPr>
            </w:pPr>
            <w:r>
              <w:rPr>
                <w:rFonts w:hint="eastAsia" w:ascii="Times New Roman" w:hAnsi="Times New Roman"/>
                <w:color w:val="auto"/>
                <w:sz w:val="18"/>
                <w:szCs w:val="18"/>
              </w:rPr>
              <w:t>措</w:t>
            </w:r>
          </w:p>
          <w:p w14:paraId="0A86B019">
            <w:pPr>
              <w:jc w:val="center"/>
              <w:rPr>
                <w:rFonts w:hint="eastAsia" w:ascii="Times New Roman" w:hAnsi="Times New Roman"/>
                <w:color w:val="auto"/>
                <w:sz w:val="18"/>
                <w:szCs w:val="18"/>
              </w:rPr>
            </w:pPr>
            <w:r>
              <w:rPr>
                <w:rFonts w:hint="eastAsia" w:ascii="Times New Roman" w:hAnsi="Times New Roman"/>
                <w:color w:val="auto"/>
                <w:sz w:val="18"/>
                <w:szCs w:val="18"/>
              </w:rPr>
              <w:t>施</w:t>
            </w:r>
          </w:p>
        </w:tc>
        <w:tc>
          <w:tcPr>
            <w:tcW w:w="1524" w:type="dxa"/>
            <w:vAlign w:val="center"/>
          </w:tcPr>
          <w:p w14:paraId="276298ED">
            <w:pPr>
              <w:jc w:val="center"/>
              <w:rPr>
                <w:rFonts w:hint="eastAsia" w:ascii="Times New Roman" w:hAnsi="Times New Roman"/>
                <w:color w:val="auto"/>
                <w:sz w:val="18"/>
                <w:szCs w:val="18"/>
              </w:rPr>
            </w:pPr>
            <w:r>
              <w:rPr>
                <w:rFonts w:hint="eastAsia" w:ascii="Times New Roman" w:hAnsi="Times New Roman"/>
                <w:color w:val="auto"/>
                <w:sz w:val="18"/>
                <w:szCs w:val="18"/>
              </w:rPr>
              <w:t>环保措施</w:t>
            </w:r>
          </w:p>
        </w:tc>
        <w:tc>
          <w:tcPr>
            <w:tcW w:w="6775" w:type="dxa"/>
            <w:gridSpan w:val="12"/>
            <w:vAlign w:val="center"/>
          </w:tcPr>
          <w:p w14:paraId="7E281E78">
            <w:pPr>
              <w:jc w:val="center"/>
              <w:rPr>
                <w:rFonts w:hint="eastAsia" w:ascii="Times New Roman" w:hAnsi="Times New Roman"/>
                <w:color w:val="auto"/>
                <w:sz w:val="18"/>
                <w:szCs w:val="18"/>
              </w:rPr>
            </w:pPr>
            <w:r>
              <w:rPr>
                <w:rFonts w:hint="eastAsia" w:ascii="Times New Roman" w:hAnsi="Times New Roman"/>
                <w:color w:val="auto"/>
                <w:sz w:val="18"/>
                <w:szCs w:val="18"/>
              </w:rPr>
              <w:t xml:space="preserve">污水处理设施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 xml:space="preserve">；水文减缓设施 □；生态流量保障设施 □；区域削减 □；依托其他工程措施 □；其他 □ </w:t>
            </w:r>
          </w:p>
        </w:tc>
      </w:tr>
      <w:tr w14:paraId="573DF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4BC0005B">
            <w:pPr>
              <w:jc w:val="center"/>
              <w:rPr>
                <w:rFonts w:hint="eastAsia" w:ascii="Times New Roman" w:hAnsi="Times New Roman"/>
                <w:color w:val="auto"/>
                <w:sz w:val="18"/>
                <w:szCs w:val="18"/>
              </w:rPr>
            </w:pPr>
          </w:p>
        </w:tc>
        <w:tc>
          <w:tcPr>
            <w:tcW w:w="1524" w:type="dxa"/>
            <w:vMerge w:val="restart"/>
            <w:vAlign w:val="center"/>
          </w:tcPr>
          <w:p w14:paraId="29F9216B">
            <w:pPr>
              <w:jc w:val="center"/>
              <w:rPr>
                <w:rFonts w:hint="eastAsia" w:ascii="Times New Roman" w:hAnsi="Times New Roman"/>
                <w:color w:val="auto"/>
                <w:sz w:val="18"/>
                <w:szCs w:val="18"/>
              </w:rPr>
            </w:pPr>
            <w:r>
              <w:rPr>
                <w:rFonts w:hint="eastAsia" w:ascii="Times New Roman" w:hAnsi="Times New Roman"/>
                <w:color w:val="auto"/>
                <w:sz w:val="18"/>
                <w:szCs w:val="18"/>
              </w:rPr>
              <w:t>监测计划</w:t>
            </w:r>
          </w:p>
        </w:tc>
        <w:tc>
          <w:tcPr>
            <w:tcW w:w="1750" w:type="dxa"/>
            <w:gridSpan w:val="3"/>
            <w:vAlign w:val="center"/>
          </w:tcPr>
          <w:p w14:paraId="7030F476">
            <w:pPr>
              <w:jc w:val="left"/>
              <w:rPr>
                <w:rFonts w:hint="eastAsia" w:ascii="Times New Roman" w:hAnsi="Times New Roman"/>
                <w:color w:val="auto"/>
                <w:sz w:val="18"/>
                <w:szCs w:val="18"/>
              </w:rPr>
            </w:pPr>
          </w:p>
        </w:tc>
        <w:tc>
          <w:tcPr>
            <w:tcW w:w="2512" w:type="dxa"/>
            <w:gridSpan w:val="5"/>
            <w:vAlign w:val="center"/>
          </w:tcPr>
          <w:p w14:paraId="54EDA951">
            <w:pPr>
              <w:jc w:val="center"/>
              <w:rPr>
                <w:rFonts w:hint="eastAsia" w:ascii="Times New Roman" w:hAnsi="Times New Roman"/>
                <w:color w:val="auto"/>
                <w:sz w:val="18"/>
                <w:szCs w:val="18"/>
              </w:rPr>
            </w:pPr>
            <w:r>
              <w:rPr>
                <w:rFonts w:hint="eastAsia" w:ascii="Times New Roman" w:hAnsi="Times New Roman"/>
                <w:color w:val="auto"/>
                <w:sz w:val="18"/>
                <w:szCs w:val="18"/>
              </w:rPr>
              <w:t>环境质量</w:t>
            </w:r>
          </w:p>
        </w:tc>
        <w:tc>
          <w:tcPr>
            <w:tcW w:w="2513" w:type="dxa"/>
            <w:gridSpan w:val="4"/>
            <w:vAlign w:val="center"/>
          </w:tcPr>
          <w:p w14:paraId="62BE3AD6">
            <w:pPr>
              <w:jc w:val="center"/>
              <w:rPr>
                <w:rFonts w:hint="eastAsia" w:ascii="Times New Roman" w:hAnsi="Times New Roman"/>
                <w:color w:val="auto"/>
                <w:sz w:val="18"/>
                <w:szCs w:val="18"/>
              </w:rPr>
            </w:pPr>
            <w:r>
              <w:rPr>
                <w:rFonts w:hint="eastAsia" w:ascii="Times New Roman" w:hAnsi="Times New Roman"/>
                <w:color w:val="auto"/>
                <w:sz w:val="18"/>
                <w:szCs w:val="18"/>
              </w:rPr>
              <w:t>污染源</w:t>
            </w:r>
          </w:p>
        </w:tc>
      </w:tr>
      <w:tr w14:paraId="59870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3FFE917B">
            <w:pPr>
              <w:jc w:val="center"/>
              <w:rPr>
                <w:rFonts w:hint="eastAsia" w:ascii="Times New Roman" w:hAnsi="Times New Roman"/>
                <w:color w:val="auto"/>
                <w:sz w:val="18"/>
                <w:szCs w:val="18"/>
              </w:rPr>
            </w:pPr>
          </w:p>
        </w:tc>
        <w:tc>
          <w:tcPr>
            <w:tcW w:w="1524" w:type="dxa"/>
            <w:vMerge w:val="continue"/>
            <w:vAlign w:val="center"/>
          </w:tcPr>
          <w:p w14:paraId="74555CB7">
            <w:pPr>
              <w:jc w:val="center"/>
              <w:rPr>
                <w:rFonts w:hint="eastAsia" w:ascii="Times New Roman" w:hAnsi="Times New Roman"/>
                <w:color w:val="auto"/>
                <w:sz w:val="18"/>
                <w:szCs w:val="18"/>
              </w:rPr>
            </w:pPr>
          </w:p>
        </w:tc>
        <w:tc>
          <w:tcPr>
            <w:tcW w:w="1750" w:type="dxa"/>
            <w:gridSpan w:val="3"/>
            <w:vAlign w:val="center"/>
          </w:tcPr>
          <w:p w14:paraId="20C21E7A">
            <w:pPr>
              <w:jc w:val="center"/>
              <w:rPr>
                <w:rFonts w:hint="eastAsia" w:ascii="Times New Roman" w:hAnsi="Times New Roman"/>
                <w:color w:val="auto"/>
                <w:sz w:val="18"/>
                <w:szCs w:val="18"/>
              </w:rPr>
            </w:pPr>
            <w:r>
              <w:rPr>
                <w:rFonts w:hint="eastAsia" w:ascii="Times New Roman" w:hAnsi="Times New Roman"/>
                <w:color w:val="auto"/>
                <w:sz w:val="18"/>
                <w:szCs w:val="18"/>
              </w:rPr>
              <w:t>监测方式</w:t>
            </w:r>
          </w:p>
        </w:tc>
        <w:tc>
          <w:tcPr>
            <w:tcW w:w="2512" w:type="dxa"/>
            <w:gridSpan w:val="5"/>
            <w:vAlign w:val="center"/>
          </w:tcPr>
          <w:p w14:paraId="1DC4D19D">
            <w:pPr>
              <w:jc w:val="center"/>
              <w:rPr>
                <w:rFonts w:hint="eastAsia" w:ascii="Times New Roman" w:hAnsi="Times New Roman"/>
                <w:color w:val="auto"/>
                <w:sz w:val="18"/>
                <w:szCs w:val="18"/>
              </w:rPr>
            </w:pPr>
            <w:r>
              <w:rPr>
                <w:rFonts w:hint="eastAsia" w:ascii="Times New Roman" w:hAnsi="Times New Roman"/>
                <w:color w:val="auto"/>
                <w:sz w:val="18"/>
                <w:szCs w:val="18"/>
              </w:rPr>
              <w:t xml:space="preserve">手动 </w:t>
            </w:r>
            <w:r>
              <w:rPr>
                <w:rFonts w:hint="eastAsia" w:ascii="Times New Roman" w:hAnsi="Times New Roman"/>
                <w:color w:val="auto"/>
                <w:sz w:val="18"/>
                <w:szCs w:val="18"/>
              </w:rPr>
              <w:sym w:font="Wingdings 2" w:char="00A3"/>
            </w:r>
            <w:r>
              <w:rPr>
                <w:rFonts w:hint="eastAsia" w:ascii="Times New Roman" w:hAnsi="Times New Roman"/>
                <w:color w:val="auto"/>
                <w:sz w:val="18"/>
                <w:szCs w:val="18"/>
              </w:rPr>
              <w:t xml:space="preserve">；自动 </w:t>
            </w:r>
            <w:r>
              <w:rPr>
                <w:rFonts w:hint="eastAsia" w:ascii="Times New Roman" w:hAnsi="Times New Roman"/>
                <w:color w:val="auto"/>
                <w:sz w:val="18"/>
                <w:szCs w:val="18"/>
              </w:rPr>
              <w:sym w:font="Wingdings 2" w:char="00A3"/>
            </w:r>
            <w:r>
              <w:rPr>
                <w:rFonts w:hint="eastAsia" w:ascii="Times New Roman" w:hAnsi="Times New Roman"/>
                <w:color w:val="auto"/>
                <w:sz w:val="18"/>
                <w:szCs w:val="18"/>
              </w:rPr>
              <w:t xml:space="preserve">；无监测 </w:t>
            </w:r>
            <w:r>
              <w:rPr>
                <w:rFonts w:hint="eastAsia" w:ascii="Times New Roman" w:hAnsi="Times New Roman"/>
                <w:color w:val="auto"/>
                <w:sz w:val="18"/>
                <w:szCs w:val="18"/>
              </w:rPr>
              <w:sym w:font="Wingdings 2" w:char="0052"/>
            </w:r>
          </w:p>
        </w:tc>
        <w:tc>
          <w:tcPr>
            <w:tcW w:w="2513" w:type="dxa"/>
            <w:gridSpan w:val="4"/>
            <w:vAlign w:val="center"/>
          </w:tcPr>
          <w:p w14:paraId="3BD8DBB9">
            <w:pPr>
              <w:jc w:val="center"/>
              <w:rPr>
                <w:rFonts w:hint="eastAsia" w:ascii="Times New Roman" w:hAnsi="Times New Roman"/>
                <w:color w:val="auto"/>
                <w:sz w:val="18"/>
                <w:szCs w:val="18"/>
              </w:rPr>
            </w:pPr>
            <w:r>
              <w:rPr>
                <w:rFonts w:hint="eastAsia" w:ascii="Times New Roman" w:hAnsi="Times New Roman"/>
                <w:color w:val="auto"/>
                <w:sz w:val="18"/>
                <w:szCs w:val="18"/>
              </w:rPr>
              <w:t xml:space="preserve">手动 </w:t>
            </w:r>
            <w:r>
              <w:rPr>
                <w:rFonts w:hint="eastAsia" w:ascii="Times New Roman" w:hAnsi="Times New Roman"/>
                <w:color w:val="auto"/>
                <w:sz w:val="18"/>
                <w:szCs w:val="18"/>
              </w:rPr>
              <w:sym w:font="Wingdings 2" w:char="00A3"/>
            </w:r>
            <w:r>
              <w:rPr>
                <w:rFonts w:hint="eastAsia" w:ascii="Times New Roman" w:hAnsi="Times New Roman"/>
                <w:color w:val="auto"/>
                <w:sz w:val="18"/>
                <w:szCs w:val="18"/>
              </w:rPr>
              <w:t xml:space="preserve">；自动 </w:t>
            </w:r>
            <w:r>
              <w:rPr>
                <w:rFonts w:hint="eastAsia" w:ascii="Times New Roman" w:hAnsi="Times New Roman"/>
                <w:color w:val="auto"/>
                <w:sz w:val="18"/>
                <w:szCs w:val="18"/>
              </w:rPr>
              <w:sym w:font="Wingdings 2" w:char="0052"/>
            </w:r>
            <w:r>
              <w:rPr>
                <w:rFonts w:hint="eastAsia" w:ascii="Times New Roman" w:hAnsi="Times New Roman"/>
                <w:color w:val="auto"/>
                <w:sz w:val="18"/>
                <w:szCs w:val="18"/>
              </w:rPr>
              <w:t>；无监测 □</w:t>
            </w:r>
          </w:p>
        </w:tc>
      </w:tr>
      <w:tr w14:paraId="01E3B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945" w:type="dxa"/>
            <w:vMerge w:val="continue"/>
            <w:vAlign w:val="center"/>
          </w:tcPr>
          <w:p w14:paraId="14BE50A6">
            <w:pPr>
              <w:jc w:val="center"/>
              <w:rPr>
                <w:rFonts w:hint="eastAsia" w:ascii="Times New Roman" w:hAnsi="Times New Roman"/>
                <w:color w:val="auto"/>
                <w:sz w:val="18"/>
                <w:szCs w:val="18"/>
              </w:rPr>
            </w:pPr>
          </w:p>
        </w:tc>
        <w:tc>
          <w:tcPr>
            <w:tcW w:w="1524" w:type="dxa"/>
            <w:vMerge w:val="continue"/>
            <w:vAlign w:val="center"/>
          </w:tcPr>
          <w:p w14:paraId="6261380B">
            <w:pPr>
              <w:jc w:val="center"/>
              <w:rPr>
                <w:rFonts w:hint="eastAsia" w:ascii="Times New Roman" w:hAnsi="Times New Roman"/>
                <w:color w:val="auto"/>
                <w:sz w:val="18"/>
                <w:szCs w:val="18"/>
              </w:rPr>
            </w:pPr>
          </w:p>
        </w:tc>
        <w:tc>
          <w:tcPr>
            <w:tcW w:w="1750" w:type="dxa"/>
            <w:gridSpan w:val="3"/>
            <w:vAlign w:val="center"/>
          </w:tcPr>
          <w:p w14:paraId="57EE9B01">
            <w:pPr>
              <w:jc w:val="center"/>
              <w:rPr>
                <w:rFonts w:hint="eastAsia" w:ascii="Times New Roman" w:hAnsi="Times New Roman"/>
                <w:color w:val="auto"/>
                <w:sz w:val="18"/>
                <w:szCs w:val="18"/>
              </w:rPr>
            </w:pPr>
            <w:r>
              <w:rPr>
                <w:rFonts w:hint="eastAsia" w:ascii="Times New Roman" w:hAnsi="Times New Roman"/>
                <w:color w:val="auto"/>
                <w:sz w:val="18"/>
                <w:szCs w:val="18"/>
              </w:rPr>
              <w:t>监测点位</w:t>
            </w:r>
          </w:p>
        </w:tc>
        <w:tc>
          <w:tcPr>
            <w:tcW w:w="2512" w:type="dxa"/>
            <w:gridSpan w:val="5"/>
            <w:vAlign w:val="center"/>
          </w:tcPr>
          <w:p w14:paraId="16038D6D">
            <w:pPr>
              <w:jc w:val="center"/>
              <w:rPr>
                <w:rFonts w:hint="eastAsia" w:ascii="Times New Roman" w:hAnsi="Times New Roman"/>
                <w:color w:val="auto"/>
                <w:sz w:val="18"/>
                <w:szCs w:val="18"/>
              </w:rPr>
            </w:pPr>
            <w:r>
              <w:rPr>
                <w:rFonts w:hint="eastAsia" w:ascii="Times New Roman" w:hAnsi="Times New Roman"/>
                <w:color w:val="auto"/>
                <w:sz w:val="18"/>
                <w:szCs w:val="18"/>
              </w:rPr>
              <w:t>（/）</w:t>
            </w:r>
          </w:p>
        </w:tc>
        <w:tc>
          <w:tcPr>
            <w:tcW w:w="2513" w:type="dxa"/>
            <w:gridSpan w:val="4"/>
            <w:vAlign w:val="center"/>
          </w:tcPr>
          <w:p w14:paraId="09D91DD9">
            <w:pPr>
              <w:jc w:val="center"/>
              <w:rPr>
                <w:rFonts w:hint="default" w:ascii="Times New Roman" w:hAnsi="Times New Roman" w:eastAsia="宋体"/>
                <w:color w:val="auto"/>
                <w:sz w:val="18"/>
                <w:szCs w:val="18"/>
                <w:lang w:val="en-US" w:eastAsia="zh-CN"/>
              </w:rPr>
            </w:pPr>
            <w:r>
              <w:rPr>
                <w:rFonts w:hint="eastAsia" w:ascii="Times New Roman" w:hAnsi="Times New Roman" w:eastAsia="宋体"/>
                <w:color w:val="auto"/>
                <w:sz w:val="18"/>
                <w:szCs w:val="18"/>
                <w:lang w:val="en-US" w:eastAsia="zh-CN"/>
              </w:rPr>
              <w:t>厂区总排口</w:t>
            </w:r>
          </w:p>
        </w:tc>
      </w:tr>
      <w:tr w14:paraId="1FE6C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415860F4">
            <w:pPr>
              <w:jc w:val="center"/>
              <w:rPr>
                <w:rFonts w:hint="eastAsia" w:ascii="Times New Roman" w:hAnsi="Times New Roman"/>
                <w:color w:val="auto"/>
                <w:sz w:val="18"/>
                <w:szCs w:val="18"/>
              </w:rPr>
            </w:pPr>
          </w:p>
        </w:tc>
        <w:tc>
          <w:tcPr>
            <w:tcW w:w="1524" w:type="dxa"/>
            <w:vMerge w:val="continue"/>
            <w:vAlign w:val="center"/>
          </w:tcPr>
          <w:p w14:paraId="58F92DD0">
            <w:pPr>
              <w:jc w:val="center"/>
              <w:rPr>
                <w:rFonts w:hint="eastAsia" w:ascii="Times New Roman" w:hAnsi="Times New Roman"/>
                <w:color w:val="auto"/>
                <w:sz w:val="18"/>
                <w:szCs w:val="18"/>
              </w:rPr>
            </w:pPr>
          </w:p>
        </w:tc>
        <w:tc>
          <w:tcPr>
            <w:tcW w:w="1750" w:type="dxa"/>
            <w:gridSpan w:val="3"/>
            <w:vAlign w:val="center"/>
          </w:tcPr>
          <w:p w14:paraId="055A7980">
            <w:pPr>
              <w:jc w:val="center"/>
              <w:rPr>
                <w:rFonts w:hint="eastAsia" w:ascii="Times New Roman" w:hAnsi="Times New Roman"/>
                <w:color w:val="auto"/>
                <w:sz w:val="18"/>
                <w:szCs w:val="18"/>
              </w:rPr>
            </w:pPr>
            <w:r>
              <w:rPr>
                <w:rFonts w:hint="eastAsia" w:ascii="Times New Roman" w:hAnsi="Times New Roman"/>
                <w:color w:val="auto"/>
                <w:sz w:val="18"/>
                <w:szCs w:val="18"/>
              </w:rPr>
              <w:t>监测因子</w:t>
            </w:r>
          </w:p>
        </w:tc>
        <w:tc>
          <w:tcPr>
            <w:tcW w:w="2512" w:type="dxa"/>
            <w:gridSpan w:val="5"/>
            <w:vAlign w:val="center"/>
          </w:tcPr>
          <w:p w14:paraId="11FDB35D">
            <w:pPr>
              <w:jc w:val="center"/>
              <w:rPr>
                <w:rFonts w:hint="eastAsia" w:ascii="Times New Roman" w:hAnsi="Times New Roman"/>
                <w:color w:val="auto"/>
                <w:sz w:val="18"/>
                <w:szCs w:val="18"/>
              </w:rPr>
            </w:pPr>
            <w:r>
              <w:rPr>
                <w:rFonts w:hint="eastAsia" w:ascii="Times New Roman" w:hAnsi="Times New Roman"/>
                <w:color w:val="auto"/>
                <w:sz w:val="18"/>
                <w:szCs w:val="18"/>
              </w:rPr>
              <w:t>（/）</w:t>
            </w:r>
          </w:p>
        </w:tc>
        <w:tc>
          <w:tcPr>
            <w:tcW w:w="2513" w:type="dxa"/>
            <w:gridSpan w:val="4"/>
            <w:vAlign w:val="center"/>
          </w:tcPr>
          <w:p w14:paraId="745D75E2">
            <w:pPr>
              <w:jc w:val="center"/>
              <w:rPr>
                <w:rFonts w:hint="eastAsia" w:ascii="Times New Roman" w:hAnsi="Times New Roman"/>
                <w:color w:val="auto"/>
                <w:sz w:val="18"/>
                <w:szCs w:val="18"/>
              </w:rPr>
            </w:pPr>
            <w:r>
              <w:rPr>
                <w:rFonts w:hint="default" w:ascii="Times New Roman" w:hAnsi="Times New Roman" w:eastAsia="宋体" w:cs="Times New Roman"/>
                <w:color w:val="auto"/>
                <w:sz w:val="18"/>
                <w:szCs w:val="18"/>
                <w:u w:val="none"/>
              </w:rPr>
              <w:t>流量、pH、COD、SS、NH</w:t>
            </w:r>
            <w:r>
              <w:rPr>
                <w:rFonts w:hint="default" w:ascii="Times New Roman" w:hAnsi="Times New Roman" w:eastAsia="宋体" w:cs="Times New Roman"/>
                <w:color w:val="auto"/>
                <w:sz w:val="18"/>
                <w:szCs w:val="18"/>
                <w:u w:val="none"/>
                <w:vertAlign w:val="subscript"/>
              </w:rPr>
              <w:t>3</w:t>
            </w:r>
            <w:r>
              <w:rPr>
                <w:rFonts w:hint="default" w:ascii="Times New Roman" w:hAnsi="Times New Roman" w:eastAsia="宋体" w:cs="Times New Roman"/>
                <w:color w:val="auto"/>
                <w:sz w:val="18"/>
                <w:szCs w:val="18"/>
                <w:u w:val="none"/>
              </w:rPr>
              <w:t>-N、BOD</w:t>
            </w:r>
            <w:r>
              <w:rPr>
                <w:rFonts w:hint="default" w:ascii="Times New Roman" w:hAnsi="Times New Roman" w:eastAsia="宋体" w:cs="Times New Roman"/>
                <w:color w:val="auto"/>
                <w:sz w:val="18"/>
                <w:szCs w:val="18"/>
                <w:u w:val="none"/>
                <w:vertAlign w:val="subscript"/>
              </w:rPr>
              <w:t>5</w:t>
            </w:r>
            <w:r>
              <w:rPr>
                <w:rFonts w:hint="default" w:ascii="Times New Roman" w:hAnsi="Times New Roman" w:eastAsia="宋体" w:cs="Times New Roman"/>
                <w:color w:val="auto"/>
                <w:sz w:val="18"/>
                <w:szCs w:val="18"/>
                <w:u w:val="none"/>
              </w:rPr>
              <w:t>、</w:t>
            </w:r>
            <w:r>
              <w:rPr>
                <w:rFonts w:hint="eastAsia" w:ascii="Times New Roman" w:hAnsi="Times New Roman" w:eastAsia="宋体" w:cs="Times New Roman"/>
                <w:color w:val="auto"/>
                <w:sz w:val="18"/>
                <w:szCs w:val="18"/>
                <w:u w:val="none"/>
                <w:lang w:eastAsia="zh-CN"/>
              </w:rPr>
              <w:t>色度、苯胺类、石油类、</w:t>
            </w:r>
            <w:r>
              <w:rPr>
                <w:rFonts w:hint="default" w:ascii="Times New Roman" w:hAnsi="Times New Roman" w:eastAsia="宋体" w:cs="Times New Roman"/>
                <w:color w:val="auto"/>
                <w:sz w:val="18"/>
                <w:szCs w:val="18"/>
                <w:u w:val="none"/>
              </w:rPr>
              <w:t>动植物油</w:t>
            </w:r>
          </w:p>
        </w:tc>
      </w:tr>
      <w:tr w14:paraId="090AF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vMerge w:val="continue"/>
            <w:vAlign w:val="center"/>
          </w:tcPr>
          <w:p w14:paraId="75166D93">
            <w:pPr>
              <w:jc w:val="center"/>
              <w:rPr>
                <w:rFonts w:hint="eastAsia" w:ascii="Times New Roman" w:hAnsi="Times New Roman"/>
                <w:color w:val="auto"/>
                <w:sz w:val="18"/>
                <w:szCs w:val="18"/>
              </w:rPr>
            </w:pPr>
          </w:p>
        </w:tc>
        <w:tc>
          <w:tcPr>
            <w:tcW w:w="1524" w:type="dxa"/>
            <w:vAlign w:val="center"/>
          </w:tcPr>
          <w:p w14:paraId="7002C816">
            <w:pPr>
              <w:jc w:val="center"/>
              <w:rPr>
                <w:rFonts w:hint="eastAsia" w:ascii="Times New Roman" w:hAnsi="Times New Roman"/>
                <w:color w:val="auto"/>
                <w:sz w:val="18"/>
                <w:szCs w:val="18"/>
              </w:rPr>
            </w:pPr>
            <w:r>
              <w:rPr>
                <w:rFonts w:hint="eastAsia" w:ascii="Times New Roman" w:hAnsi="Times New Roman"/>
                <w:color w:val="auto"/>
                <w:sz w:val="18"/>
                <w:szCs w:val="18"/>
              </w:rPr>
              <w:t>污染物排放清单</w:t>
            </w:r>
          </w:p>
        </w:tc>
        <w:tc>
          <w:tcPr>
            <w:tcW w:w="6775" w:type="dxa"/>
            <w:gridSpan w:val="12"/>
            <w:vAlign w:val="center"/>
          </w:tcPr>
          <w:p w14:paraId="56AEC27F">
            <w:pPr>
              <w:jc w:val="left"/>
              <w:rPr>
                <w:rFonts w:hint="eastAsia" w:ascii="Times New Roman" w:hAnsi="Times New Roman"/>
                <w:color w:val="auto"/>
                <w:sz w:val="18"/>
                <w:szCs w:val="18"/>
              </w:rPr>
            </w:pPr>
            <w:r>
              <w:rPr>
                <w:rFonts w:ascii="Times New Roman" w:hAnsi="Times New Roman"/>
                <w:color w:val="auto"/>
                <w:sz w:val="18"/>
                <w:szCs w:val="18"/>
              </w:rPr>
              <w:sym w:font="Wingdings 2" w:char="0052"/>
            </w:r>
          </w:p>
        </w:tc>
      </w:tr>
      <w:tr w14:paraId="7E6BE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69" w:type="dxa"/>
            <w:gridSpan w:val="2"/>
            <w:vAlign w:val="center"/>
          </w:tcPr>
          <w:p w14:paraId="0D2613CA">
            <w:pPr>
              <w:jc w:val="center"/>
              <w:rPr>
                <w:rFonts w:hint="eastAsia" w:ascii="Times New Roman" w:hAnsi="Times New Roman"/>
                <w:color w:val="auto"/>
                <w:sz w:val="18"/>
                <w:szCs w:val="18"/>
              </w:rPr>
            </w:pPr>
            <w:r>
              <w:rPr>
                <w:rFonts w:hint="eastAsia" w:ascii="Times New Roman" w:hAnsi="Times New Roman"/>
                <w:color w:val="auto"/>
                <w:sz w:val="18"/>
                <w:szCs w:val="18"/>
              </w:rPr>
              <w:t>评价结论</w:t>
            </w:r>
          </w:p>
        </w:tc>
        <w:tc>
          <w:tcPr>
            <w:tcW w:w="6775" w:type="dxa"/>
            <w:gridSpan w:val="12"/>
            <w:vAlign w:val="center"/>
          </w:tcPr>
          <w:p w14:paraId="0E71E358">
            <w:pPr>
              <w:jc w:val="center"/>
              <w:rPr>
                <w:rFonts w:hint="eastAsia" w:ascii="Times New Roman" w:hAnsi="Times New Roman"/>
                <w:color w:val="auto"/>
                <w:sz w:val="18"/>
                <w:szCs w:val="18"/>
              </w:rPr>
            </w:pPr>
            <w:r>
              <w:rPr>
                <w:rFonts w:hint="eastAsia" w:ascii="Times New Roman" w:hAnsi="Times New Roman"/>
                <w:color w:val="auto"/>
                <w:sz w:val="18"/>
                <w:szCs w:val="18"/>
              </w:rPr>
              <w:t xml:space="preserve">可以接受 </w:t>
            </w:r>
            <w:r>
              <w:rPr>
                <w:rFonts w:ascii="Times New Roman" w:hAnsi="Times New Roman"/>
                <w:color w:val="auto"/>
                <w:sz w:val="18"/>
                <w:szCs w:val="18"/>
              </w:rPr>
              <w:sym w:font="Wingdings 2" w:char="0052"/>
            </w:r>
            <w:r>
              <w:rPr>
                <w:rFonts w:hint="eastAsia" w:ascii="Times New Roman" w:hAnsi="Times New Roman"/>
                <w:color w:val="auto"/>
                <w:sz w:val="18"/>
                <w:szCs w:val="18"/>
              </w:rPr>
              <w:t>；不可以接受 □</w:t>
            </w:r>
          </w:p>
        </w:tc>
      </w:tr>
      <w:tr w14:paraId="148C0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44" w:type="dxa"/>
            <w:gridSpan w:val="14"/>
            <w:vAlign w:val="center"/>
          </w:tcPr>
          <w:p w14:paraId="7527A5AB">
            <w:pPr>
              <w:rPr>
                <w:rFonts w:hint="eastAsia" w:ascii="Times New Roman" w:hAnsi="Times New Roman"/>
                <w:color w:val="auto"/>
                <w:sz w:val="18"/>
                <w:szCs w:val="18"/>
              </w:rPr>
            </w:pPr>
            <w:r>
              <w:rPr>
                <w:rFonts w:hint="eastAsia" w:ascii="Times New Roman" w:hAnsi="Times New Roman"/>
                <w:color w:val="auto"/>
                <w:sz w:val="18"/>
                <w:szCs w:val="18"/>
              </w:rPr>
              <w:t xml:space="preserve">注：“□”为勾选项，可√；“（ ）”为内容填写项；“备注”为其他补充内容。 </w:t>
            </w:r>
          </w:p>
        </w:tc>
      </w:tr>
    </w:tbl>
    <w:p w14:paraId="4C3A2C07">
      <w:pPr>
        <w:pStyle w:val="40"/>
        <w:rPr>
          <w:rFonts w:hint="eastAsia"/>
        </w:rPr>
        <w:sectPr>
          <w:pgSz w:w="11906" w:h="16838"/>
          <w:pgMar w:top="1440" w:right="1417" w:bottom="1440" w:left="1417" w:header="851" w:footer="850" w:gutter="0"/>
          <w:pgBorders>
            <w:top w:val="none" w:sz="0" w:space="0"/>
            <w:left w:val="none" w:sz="0" w:space="0"/>
            <w:bottom w:val="none" w:sz="0" w:space="0"/>
            <w:right w:val="none" w:sz="0" w:space="0"/>
          </w:pgBorders>
          <w:pgNumType w:fmt="decimal"/>
          <w:cols w:space="0" w:num="1"/>
          <w:rtlGutter w:val="0"/>
          <w:docGrid w:type="lines" w:linePitch="312" w:charSpace="0"/>
        </w:sectPr>
      </w:pPr>
    </w:p>
    <w:p w14:paraId="7A53C754">
      <w:pPr>
        <w:jc w:val="center"/>
        <w:rPr>
          <w:rFonts w:hint="eastAsia" w:eastAsia="宋体"/>
          <w:lang w:eastAsia="zh-CN"/>
        </w:rPr>
        <w:sectPr>
          <w:pgSz w:w="11906" w:h="16838"/>
          <w:pgMar w:top="720" w:right="720" w:bottom="720" w:left="720" w:header="851" w:footer="992" w:gutter="0"/>
          <w:cols w:space="425" w:num="1"/>
          <w:docGrid w:type="lines" w:linePitch="312" w:charSpace="0"/>
        </w:sectPr>
      </w:pPr>
      <w:r>
        <w:rPr>
          <w:rFonts w:hint="eastAsia" w:eastAsia="宋体"/>
          <w:lang w:eastAsia="zh-CN"/>
        </w:rPr>
        <w:drawing>
          <wp:inline distT="0" distB="0" distL="114300" distR="114300">
            <wp:extent cx="5893435" cy="8694420"/>
            <wp:effectExtent l="0" t="0" r="12065" b="11430"/>
            <wp:docPr id="16" name="图片 16" descr="a7cdf5bb0efae6b86448ef915ac79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a7cdf5bb0efae6b86448ef915ac796f"/>
                    <pic:cNvPicPr>
                      <a:picLocks noChangeAspect="1"/>
                    </pic:cNvPicPr>
                  </pic:nvPicPr>
                  <pic:blipFill>
                    <a:blip r:embed="rId36">
                      <a:lum bright="6000"/>
                    </a:blip>
                    <a:srcRect t="11098" b="5911"/>
                    <a:stretch>
                      <a:fillRect/>
                    </a:stretch>
                  </pic:blipFill>
                  <pic:spPr>
                    <a:xfrm>
                      <a:off x="0" y="0"/>
                      <a:ext cx="5893435" cy="8694420"/>
                    </a:xfrm>
                    <a:prstGeom prst="rect">
                      <a:avLst/>
                    </a:prstGeom>
                  </pic:spPr>
                </pic:pic>
              </a:graphicData>
            </a:graphic>
          </wp:inline>
        </w:drawing>
      </w:r>
    </w:p>
    <w:p w14:paraId="342B0575">
      <w:pPr>
        <w:jc w:val="center"/>
        <w:rPr>
          <w:rFonts w:hint="eastAsia" w:eastAsiaTheme="minorEastAsia"/>
          <w:lang w:eastAsia="zh-CN"/>
        </w:rPr>
      </w:pPr>
      <w:r>
        <w:rPr>
          <w:rFonts w:hint="eastAsia" w:eastAsiaTheme="minorEastAsia"/>
          <w:lang w:eastAsia="zh-CN"/>
        </w:rPr>
        <w:t>附件</w:t>
      </w:r>
      <w:r>
        <w:rPr>
          <w:rFonts w:hint="eastAsia" w:eastAsiaTheme="minorEastAsia"/>
          <w:lang w:val="en-US" w:eastAsia="zh-CN"/>
        </w:rPr>
        <w:t>2 用地审查意见</w:t>
      </w:r>
      <w:r>
        <w:rPr>
          <w:rFonts w:hint="eastAsia"/>
          <w:lang w:eastAsia="zh-CN"/>
        </w:rPr>
        <w:drawing>
          <wp:inline distT="0" distB="0" distL="114300" distR="114300">
            <wp:extent cx="6024880" cy="8522335"/>
            <wp:effectExtent l="0" t="0" r="13970" b="12065"/>
            <wp:docPr id="17" name="图片 17" descr="用地审查意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用地审查意见-1"/>
                    <pic:cNvPicPr>
                      <a:picLocks noChangeAspect="1"/>
                    </pic:cNvPicPr>
                  </pic:nvPicPr>
                  <pic:blipFill>
                    <a:blip r:embed="rId37"/>
                    <a:stretch>
                      <a:fillRect/>
                    </a:stretch>
                  </pic:blipFill>
                  <pic:spPr>
                    <a:xfrm>
                      <a:off x="0" y="0"/>
                      <a:ext cx="6024880" cy="8522335"/>
                    </a:xfrm>
                    <a:prstGeom prst="rect">
                      <a:avLst/>
                    </a:prstGeom>
                  </pic:spPr>
                </pic:pic>
              </a:graphicData>
            </a:graphic>
          </wp:inline>
        </w:drawing>
      </w:r>
      <w:r>
        <w:rPr>
          <w:rFonts w:hint="eastAsia"/>
          <w:lang w:eastAsia="zh-CN"/>
        </w:rPr>
        <w:drawing>
          <wp:inline distT="0" distB="0" distL="114300" distR="114300">
            <wp:extent cx="6644640" cy="9398635"/>
            <wp:effectExtent l="0" t="0" r="3810" b="12065"/>
            <wp:docPr id="18" name="图片 18" descr="用地审查意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用地审查意见-2"/>
                    <pic:cNvPicPr>
                      <a:picLocks noChangeAspect="1"/>
                    </pic:cNvPicPr>
                  </pic:nvPicPr>
                  <pic:blipFill>
                    <a:blip r:embed="rId38"/>
                    <a:stretch>
                      <a:fillRect/>
                    </a:stretch>
                  </pic:blipFill>
                  <pic:spPr>
                    <a:xfrm>
                      <a:off x="0" y="0"/>
                      <a:ext cx="6644640" cy="9398635"/>
                    </a:xfrm>
                    <a:prstGeom prst="rect">
                      <a:avLst/>
                    </a:prstGeom>
                  </pic:spPr>
                </pic:pic>
              </a:graphicData>
            </a:graphic>
          </wp:inline>
        </w:drawing>
      </w:r>
    </w:p>
    <w:p w14:paraId="6225EAC4">
      <w:pPr>
        <w:rPr>
          <w:rFonts w:hint="eastAsia" w:eastAsiaTheme="minorEastAsia"/>
          <w:lang w:eastAsia="zh-CN"/>
        </w:rPr>
      </w:pPr>
    </w:p>
    <w:p w14:paraId="167D05B7">
      <w:pPr>
        <w:jc w:val="center"/>
        <w:rPr>
          <w:rFonts w:hint="eastAsia"/>
          <w:lang w:val="en-US" w:eastAsia="zh-CN"/>
        </w:rPr>
      </w:pPr>
      <w:r>
        <w:rPr>
          <w:rFonts w:hint="eastAsia"/>
          <w:lang w:eastAsia="zh-CN"/>
        </w:rPr>
        <w:t>附件</w:t>
      </w:r>
      <w:r>
        <w:rPr>
          <w:rFonts w:hint="eastAsia"/>
          <w:lang w:val="en-US" w:eastAsia="zh-CN"/>
        </w:rPr>
        <w:t>3 立项批复</w:t>
      </w:r>
    </w:p>
    <w:p w14:paraId="23B70D2F">
      <w:pPr>
        <w:jc w:val="center"/>
        <w:rPr>
          <w:rFonts w:hint="eastAsia" w:eastAsia="宋体"/>
          <w:lang w:eastAsia="zh-CN"/>
        </w:rPr>
      </w:pPr>
      <w:r>
        <w:rPr>
          <w:rFonts w:hint="eastAsia" w:eastAsia="宋体"/>
          <w:lang w:eastAsia="zh-CN"/>
        </w:rPr>
        <w:drawing>
          <wp:inline distT="0" distB="0" distL="114300" distR="114300">
            <wp:extent cx="5836285" cy="7782560"/>
            <wp:effectExtent l="0" t="0" r="12065" b="8890"/>
            <wp:docPr id="19" name="图片 19" descr="发改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发改1"/>
                    <pic:cNvPicPr>
                      <a:picLocks noChangeAspect="1"/>
                    </pic:cNvPicPr>
                  </pic:nvPicPr>
                  <pic:blipFill>
                    <a:blip r:embed="rId39">
                      <a:lum bright="12000"/>
                    </a:blip>
                    <a:stretch>
                      <a:fillRect/>
                    </a:stretch>
                  </pic:blipFill>
                  <pic:spPr>
                    <a:xfrm>
                      <a:off x="0" y="0"/>
                      <a:ext cx="5836285" cy="7782560"/>
                    </a:xfrm>
                    <a:prstGeom prst="rect">
                      <a:avLst/>
                    </a:prstGeom>
                  </pic:spPr>
                </pic:pic>
              </a:graphicData>
            </a:graphic>
          </wp:inline>
        </w:drawing>
      </w:r>
      <w:r>
        <w:rPr>
          <w:rFonts w:hint="eastAsia" w:eastAsia="宋体"/>
          <w:lang w:eastAsia="zh-CN"/>
        </w:rPr>
        <w:drawing>
          <wp:inline distT="0" distB="0" distL="114300" distR="114300">
            <wp:extent cx="5922645" cy="7897495"/>
            <wp:effectExtent l="0" t="0" r="1905" b="8255"/>
            <wp:docPr id="20" name="图片 20" descr="发改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发改2"/>
                    <pic:cNvPicPr>
                      <a:picLocks noChangeAspect="1"/>
                    </pic:cNvPicPr>
                  </pic:nvPicPr>
                  <pic:blipFill>
                    <a:blip r:embed="rId40">
                      <a:lum bright="6000" contrast="6000"/>
                    </a:blip>
                    <a:stretch>
                      <a:fillRect/>
                    </a:stretch>
                  </pic:blipFill>
                  <pic:spPr>
                    <a:xfrm>
                      <a:off x="0" y="0"/>
                      <a:ext cx="5922645" cy="7897495"/>
                    </a:xfrm>
                    <a:prstGeom prst="rect">
                      <a:avLst/>
                    </a:prstGeom>
                  </pic:spPr>
                </pic:pic>
              </a:graphicData>
            </a:graphic>
          </wp:inline>
        </w:drawing>
      </w:r>
      <w:r>
        <w:rPr>
          <w:rFonts w:hint="eastAsia" w:eastAsia="宋体"/>
          <w:lang w:eastAsia="zh-CN"/>
        </w:rPr>
        <w:drawing>
          <wp:inline distT="0" distB="0" distL="114300" distR="114300">
            <wp:extent cx="5901055" cy="7868920"/>
            <wp:effectExtent l="0" t="0" r="4445" b="17780"/>
            <wp:docPr id="4" name="图片 4" descr="发改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发改3"/>
                    <pic:cNvPicPr>
                      <a:picLocks noChangeAspect="1"/>
                    </pic:cNvPicPr>
                  </pic:nvPicPr>
                  <pic:blipFill>
                    <a:blip r:embed="rId41">
                      <a:lum bright="6000" contrast="6000"/>
                    </a:blip>
                    <a:stretch>
                      <a:fillRect/>
                    </a:stretch>
                  </pic:blipFill>
                  <pic:spPr>
                    <a:xfrm>
                      <a:off x="0" y="0"/>
                      <a:ext cx="5901055" cy="7868920"/>
                    </a:xfrm>
                    <a:prstGeom prst="rect">
                      <a:avLst/>
                    </a:prstGeom>
                  </pic:spPr>
                </pic:pic>
              </a:graphicData>
            </a:graphic>
          </wp:inline>
        </w:drawing>
      </w:r>
    </w:p>
    <w:p w14:paraId="7662DF5E">
      <w:pPr>
        <w:jc w:val="center"/>
        <w:rPr>
          <w:rFonts w:hint="eastAsia" w:eastAsia="宋体"/>
          <w:lang w:eastAsia="zh-CN"/>
        </w:rPr>
        <w:sectPr>
          <w:pgSz w:w="11906" w:h="16838"/>
          <w:pgMar w:top="720" w:right="720" w:bottom="720" w:left="720" w:header="851" w:footer="992" w:gutter="0"/>
          <w:cols w:space="425" w:num="1"/>
          <w:docGrid w:type="lines" w:linePitch="312" w:charSpace="0"/>
        </w:sectPr>
      </w:pPr>
    </w:p>
    <w:p w14:paraId="1B982561">
      <w:pPr>
        <w:jc w:val="center"/>
        <w:rPr>
          <w:rFonts w:hint="eastAsia" w:eastAsia="宋体"/>
          <w:lang w:eastAsia="zh-CN"/>
        </w:rPr>
        <w:sectPr>
          <w:pgSz w:w="11906" w:h="16838"/>
          <w:pgMar w:top="720" w:right="720" w:bottom="720" w:left="720" w:header="851" w:footer="992" w:gutter="0"/>
          <w:cols w:space="425" w:num="1"/>
          <w:docGrid w:type="lines" w:linePitch="312" w:charSpace="0"/>
        </w:sectPr>
      </w:pPr>
      <w:r>
        <w:rPr>
          <w:rFonts w:hint="eastAsia" w:eastAsia="宋体"/>
          <w:lang w:eastAsia="zh-CN"/>
        </w:rPr>
        <w:t>附件4 项目监测报告</w:t>
      </w:r>
      <w:r>
        <w:rPr>
          <w:rFonts w:hint="eastAsia" w:eastAsia="宋体"/>
          <w:lang w:eastAsia="zh-CN"/>
        </w:rPr>
        <w:drawing>
          <wp:inline distT="0" distB="0" distL="114300" distR="114300">
            <wp:extent cx="6011545" cy="8501380"/>
            <wp:effectExtent l="0" t="0" r="8255" b="13970"/>
            <wp:docPr id="21" name="图片 21" descr="龙山县高铁新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龙山县高铁新区-1"/>
                    <pic:cNvPicPr>
                      <a:picLocks noChangeAspect="1"/>
                    </pic:cNvPicPr>
                  </pic:nvPicPr>
                  <pic:blipFill>
                    <a:blip r:embed="rId42"/>
                    <a:stretch>
                      <a:fillRect/>
                    </a:stretch>
                  </pic:blipFill>
                  <pic:spPr>
                    <a:xfrm>
                      <a:off x="0" y="0"/>
                      <a:ext cx="6011545" cy="8501380"/>
                    </a:xfrm>
                    <a:prstGeom prst="rect">
                      <a:avLst/>
                    </a:prstGeom>
                  </pic:spPr>
                </pic:pic>
              </a:graphicData>
            </a:graphic>
          </wp:inline>
        </w:drawing>
      </w:r>
      <w:r>
        <w:rPr>
          <w:rFonts w:hint="eastAsia" w:eastAsia="宋体"/>
          <w:lang w:eastAsia="zh-CN"/>
        </w:rPr>
        <w:drawing>
          <wp:inline distT="0" distB="0" distL="114300" distR="114300">
            <wp:extent cx="6639560" cy="9387840"/>
            <wp:effectExtent l="0" t="0" r="8890" b="3810"/>
            <wp:docPr id="22" name="图片 22" descr="龙山县高铁新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龙山县高铁新区-2"/>
                    <pic:cNvPicPr>
                      <a:picLocks noChangeAspect="1"/>
                    </pic:cNvPicPr>
                  </pic:nvPicPr>
                  <pic:blipFill>
                    <a:blip r:embed="rId43"/>
                    <a:stretch>
                      <a:fillRect/>
                    </a:stretch>
                  </pic:blipFill>
                  <pic:spPr>
                    <a:xfrm>
                      <a:off x="0" y="0"/>
                      <a:ext cx="6639560" cy="9387840"/>
                    </a:xfrm>
                    <a:prstGeom prst="rect">
                      <a:avLst/>
                    </a:prstGeom>
                  </pic:spPr>
                </pic:pic>
              </a:graphicData>
            </a:graphic>
          </wp:inline>
        </w:drawing>
      </w:r>
      <w:r>
        <w:rPr>
          <w:rFonts w:hint="eastAsia" w:eastAsia="宋体"/>
          <w:lang w:eastAsia="zh-CN"/>
        </w:rPr>
        <w:drawing>
          <wp:inline distT="0" distB="0" distL="114300" distR="114300">
            <wp:extent cx="6639560" cy="9387840"/>
            <wp:effectExtent l="0" t="0" r="8890" b="3810"/>
            <wp:docPr id="23" name="图片 23" descr="龙山县高铁新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龙山县高铁新区-3"/>
                    <pic:cNvPicPr>
                      <a:picLocks noChangeAspect="1"/>
                    </pic:cNvPicPr>
                  </pic:nvPicPr>
                  <pic:blipFill>
                    <a:blip r:embed="rId44"/>
                    <a:stretch>
                      <a:fillRect/>
                    </a:stretch>
                  </pic:blipFill>
                  <pic:spPr>
                    <a:xfrm>
                      <a:off x="0" y="0"/>
                      <a:ext cx="6639560" cy="9387840"/>
                    </a:xfrm>
                    <a:prstGeom prst="rect">
                      <a:avLst/>
                    </a:prstGeom>
                  </pic:spPr>
                </pic:pic>
              </a:graphicData>
            </a:graphic>
          </wp:inline>
        </w:drawing>
      </w:r>
      <w:r>
        <w:rPr>
          <w:rFonts w:hint="eastAsia" w:eastAsia="宋体"/>
          <w:lang w:eastAsia="zh-CN"/>
        </w:rPr>
        <w:drawing>
          <wp:inline distT="0" distB="0" distL="114300" distR="114300">
            <wp:extent cx="6639560" cy="9387840"/>
            <wp:effectExtent l="0" t="0" r="8890" b="3810"/>
            <wp:docPr id="24" name="图片 24" descr="龙山县高铁新区-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龙山县高铁新区-4"/>
                    <pic:cNvPicPr>
                      <a:picLocks noChangeAspect="1"/>
                    </pic:cNvPicPr>
                  </pic:nvPicPr>
                  <pic:blipFill>
                    <a:blip r:embed="rId45"/>
                    <a:stretch>
                      <a:fillRect/>
                    </a:stretch>
                  </pic:blipFill>
                  <pic:spPr>
                    <a:xfrm>
                      <a:off x="0" y="0"/>
                      <a:ext cx="6639560" cy="9387840"/>
                    </a:xfrm>
                    <a:prstGeom prst="rect">
                      <a:avLst/>
                    </a:prstGeom>
                  </pic:spPr>
                </pic:pic>
              </a:graphicData>
            </a:graphic>
          </wp:inline>
        </w:drawing>
      </w:r>
      <w:r>
        <w:rPr>
          <w:rFonts w:hint="eastAsia" w:eastAsia="宋体"/>
          <w:lang w:eastAsia="zh-CN"/>
        </w:rPr>
        <w:drawing>
          <wp:inline distT="0" distB="0" distL="114300" distR="114300">
            <wp:extent cx="6639560" cy="9387840"/>
            <wp:effectExtent l="0" t="0" r="8890" b="3810"/>
            <wp:docPr id="25" name="图片 25" descr="龙山县高铁新区-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龙山县高铁新区-5"/>
                    <pic:cNvPicPr>
                      <a:picLocks noChangeAspect="1"/>
                    </pic:cNvPicPr>
                  </pic:nvPicPr>
                  <pic:blipFill>
                    <a:blip r:embed="rId46"/>
                    <a:stretch>
                      <a:fillRect/>
                    </a:stretch>
                  </pic:blipFill>
                  <pic:spPr>
                    <a:xfrm>
                      <a:off x="0" y="0"/>
                      <a:ext cx="6639560" cy="9387840"/>
                    </a:xfrm>
                    <a:prstGeom prst="rect">
                      <a:avLst/>
                    </a:prstGeom>
                  </pic:spPr>
                </pic:pic>
              </a:graphicData>
            </a:graphic>
          </wp:inline>
        </w:drawing>
      </w:r>
      <w:r>
        <w:rPr>
          <w:rFonts w:hint="eastAsia" w:eastAsia="宋体"/>
          <w:lang w:eastAsia="zh-CN"/>
        </w:rPr>
        <w:drawing>
          <wp:inline distT="0" distB="0" distL="114300" distR="114300">
            <wp:extent cx="6639560" cy="9387840"/>
            <wp:effectExtent l="0" t="0" r="8890" b="3810"/>
            <wp:docPr id="26" name="图片 26" descr="龙山县高铁新区-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龙山县高铁新区-6"/>
                    <pic:cNvPicPr>
                      <a:picLocks noChangeAspect="1"/>
                    </pic:cNvPicPr>
                  </pic:nvPicPr>
                  <pic:blipFill>
                    <a:blip r:embed="rId47"/>
                    <a:stretch>
                      <a:fillRect/>
                    </a:stretch>
                  </pic:blipFill>
                  <pic:spPr>
                    <a:xfrm>
                      <a:off x="0" y="0"/>
                      <a:ext cx="6639560" cy="9387840"/>
                    </a:xfrm>
                    <a:prstGeom prst="rect">
                      <a:avLst/>
                    </a:prstGeom>
                  </pic:spPr>
                </pic:pic>
              </a:graphicData>
            </a:graphic>
          </wp:inline>
        </w:drawing>
      </w:r>
      <w:r>
        <w:rPr>
          <w:rFonts w:hint="eastAsia" w:eastAsia="宋体"/>
          <w:lang w:eastAsia="zh-CN"/>
        </w:rPr>
        <w:drawing>
          <wp:inline distT="0" distB="0" distL="114300" distR="114300">
            <wp:extent cx="6639560" cy="9387840"/>
            <wp:effectExtent l="0" t="0" r="8890" b="3810"/>
            <wp:docPr id="27" name="图片 27" descr="龙山县高铁新区-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龙山县高铁新区-7"/>
                    <pic:cNvPicPr>
                      <a:picLocks noChangeAspect="1"/>
                    </pic:cNvPicPr>
                  </pic:nvPicPr>
                  <pic:blipFill>
                    <a:blip r:embed="rId48"/>
                    <a:stretch>
                      <a:fillRect/>
                    </a:stretch>
                  </pic:blipFill>
                  <pic:spPr>
                    <a:xfrm>
                      <a:off x="0" y="0"/>
                      <a:ext cx="6639560" cy="9387840"/>
                    </a:xfrm>
                    <a:prstGeom prst="rect">
                      <a:avLst/>
                    </a:prstGeom>
                  </pic:spPr>
                </pic:pic>
              </a:graphicData>
            </a:graphic>
          </wp:inline>
        </w:drawing>
      </w:r>
      <w:r>
        <w:rPr>
          <w:rFonts w:hint="eastAsia" w:eastAsia="宋体"/>
          <w:lang w:eastAsia="zh-CN"/>
        </w:rPr>
        <w:drawing>
          <wp:inline distT="0" distB="0" distL="114300" distR="114300">
            <wp:extent cx="6639560" cy="9387840"/>
            <wp:effectExtent l="0" t="0" r="8890" b="3810"/>
            <wp:docPr id="28" name="图片 28" descr="龙山县高铁新区-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龙山县高铁新区-8"/>
                    <pic:cNvPicPr>
                      <a:picLocks noChangeAspect="1"/>
                    </pic:cNvPicPr>
                  </pic:nvPicPr>
                  <pic:blipFill>
                    <a:blip r:embed="rId49"/>
                    <a:stretch>
                      <a:fillRect/>
                    </a:stretch>
                  </pic:blipFill>
                  <pic:spPr>
                    <a:xfrm>
                      <a:off x="0" y="0"/>
                      <a:ext cx="6639560" cy="9387840"/>
                    </a:xfrm>
                    <a:prstGeom prst="rect">
                      <a:avLst/>
                    </a:prstGeom>
                  </pic:spPr>
                </pic:pic>
              </a:graphicData>
            </a:graphic>
          </wp:inline>
        </w:drawing>
      </w:r>
      <w:r>
        <w:rPr>
          <w:rFonts w:hint="eastAsia" w:eastAsia="宋体"/>
          <w:lang w:eastAsia="zh-CN"/>
        </w:rPr>
        <w:drawing>
          <wp:inline distT="0" distB="0" distL="114300" distR="114300">
            <wp:extent cx="6639560" cy="9387840"/>
            <wp:effectExtent l="0" t="0" r="8890" b="3810"/>
            <wp:docPr id="40" name="图片 40" descr="龙山县高铁新区-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龙山县高铁新区-9"/>
                    <pic:cNvPicPr>
                      <a:picLocks noChangeAspect="1"/>
                    </pic:cNvPicPr>
                  </pic:nvPicPr>
                  <pic:blipFill>
                    <a:blip r:embed="rId50"/>
                    <a:stretch>
                      <a:fillRect/>
                    </a:stretch>
                  </pic:blipFill>
                  <pic:spPr>
                    <a:xfrm>
                      <a:off x="0" y="0"/>
                      <a:ext cx="6639560" cy="9387840"/>
                    </a:xfrm>
                    <a:prstGeom prst="rect">
                      <a:avLst/>
                    </a:prstGeom>
                  </pic:spPr>
                </pic:pic>
              </a:graphicData>
            </a:graphic>
          </wp:inline>
        </w:drawing>
      </w:r>
      <w:r>
        <w:rPr>
          <w:rFonts w:hint="eastAsia" w:eastAsia="宋体"/>
          <w:lang w:eastAsia="zh-CN"/>
        </w:rPr>
        <w:drawing>
          <wp:inline distT="0" distB="0" distL="114300" distR="114300">
            <wp:extent cx="6639560" cy="9387840"/>
            <wp:effectExtent l="0" t="0" r="8890" b="3810"/>
            <wp:docPr id="43" name="图片 43" descr="龙山县高铁新区-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龙山县高铁新区-10"/>
                    <pic:cNvPicPr>
                      <a:picLocks noChangeAspect="1"/>
                    </pic:cNvPicPr>
                  </pic:nvPicPr>
                  <pic:blipFill>
                    <a:blip r:embed="rId51"/>
                    <a:stretch>
                      <a:fillRect/>
                    </a:stretch>
                  </pic:blipFill>
                  <pic:spPr>
                    <a:xfrm>
                      <a:off x="0" y="0"/>
                      <a:ext cx="6639560" cy="9387840"/>
                    </a:xfrm>
                    <a:prstGeom prst="rect">
                      <a:avLst/>
                    </a:prstGeom>
                  </pic:spPr>
                </pic:pic>
              </a:graphicData>
            </a:graphic>
          </wp:inline>
        </w:drawing>
      </w:r>
      <w:r>
        <w:rPr>
          <w:rFonts w:hint="eastAsia" w:eastAsia="宋体"/>
          <w:lang w:eastAsia="zh-CN"/>
        </w:rPr>
        <w:drawing>
          <wp:inline distT="0" distB="0" distL="114300" distR="114300">
            <wp:extent cx="6639560" cy="9387840"/>
            <wp:effectExtent l="0" t="0" r="8890" b="3810"/>
            <wp:docPr id="5" name="图片 5" descr="龙山县高铁新区-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龙山县高铁新区-11"/>
                    <pic:cNvPicPr>
                      <a:picLocks noChangeAspect="1"/>
                    </pic:cNvPicPr>
                  </pic:nvPicPr>
                  <pic:blipFill>
                    <a:blip r:embed="rId52"/>
                    <a:stretch>
                      <a:fillRect/>
                    </a:stretch>
                  </pic:blipFill>
                  <pic:spPr>
                    <a:xfrm>
                      <a:off x="0" y="0"/>
                      <a:ext cx="6639560" cy="9387840"/>
                    </a:xfrm>
                    <a:prstGeom prst="rect">
                      <a:avLst/>
                    </a:prstGeom>
                  </pic:spPr>
                </pic:pic>
              </a:graphicData>
            </a:graphic>
          </wp:inline>
        </w:drawing>
      </w:r>
    </w:p>
    <w:p w14:paraId="49FAFEC5">
      <w:pPr>
        <w:jc w:val="center"/>
        <w:rPr>
          <w:rFonts w:hint="eastAsia" w:eastAsia="宋体"/>
          <w:lang w:eastAsia="zh-CN"/>
        </w:rPr>
      </w:pPr>
      <w:r>
        <w:rPr>
          <w:rFonts w:hint="eastAsia"/>
          <w:lang w:eastAsia="zh-CN"/>
        </w:rPr>
        <w:t>附件</w:t>
      </w:r>
      <w:r>
        <w:rPr>
          <w:rFonts w:hint="eastAsia"/>
          <w:lang w:val="en-US" w:eastAsia="zh-CN"/>
        </w:rPr>
        <w:t>5 项目政府会议纪要</w:t>
      </w:r>
      <w:r>
        <w:rPr>
          <w:rFonts w:hint="eastAsia" w:eastAsia="宋体"/>
          <w:lang w:eastAsia="zh-CN"/>
        </w:rPr>
        <w:drawing>
          <wp:inline distT="0" distB="0" distL="114300" distR="114300">
            <wp:extent cx="5219700" cy="5934075"/>
            <wp:effectExtent l="0" t="0" r="0" b="9525"/>
            <wp:docPr id="44" name="图片 44" descr="1734183322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734183322739"/>
                    <pic:cNvPicPr>
                      <a:picLocks noChangeAspect="1"/>
                    </pic:cNvPicPr>
                  </pic:nvPicPr>
                  <pic:blipFill>
                    <a:blip r:embed="rId53"/>
                    <a:stretch>
                      <a:fillRect/>
                    </a:stretch>
                  </pic:blipFill>
                  <pic:spPr>
                    <a:xfrm>
                      <a:off x="0" y="0"/>
                      <a:ext cx="5219700" cy="5934075"/>
                    </a:xfrm>
                    <a:prstGeom prst="rect">
                      <a:avLst/>
                    </a:prstGeom>
                  </pic:spPr>
                </pic:pic>
              </a:graphicData>
            </a:graphic>
          </wp:inline>
        </w:drawing>
      </w:r>
      <w:r>
        <w:rPr>
          <w:rFonts w:hint="eastAsia" w:eastAsia="宋体"/>
          <w:lang w:eastAsia="zh-CN"/>
        </w:rPr>
        <w:drawing>
          <wp:inline distT="0" distB="0" distL="114300" distR="114300">
            <wp:extent cx="4743450" cy="6057900"/>
            <wp:effectExtent l="0" t="0" r="0" b="0"/>
            <wp:docPr id="45" name="图片 45" descr="173418335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1734183356202"/>
                    <pic:cNvPicPr>
                      <a:picLocks noChangeAspect="1"/>
                    </pic:cNvPicPr>
                  </pic:nvPicPr>
                  <pic:blipFill>
                    <a:blip r:embed="rId54"/>
                    <a:stretch>
                      <a:fillRect/>
                    </a:stretch>
                  </pic:blipFill>
                  <pic:spPr>
                    <a:xfrm>
                      <a:off x="0" y="0"/>
                      <a:ext cx="4743450" cy="6057900"/>
                    </a:xfrm>
                    <a:prstGeom prst="rect">
                      <a:avLst/>
                    </a:prstGeom>
                  </pic:spPr>
                </pic:pic>
              </a:graphicData>
            </a:graphic>
          </wp:inline>
        </w:drawing>
      </w:r>
    </w:p>
    <w:p w14:paraId="2BEB9605">
      <w:pPr>
        <w:jc w:val="center"/>
        <w:rPr>
          <w:rFonts w:hint="eastAsia"/>
          <w:lang w:eastAsia="zh-CN"/>
        </w:rPr>
        <w:sectPr>
          <w:pgSz w:w="11906" w:h="16838"/>
          <w:pgMar w:top="720" w:right="720" w:bottom="720" w:left="720" w:header="851" w:footer="992" w:gutter="0"/>
          <w:cols w:space="425" w:num="1"/>
          <w:docGrid w:type="lines" w:linePitch="312" w:charSpace="0"/>
        </w:sectPr>
      </w:pPr>
    </w:p>
    <w:p w14:paraId="20BF51A0">
      <w:pPr>
        <w:jc w:val="center"/>
        <w:rPr>
          <w:rFonts w:hint="eastAsia"/>
          <w:lang w:eastAsia="zh-CN"/>
        </w:rPr>
        <w:sectPr>
          <w:pgSz w:w="11906" w:h="16838"/>
          <w:pgMar w:top="720" w:right="720" w:bottom="720" w:left="720" w:header="851" w:footer="992" w:gutter="0"/>
          <w:cols w:space="425" w:num="1"/>
          <w:docGrid w:type="lines" w:linePitch="312" w:charSpace="0"/>
        </w:sectPr>
      </w:pPr>
      <w:r>
        <w:rPr>
          <w:rFonts w:hint="eastAsia"/>
          <w:lang w:eastAsia="zh-CN"/>
        </w:rPr>
        <w:t>附件</w:t>
      </w:r>
      <w:r>
        <w:rPr>
          <w:rFonts w:hint="eastAsia"/>
          <w:lang w:val="en-US" w:eastAsia="zh-CN"/>
        </w:rPr>
        <w:t>6 项目可研批复</w:t>
      </w:r>
      <w:r>
        <w:rPr>
          <w:rFonts w:hint="eastAsia"/>
          <w:lang w:eastAsia="zh-CN"/>
        </w:rPr>
        <w:drawing>
          <wp:inline distT="0" distB="0" distL="114300" distR="114300">
            <wp:extent cx="5467350" cy="6038850"/>
            <wp:effectExtent l="0" t="0" r="0" b="0"/>
            <wp:docPr id="46" name="图片 46" descr="1734183400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734183400954"/>
                    <pic:cNvPicPr>
                      <a:picLocks noChangeAspect="1"/>
                    </pic:cNvPicPr>
                  </pic:nvPicPr>
                  <pic:blipFill>
                    <a:blip r:embed="rId55"/>
                    <a:stretch>
                      <a:fillRect/>
                    </a:stretch>
                  </pic:blipFill>
                  <pic:spPr>
                    <a:xfrm>
                      <a:off x="0" y="0"/>
                      <a:ext cx="5467350" cy="6038850"/>
                    </a:xfrm>
                    <a:prstGeom prst="rect">
                      <a:avLst/>
                    </a:prstGeom>
                  </pic:spPr>
                </pic:pic>
              </a:graphicData>
            </a:graphic>
          </wp:inline>
        </w:drawing>
      </w:r>
      <w:r>
        <w:rPr>
          <w:rFonts w:hint="eastAsia"/>
          <w:lang w:eastAsia="zh-CN"/>
        </w:rPr>
        <w:drawing>
          <wp:inline distT="0" distB="0" distL="114300" distR="114300">
            <wp:extent cx="5219700" cy="6019800"/>
            <wp:effectExtent l="0" t="0" r="0" b="0"/>
            <wp:docPr id="47" name="图片 47" descr="173418342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734183421646"/>
                    <pic:cNvPicPr>
                      <a:picLocks noChangeAspect="1"/>
                    </pic:cNvPicPr>
                  </pic:nvPicPr>
                  <pic:blipFill>
                    <a:blip r:embed="rId56"/>
                    <a:stretch>
                      <a:fillRect/>
                    </a:stretch>
                  </pic:blipFill>
                  <pic:spPr>
                    <a:xfrm>
                      <a:off x="0" y="0"/>
                      <a:ext cx="5219700" cy="6019800"/>
                    </a:xfrm>
                    <a:prstGeom prst="rect">
                      <a:avLst/>
                    </a:prstGeom>
                  </pic:spPr>
                </pic:pic>
              </a:graphicData>
            </a:graphic>
          </wp:inline>
        </w:drawing>
      </w:r>
      <w:r>
        <w:rPr>
          <w:rFonts w:hint="eastAsia"/>
          <w:lang w:eastAsia="zh-CN"/>
        </w:rPr>
        <w:drawing>
          <wp:inline distT="0" distB="0" distL="114300" distR="114300">
            <wp:extent cx="4638675" cy="6038850"/>
            <wp:effectExtent l="0" t="0" r="9525" b="0"/>
            <wp:docPr id="48" name="图片 48" descr="173418344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734183441623"/>
                    <pic:cNvPicPr>
                      <a:picLocks noChangeAspect="1"/>
                    </pic:cNvPicPr>
                  </pic:nvPicPr>
                  <pic:blipFill>
                    <a:blip r:embed="rId57"/>
                    <a:stretch>
                      <a:fillRect/>
                    </a:stretch>
                  </pic:blipFill>
                  <pic:spPr>
                    <a:xfrm>
                      <a:off x="0" y="0"/>
                      <a:ext cx="4638675" cy="6038850"/>
                    </a:xfrm>
                    <a:prstGeom prst="rect">
                      <a:avLst/>
                    </a:prstGeom>
                  </pic:spPr>
                </pic:pic>
              </a:graphicData>
            </a:graphic>
          </wp:inline>
        </w:drawing>
      </w:r>
    </w:p>
    <w:p w14:paraId="7BD133B3">
      <w:pPr>
        <w:jc w:val="center"/>
        <w:rPr>
          <w:rFonts w:hint="eastAsia"/>
          <w:lang w:val="en-US" w:eastAsia="zh-CN"/>
        </w:rPr>
      </w:pPr>
      <w:r>
        <w:rPr>
          <w:rFonts w:hint="eastAsia"/>
          <w:lang w:eastAsia="zh-CN"/>
        </w:rPr>
        <w:t>附件</w:t>
      </w:r>
      <w:r>
        <w:rPr>
          <w:rFonts w:hint="eastAsia"/>
          <w:lang w:val="en-US" w:eastAsia="zh-CN"/>
        </w:rPr>
        <w:t>7 专家意见</w:t>
      </w:r>
    </w:p>
    <w:p w14:paraId="70C011DE">
      <w:pPr>
        <w:jc w:val="center"/>
        <w:rPr>
          <w:rFonts w:hint="eastAsia"/>
          <w:lang w:eastAsia="zh-CN"/>
        </w:rPr>
        <w:sectPr>
          <w:pgSz w:w="11906" w:h="16838"/>
          <w:pgMar w:top="720" w:right="720" w:bottom="720" w:left="720" w:header="851" w:footer="992" w:gutter="0"/>
          <w:cols w:space="425" w:num="1"/>
          <w:docGrid w:type="lines" w:linePitch="312" w:charSpace="0"/>
        </w:sectPr>
      </w:pPr>
      <w:r>
        <w:rPr>
          <w:rFonts w:hint="eastAsia"/>
          <w:lang w:eastAsia="zh-CN"/>
        </w:rPr>
        <w:drawing>
          <wp:inline distT="0" distB="0" distL="114300" distR="114300">
            <wp:extent cx="5639435" cy="7973695"/>
            <wp:effectExtent l="0" t="0" r="18415" b="8255"/>
            <wp:docPr id="49" name="图片 49" descr="高铁新区专家评审意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高铁新区专家评审意见-1"/>
                    <pic:cNvPicPr>
                      <a:picLocks noChangeAspect="1"/>
                    </pic:cNvPicPr>
                  </pic:nvPicPr>
                  <pic:blipFill>
                    <a:blip r:embed="rId58"/>
                    <a:stretch>
                      <a:fillRect/>
                    </a:stretch>
                  </pic:blipFill>
                  <pic:spPr>
                    <a:xfrm>
                      <a:off x="0" y="0"/>
                      <a:ext cx="5639435" cy="7973695"/>
                    </a:xfrm>
                    <a:prstGeom prst="rect">
                      <a:avLst/>
                    </a:prstGeom>
                  </pic:spPr>
                </pic:pic>
              </a:graphicData>
            </a:graphic>
          </wp:inline>
        </w:drawing>
      </w:r>
      <w:r>
        <w:rPr>
          <w:rFonts w:hint="eastAsia"/>
          <w:lang w:eastAsia="zh-CN"/>
        </w:rPr>
        <w:drawing>
          <wp:inline distT="0" distB="0" distL="114300" distR="114300">
            <wp:extent cx="6639560" cy="9387840"/>
            <wp:effectExtent l="0" t="0" r="8890" b="3810"/>
            <wp:docPr id="50" name="图片 50" descr="高铁新区专家评审意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高铁新区专家评审意见-2"/>
                    <pic:cNvPicPr>
                      <a:picLocks noChangeAspect="1"/>
                    </pic:cNvPicPr>
                  </pic:nvPicPr>
                  <pic:blipFill>
                    <a:blip r:embed="rId59"/>
                    <a:stretch>
                      <a:fillRect/>
                    </a:stretch>
                  </pic:blipFill>
                  <pic:spPr>
                    <a:xfrm>
                      <a:off x="0" y="0"/>
                      <a:ext cx="6639560" cy="9387840"/>
                    </a:xfrm>
                    <a:prstGeom prst="rect">
                      <a:avLst/>
                    </a:prstGeom>
                  </pic:spPr>
                </pic:pic>
              </a:graphicData>
            </a:graphic>
          </wp:inline>
        </w:drawing>
      </w:r>
      <w:r>
        <w:rPr>
          <w:rFonts w:hint="eastAsia"/>
          <w:lang w:eastAsia="zh-CN"/>
        </w:rPr>
        <w:drawing>
          <wp:inline distT="0" distB="0" distL="114300" distR="114300">
            <wp:extent cx="6639560" cy="9387840"/>
            <wp:effectExtent l="0" t="0" r="8890" b="3810"/>
            <wp:docPr id="51" name="图片 51" descr="高铁新区专家评审意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高铁新区专家评审意见-3"/>
                    <pic:cNvPicPr>
                      <a:picLocks noChangeAspect="1"/>
                    </pic:cNvPicPr>
                  </pic:nvPicPr>
                  <pic:blipFill>
                    <a:blip r:embed="rId60"/>
                    <a:stretch>
                      <a:fillRect/>
                    </a:stretch>
                  </pic:blipFill>
                  <pic:spPr>
                    <a:xfrm>
                      <a:off x="0" y="0"/>
                      <a:ext cx="6639560" cy="9387840"/>
                    </a:xfrm>
                    <a:prstGeom prst="rect">
                      <a:avLst/>
                    </a:prstGeom>
                  </pic:spPr>
                </pic:pic>
              </a:graphicData>
            </a:graphic>
          </wp:inline>
        </w:drawing>
      </w:r>
      <w:r>
        <w:rPr>
          <w:rFonts w:hint="eastAsia"/>
          <w:lang w:eastAsia="zh-CN"/>
        </w:rPr>
        <w:drawing>
          <wp:inline distT="0" distB="0" distL="114300" distR="114300">
            <wp:extent cx="6639560" cy="9387840"/>
            <wp:effectExtent l="0" t="0" r="8890" b="3810"/>
            <wp:docPr id="53" name="图片 53" descr="高铁新区专家评审意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高铁新区专家评审意见-4"/>
                    <pic:cNvPicPr>
                      <a:picLocks noChangeAspect="1"/>
                    </pic:cNvPicPr>
                  </pic:nvPicPr>
                  <pic:blipFill>
                    <a:blip r:embed="rId61"/>
                    <a:stretch>
                      <a:fillRect/>
                    </a:stretch>
                  </pic:blipFill>
                  <pic:spPr>
                    <a:xfrm>
                      <a:off x="0" y="0"/>
                      <a:ext cx="6639560" cy="9387840"/>
                    </a:xfrm>
                    <a:prstGeom prst="rect">
                      <a:avLst/>
                    </a:prstGeom>
                  </pic:spPr>
                </pic:pic>
              </a:graphicData>
            </a:graphic>
          </wp:inline>
        </w:drawing>
      </w:r>
    </w:p>
    <w:p w14:paraId="437B3FA0">
      <w:pPr>
        <w:pStyle w:val="40"/>
        <w:jc w:val="center"/>
        <w:rPr>
          <w:rFonts w:hint="eastAsia"/>
          <w:lang w:val="en-US" w:eastAsia="zh-CN"/>
        </w:rPr>
      </w:pPr>
      <w:r>
        <w:rPr>
          <w:rFonts w:hint="eastAsia"/>
          <w:lang w:eastAsia="zh-CN"/>
        </w:rPr>
        <w:t>附件</w:t>
      </w:r>
      <w:r>
        <w:rPr>
          <w:rFonts w:hint="eastAsia"/>
          <w:lang w:val="en-US" w:eastAsia="zh-CN"/>
        </w:rPr>
        <w:t>8专家签到表</w:t>
      </w:r>
    </w:p>
    <w:p w14:paraId="6550D302">
      <w:pPr>
        <w:pStyle w:val="40"/>
        <w:jc w:val="center"/>
        <w:rPr>
          <w:rFonts w:hint="eastAsia"/>
          <w:lang w:eastAsia="zh-CN"/>
        </w:rPr>
        <w:sectPr>
          <w:pgSz w:w="11906" w:h="16838"/>
          <w:pgMar w:top="720" w:right="720" w:bottom="720" w:left="720" w:header="851" w:footer="850" w:gutter="0"/>
          <w:pgBorders>
            <w:top w:val="none" w:sz="0" w:space="0"/>
            <w:left w:val="none" w:sz="0" w:space="0"/>
            <w:bottom w:val="none" w:sz="0" w:space="0"/>
            <w:right w:val="none" w:sz="0" w:space="0"/>
          </w:pgBorders>
          <w:pgNumType w:fmt="decimal"/>
          <w:cols w:space="0" w:num="1"/>
          <w:rtlGutter w:val="0"/>
          <w:docGrid w:type="lines" w:linePitch="312" w:charSpace="0"/>
        </w:sectPr>
      </w:pPr>
      <w:r>
        <w:rPr>
          <w:rFonts w:hint="eastAsia"/>
          <w:lang w:eastAsia="zh-CN"/>
        </w:rPr>
        <w:drawing>
          <wp:inline distT="0" distB="0" distL="114300" distR="114300">
            <wp:extent cx="5287010" cy="7475220"/>
            <wp:effectExtent l="0" t="0" r="8890" b="11430"/>
            <wp:docPr id="54" name="图片 54" descr="高铁新区签到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高铁新区签到表-1"/>
                    <pic:cNvPicPr>
                      <a:picLocks noChangeAspect="1"/>
                    </pic:cNvPicPr>
                  </pic:nvPicPr>
                  <pic:blipFill>
                    <a:blip r:embed="rId62"/>
                    <a:stretch>
                      <a:fillRect/>
                    </a:stretch>
                  </pic:blipFill>
                  <pic:spPr>
                    <a:xfrm>
                      <a:off x="0" y="0"/>
                      <a:ext cx="5287010" cy="7475220"/>
                    </a:xfrm>
                    <a:prstGeom prst="rect">
                      <a:avLst/>
                    </a:prstGeom>
                  </pic:spPr>
                </pic:pic>
              </a:graphicData>
            </a:graphic>
          </wp:inline>
        </w:drawing>
      </w:r>
    </w:p>
    <w:p w14:paraId="3E1BDAEF">
      <w:pPr>
        <w:jc w:val="center"/>
        <w:rPr>
          <w:rFonts w:hint="eastAsia" w:eastAsiaTheme="minorEastAsia"/>
          <w:lang w:eastAsia="zh-CN"/>
        </w:rPr>
      </w:pPr>
      <w:r>
        <w:rPr>
          <w:rFonts w:hint="eastAsia" w:eastAsiaTheme="minorEastAsia"/>
          <w:lang w:eastAsia="zh-CN"/>
        </w:rPr>
        <w:drawing>
          <wp:inline distT="0" distB="0" distL="114300" distR="114300">
            <wp:extent cx="8919210" cy="6028690"/>
            <wp:effectExtent l="0" t="0" r="15240" b="10160"/>
            <wp:docPr id="55" name="图片 55" descr="地理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地理位置图"/>
                    <pic:cNvPicPr>
                      <a:picLocks noChangeAspect="1"/>
                    </pic:cNvPicPr>
                  </pic:nvPicPr>
                  <pic:blipFill>
                    <a:blip r:embed="rId63"/>
                    <a:stretch>
                      <a:fillRect/>
                    </a:stretch>
                  </pic:blipFill>
                  <pic:spPr>
                    <a:xfrm>
                      <a:off x="0" y="0"/>
                      <a:ext cx="8919210" cy="6028690"/>
                    </a:xfrm>
                    <a:prstGeom prst="rect">
                      <a:avLst/>
                    </a:prstGeom>
                  </pic:spPr>
                </pic:pic>
              </a:graphicData>
            </a:graphic>
          </wp:inline>
        </w:drawing>
      </w:r>
    </w:p>
    <w:p w14:paraId="56A673AF">
      <w:pPr>
        <w:jc w:val="center"/>
        <w:rPr>
          <w:rFonts w:hint="eastAsia" w:eastAsiaTheme="minorEastAsia"/>
          <w:lang w:eastAsia="zh-CN"/>
        </w:rPr>
      </w:pPr>
      <w:r>
        <w:rPr>
          <w:rFonts w:hint="eastAsia"/>
          <w:lang w:eastAsia="zh-CN"/>
        </w:rPr>
        <w:t>附图</w:t>
      </w:r>
      <w:r>
        <w:rPr>
          <w:rFonts w:hint="eastAsia"/>
          <w:lang w:val="en-US" w:eastAsia="zh-CN"/>
        </w:rPr>
        <w:t xml:space="preserve">1 </w:t>
      </w:r>
      <w:r>
        <w:rPr>
          <w:rFonts w:hint="eastAsia"/>
          <w:lang w:eastAsia="zh-CN"/>
        </w:rPr>
        <w:t>地理位置图</w:t>
      </w:r>
    </w:p>
    <w:p w14:paraId="116D1611">
      <w:pPr>
        <w:jc w:val="center"/>
        <w:rPr>
          <w:rFonts w:hint="eastAsia" w:eastAsiaTheme="minorEastAsia"/>
          <w:lang w:eastAsia="zh-CN"/>
        </w:rPr>
      </w:pPr>
    </w:p>
    <w:p w14:paraId="0924F50E">
      <w:pPr>
        <w:jc w:val="center"/>
        <w:rPr>
          <w:rFonts w:hint="eastAsia" w:eastAsiaTheme="minorEastAsia"/>
          <w:lang w:eastAsia="zh-CN"/>
        </w:rPr>
      </w:pPr>
      <w:r>
        <w:rPr>
          <w:rFonts w:hint="eastAsia" w:eastAsiaTheme="minorEastAsia"/>
          <w:lang w:eastAsia="zh-CN"/>
        </w:rPr>
        <w:drawing>
          <wp:inline distT="0" distB="0" distL="114300" distR="114300">
            <wp:extent cx="8579485" cy="5920105"/>
            <wp:effectExtent l="0" t="0" r="12065" b="4445"/>
            <wp:docPr id="56" name="图片 56" descr="排污口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排污口位置图"/>
                    <pic:cNvPicPr>
                      <a:picLocks noChangeAspect="1"/>
                    </pic:cNvPicPr>
                  </pic:nvPicPr>
                  <pic:blipFill>
                    <a:blip r:embed="rId64"/>
                    <a:stretch>
                      <a:fillRect/>
                    </a:stretch>
                  </pic:blipFill>
                  <pic:spPr>
                    <a:xfrm>
                      <a:off x="0" y="0"/>
                      <a:ext cx="8579485" cy="5920105"/>
                    </a:xfrm>
                    <a:prstGeom prst="rect">
                      <a:avLst/>
                    </a:prstGeom>
                  </pic:spPr>
                </pic:pic>
              </a:graphicData>
            </a:graphic>
          </wp:inline>
        </w:drawing>
      </w:r>
    </w:p>
    <w:p w14:paraId="0E7C4F26">
      <w:pPr>
        <w:jc w:val="center"/>
        <w:rPr>
          <w:rFonts w:hint="eastAsia" w:eastAsiaTheme="minorEastAsia"/>
          <w:lang w:eastAsia="zh-CN"/>
        </w:rPr>
      </w:pPr>
      <w:r>
        <w:rPr>
          <w:rFonts w:hint="eastAsia"/>
          <w:lang w:eastAsia="zh-CN"/>
        </w:rPr>
        <w:t>附图</w:t>
      </w:r>
      <w:r>
        <w:rPr>
          <w:rFonts w:hint="eastAsia"/>
          <w:lang w:val="en-US" w:eastAsia="zh-CN"/>
        </w:rPr>
        <w:t xml:space="preserve">2 </w:t>
      </w:r>
      <w:r>
        <w:rPr>
          <w:rFonts w:hint="eastAsia"/>
          <w:lang w:eastAsia="zh-CN"/>
        </w:rPr>
        <w:t>项目与排污可相对位置关系图</w:t>
      </w:r>
    </w:p>
    <w:p w14:paraId="18982C68">
      <w:pPr>
        <w:jc w:val="center"/>
        <w:rPr>
          <w:rFonts w:hint="eastAsia" w:eastAsiaTheme="minorEastAsia"/>
          <w:lang w:eastAsia="zh-CN"/>
        </w:rPr>
      </w:pPr>
    </w:p>
    <w:p w14:paraId="544D2925">
      <w:pPr>
        <w:jc w:val="center"/>
        <w:rPr>
          <w:rFonts w:hint="eastAsia" w:eastAsiaTheme="minorEastAsia"/>
          <w:lang w:eastAsia="zh-CN"/>
        </w:rPr>
      </w:pPr>
      <w:r>
        <w:rPr>
          <w:rFonts w:hint="eastAsia" w:eastAsiaTheme="minorEastAsia"/>
          <w:lang w:eastAsia="zh-CN"/>
        </w:rPr>
        <w:drawing>
          <wp:inline distT="0" distB="0" distL="114300" distR="114300">
            <wp:extent cx="8552815" cy="5760085"/>
            <wp:effectExtent l="0" t="0" r="635" b="12065"/>
            <wp:docPr id="57" name="图片 57" descr="环保目标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环保目标图"/>
                    <pic:cNvPicPr>
                      <a:picLocks noChangeAspect="1"/>
                    </pic:cNvPicPr>
                  </pic:nvPicPr>
                  <pic:blipFill>
                    <a:blip r:embed="rId65"/>
                    <a:stretch>
                      <a:fillRect/>
                    </a:stretch>
                  </pic:blipFill>
                  <pic:spPr>
                    <a:xfrm>
                      <a:off x="0" y="0"/>
                      <a:ext cx="8552815" cy="5760085"/>
                    </a:xfrm>
                    <a:prstGeom prst="rect">
                      <a:avLst/>
                    </a:prstGeom>
                  </pic:spPr>
                </pic:pic>
              </a:graphicData>
            </a:graphic>
          </wp:inline>
        </w:drawing>
      </w:r>
    </w:p>
    <w:p w14:paraId="095939F5">
      <w:pPr>
        <w:jc w:val="center"/>
        <w:rPr>
          <w:rFonts w:hint="eastAsia"/>
          <w:lang w:eastAsia="zh-CN"/>
        </w:rPr>
      </w:pPr>
      <w:r>
        <w:rPr>
          <w:rFonts w:hint="eastAsia"/>
          <w:lang w:eastAsia="zh-CN"/>
        </w:rPr>
        <w:t>附图</w:t>
      </w:r>
      <w:r>
        <w:rPr>
          <w:rFonts w:hint="eastAsia"/>
          <w:lang w:val="en-US" w:eastAsia="zh-CN"/>
        </w:rPr>
        <w:t xml:space="preserve">3 </w:t>
      </w:r>
      <w:r>
        <w:rPr>
          <w:rFonts w:hint="eastAsia"/>
          <w:lang w:eastAsia="zh-CN"/>
        </w:rPr>
        <w:t>环境保护目标图</w:t>
      </w:r>
    </w:p>
    <w:p w14:paraId="0055D8D4">
      <w:pPr>
        <w:jc w:val="center"/>
        <w:rPr>
          <w:rFonts w:hint="eastAsia" w:eastAsiaTheme="minorEastAsia"/>
          <w:lang w:eastAsia="zh-CN"/>
        </w:rPr>
      </w:pPr>
      <w:r>
        <w:rPr>
          <w:rFonts w:hint="eastAsia" w:eastAsiaTheme="minorEastAsia"/>
          <w:lang w:eastAsia="zh-CN"/>
        </w:rPr>
        <w:drawing>
          <wp:inline distT="0" distB="0" distL="114300" distR="114300">
            <wp:extent cx="8436610" cy="5339080"/>
            <wp:effectExtent l="0" t="0" r="2540" b="13970"/>
            <wp:docPr id="58" name="图片 58" descr="水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水系图"/>
                    <pic:cNvPicPr>
                      <a:picLocks noChangeAspect="1"/>
                    </pic:cNvPicPr>
                  </pic:nvPicPr>
                  <pic:blipFill>
                    <a:blip r:embed="rId66"/>
                    <a:stretch>
                      <a:fillRect/>
                    </a:stretch>
                  </pic:blipFill>
                  <pic:spPr>
                    <a:xfrm>
                      <a:off x="0" y="0"/>
                      <a:ext cx="8436610" cy="5339080"/>
                    </a:xfrm>
                    <a:prstGeom prst="rect">
                      <a:avLst/>
                    </a:prstGeom>
                  </pic:spPr>
                </pic:pic>
              </a:graphicData>
            </a:graphic>
          </wp:inline>
        </w:drawing>
      </w:r>
    </w:p>
    <w:p w14:paraId="6C4F87E5">
      <w:pPr>
        <w:jc w:val="center"/>
        <w:rPr>
          <w:rFonts w:hint="eastAsia" w:eastAsiaTheme="minorEastAsia"/>
          <w:lang w:eastAsia="zh-CN"/>
        </w:rPr>
      </w:pPr>
      <w:r>
        <w:rPr>
          <w:rFonts w:hint="eastAsia"/>
          <w:lang w:eastAsia="zh-CN"/>
        </w:rPr>
        <w:t>附图</w:t>
      </w:r>
      <w:r>
        <w:rPr>
          <w:rFonts w:hint="eastAsia"/>
          <w:lang w:val="en-US" w:eastAsia="zh-CN"/>
        </w:rPr>
        <w:t xml:space="preserve">4 </w:t>
      </w:r>
      <w:r>
        <w:rPr>
          <w:rFonts w:hint="eastAsia"/>
          <w:lang w:eastAsia="zh-CN"/>
        </w:rPr>
        <w:t>项目水系图</w:t>
      </w:r>
    </w:p>
    <w:p w14:paraId="6EC900A1">
      <w:pPr>
        <w:jc w:val="center"/>
        <w:rPr>
          <w:rFonts w:hint="eastAsia" w:eastAsiaTheme="minorEastAsia"/>
          <w:lang w:eastAsia="zh-CN"/>
        </w:rPr>
      </w:pPr>
      <w:r>
        <w:rPr>
          <w:rFonts w:hint="eastAsia" w:eastAsiaTheme="minorEastAsia"/>
          <w:lang w:eastAsia="zh-CN"/>
        </w:rPr>
        <w:drawing>
          <wp:inline distT="0" distB="0" distL="114300" distR="114300">
            <wp:extent cx="8813800" cy="5613400"/>
            <wp:effectExtent l="0" t="0" r="6350" b="6350"/>
            <wp:docPr id="59" name="图片 59" descr="监测布点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监测布点图"/>
                    <pic:cNvPicPr>
                      <a:picLocks noChangeAspect="1"/>
                    </pic:cNvPicPr>
                  </pic:nvPicPr>
                  <pic:blipFill>
                    <a:blip r:embed="rId67"/>
                    <a:stretch>
                      <a:fillRect/>
                    </a:stretch>
                  </pic:blipFill>
                  <pic:spPr>
                    <a:xfrm>
                      <a:off x="0" y="0"/>
                      <a:ext cx="8813800" cy="5613400"/>
                    </a:xfrm>
                    <a:prstGeom prst="rect">
                      <a:avLst/>
                    </a:prstGeom>
                  </pic:spPr>
                </pic:pic>
              </a:graphicData>
            </a:graphic>
          </wp:inline>
        </w:drawing>
      </w:r>
    </w:p>
    <w:p w14:paraId="5DB62A2C">
      <w:pPr>
        <w:jc w:val="center"/>
        <w:rPr>
          <w:rFonts w:hint="eastAsia"/>
          <w:lang w:eastAsia="zh-CN"/>
        </w:rPr>
      </w:pPr>
      <w:r>
        <w:rPr>
          <w:rFonts w:hint="eastAsia"/>
          <w:lang w:eastAsia="zh-CN"/>
        </w:rPr>
        <w:t>附图</w:t>
      </w:r>
      <w:r>
        <w:rPr>
          <w:rFonts w:hint="eastAsia"/>
          <w:lang w:val="en-US" w:eastAsia="zh-CN"/>
        </w:rPr>
        <w:t>5 项目检测布点图</w:t>
      </w:r>
    </w:p>
    <w:p w14:paraId="6541FEA9">
      <w:pPr>
        <w:jc w:val="center"/>
        <w:rPr>
          <w:rFonts w:hint="eastAsia" w:eastAsiaTheme="minorEastAsia"/>
          <w:lang w:eastAsia="zh-CN"/>
        </w:rPr>
      </w:pPr>
      <w:r>
        <w:rPr>
          <w:rFonts w:hint="eastAsia" w:eastAsiaTheme="minorEastAsia"/>
          <w:lang w:eastAsia="zh-CN"/>
        </w:rPr>
        <w:drawing>
          <wp:inline distT="0" distB="0" distL="114300" distR="114300">
            <wp:extent cx="8039100" cy="5000625"/>
            <wp:effectExtent l="0" t="0" r="0" b="9525"/>
            <wp:docPr id="60" name="图片 60" descr="0747c8195432bde4b28958512b0ad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0747c8195432bde4b28958512b0ad77"/>
                    <pic:cNvPicPr>
                      <a:picLocks noChangeAspect="1"/>
                    </pic:cNvPicPr>
                  </pic:nvPicPr>
                  <pic:blipFill>
                    <a:blip r:embed="rId68"/>
                    <a:stretch>
                      <a:fillRect/>
                    </a:stretch>
                  </pic:blipFill>
                  <pic:spPr>
                    <a:xfrm>
                      <a:off x="0" y="0"/>
                      <a:ext cx="8039100" cy="5000625"/>
                    </a:xfrm>
                    <a:prstGeom prst="rect">
                      <a:avLst/>
                    </a:prstGeom>
                  </pic:spPr>
                </pic:pic>
              </a:graphicData>
            </a:graphic>
          </wp:inline>
        </w:drawing>
      </w:r>
    </w:p>
    <w:p w14:paraId="646FBBB9">
      <w:pPr>
        <w:jc w:val="center"/>
        <w:rPr>
          <w:rFonts w:hint="eastAsia" w:eastAsiaTheme="minorEastAsia"/>
          <w:lang w:eastAsia="zh-CN"/>
        </w:rPr>
      </w:pPr>
    </w:p>
    <w:p w14:paraId="7D86EE6E">
      <w:pPr>
        <w:jc w:val="center"/>
        <w:rPr>
          <w:rFonts w:hint="eastAsia" w:eastAsiaTheme="minorEastAsia"/>
          <w:lang w:eastAsia="zh-CN"/>
        </w:rPr>
        <w:sectPr>
          <w:pgSz w:w="16838" w:h="11906" w:orient="landscape"/>
          <w:pgMar w:top="720" w:right="720" w:bottom="720" w:left="720" w:header="851" w:footer="992" w:gutter="0"/>
          <w:cols w:space="425" w:num="1"/>
          <w:docGrid w:type="lines" w:linePitch="312" w:charSpace="0"/>
        </w:sectPr>
      </w:pPr>
      <w:r>
        <w:rPr>
          <w:rFonts w:hint="eastAsia"/>
          <w:lang w:eastAsia="zh-CN"/>
        </w:rPr>
        <w:t>附图</w:t>
      </w:r>
      <w:r>
        <w:rPr>
          <w:rFonts w:hint="eastAsia"/>
          <w:lang w:val="en-US" w:eastAsia="zh-CN"/>
        </w:rPr>
        <w:t xml:space="preserve">6 </w:t>
      </w:r>
      <w:r>
        <w:rPr>
          <w:rFonts w:hint="eastAsia"/>
          <w:lang w:eastAsia="zh-CN"/>
        </w:rPr>
        <w:t>项目纳污范围图</w:t>
      </w:r>
    </w:p>
    <w:p w14:paraId="29DED32C">
      <w:pPr>
        <w:jc w:val="center"/>
        <w:rPr>
          <w:rFonts w:hint="eastAsia" w:eastAsiaTheme="minorEastAsia"/>
          <w:lang w:eastAsia="zh-CN"/>
        </w:rPr>
      </w:pPr>
      <w:r>
        <w:rPr>
          <w:rFonts w:hint="eastAsia" w:eastAsiaTheme="minorEastAsia"/>
          <w:lang w:eastAsia="zh-CN"/>
        </w:rPr>
        <w:drawing>
          <wp:inline distT="0" distB="0" distL="114300" distR="114300">
            <wp:extent cx="6264910" cy="8852535"/>
            <wp:effectExtent l="0" t="0" r="2540" b="5715"/>
            <wp:docPr id="61" name="图片 61" descr="空间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空间规划图"/>
                    <pic:cNvPicPr>
                      <a:picLocks noChangeAspect="1"/>
                    </pic:cNvPicPr>
                  </pic:nvPicPr>
                  <pic:blipFill>
                    <a:blip r:embed="rId69"/>
                    <a:stretch>
                      <a:fillRect/>
                    </a:stretch>
                  </pic:blipFill>
                  <pic:spPr>
                    <a:xfrm>
                      <a:off x="0" y="0"/>
                      <a:ext cx="6264910" cy="8852535"/>
                    </a:xfrm>
                    <a:prstGeom prst="rect">
                      <a:avLst/>
                    </a:prstGeom>
                  </pic:spPr>
                </pic:pic>
              </a:graphicData>
            </a:graphic>
          </wp:inline>
        </w:drawing>
      </w:r>
    </w:p>
    <w:p w14:paraId="6ACBFE23">
      <w:pPr>
        <w:jc w:val="center"/>
        <w:rPr>
          <w:rFonts w:hint="eastAsia" w:eastAsiaTheme="minorEastAsia"/>
          <w:lang w:eastAsia="zh-CN"/>
        </w:rPr>
      </w:pPr>
      <w:r>
        <w:rPr>
          <w:rFonts w:hint="eastAsia"/>
          <w:lang w:eastAsia="zh-CN"/>
        </w:rPr>
        <w:t>附图</w:t>
      </w:r>
      <w:r>
        <w:rPr>
          <w:rFonts w:hint="eastAsia"/>
          <w:lang w:val="en-US" w:eastAsia="zh-CN"/>
        </w:rPr>
        <w:t xml:space="preserve">7 </w:t>
      </w:r>
      <w:r>
        <w:rPr>
          <w:rFonts w:hint="eastAsia"/>
          <w:lang w:eastAsia="zh-CN"/>
        </w:rPr>
        <w:t>项目用地规划图</w:t>
      </w:r>
    </w:p>
    <w:p w14:paraId="0638E959">
      <w:pPr>
        <w:rPr>
          <w:rFonts w:hint="eastAsia" w:eastAsiaTheme="minorEastAsia"/>
          <w:lang w:eastAsia="zh-CN"/>
        </w:rPr>
      </w:pPr>
      <w:r>
        <w:rPr>
          <w:rFonts w:hint="eastAsia" w:eastAsiaTheme="minorEastAsia"/>
          <w:lang w:eastAsia="zh-CN"/>
        </w:rPr>
        <w:br w:type="page"/>
      </w:r>
    </w:p>
    <w:p w14:paraId="3BA5F18D">
      <w:pPr>
        <w:rPr>
          <w:rFonts w:hint="eastAsia" w:eastAsiaTheme="minorEastAsia"/>
          <w:lang w:eastAsia="zh-CN"/>
        </w:rPr>
        <w:sectPr>
          <w:pgSz w:w="11906" w:h="16838"/>
          <w:pgMar w:top="720" w:right="720" w:bottom="720" w:left="720" w:header="851" w:footer="992" w:gutter="0"/>
          <w:cols w:space="425" w:num="1"/>
          <w:docGrid w:type="lines" w:linePitch="312" w:charSpace="0"/>
        </w:sectPr>
      </w:pPr>
    </w:p>
    <w:p w14:paraId="708E1BEB">
      <w:pPr>
        <w:rPr>
          <w:rFonts w:hint="eastAsia" w:eastAsiaTheme="minorEastAsia"/>
          <w:lang w:eastAsia="zh-CN"/>
        </w:rPr>
      </w:pPr>
    </w:p>
    <w:p w14:paraId="2A305DFF">
      <w:pPr>
        <w:rPr>
          <w:rFonts w:hint="eastAsia" w:eastAsiaTheme="minorEastAsia"/>
          <w:lang w:eastAsia="zh-CN"/>
        </w:rPr>
      </w:pPr>
    </w:p>
    <w:tbl>
      <w:tblPr>
        <w:tblStyle w:val="3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06"/>
        <w:gridCol w:w="4734"/>
      </w:tblGrid>
      <w:tr w14:paraId="6F0B4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2" w:hRule="atLeast"/>
          <w:jc w:val="center"/>
        </w:trPr>
        <w:tc>
          <w:tcPr>
            <w:tcW w:w="4785" w:type="dxa"/>
            <w:vAlign w:val="center"/>
          </w:tcPr>
          <w:p w14:paraId="6BD7704E">
            <w:pPr>
              <w:jc w:val="cente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897505" cy="1633855"/>
                  <wp:effectExtent l="0" t="0" r="17145" b="4445"/>
                  <wp:docPr id="62" name="图片 62" descr="45ac81b81f8c2c10d57dee53cce87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45ac81b81f8c2c10d57dee53cce87e2"/>
                          <pic:cNvPicPr>
                            <a:picLocks noChangeAspect="1"/>
                          </pic:cNvPicPr>
                        </pic:nvPicPr>
                        <pic:blipFill>
                          <a:blip r:embed="rId70"/>
                          <a:stretch>
                            <a:fillRect/>
                          </a:stretch>
                        </pic:blipFill>
                        <pic:spPr>
                          <a:xfrm>
                            <a:off x="0" y="0"/>
                            <a:ext cx="2897505" cy="1633855"/>
                          </a:xfrm>
                          <a:prstGeom prst="rect">
                            <a:avLst/>
                          </a:prstGeom>
                        </pic:spPr>
                      </pic:pic>
                    </a:graphicData>
                  </a:graphic>
                </wp:inline>
              </w:drawing>
            </w:r>
            <w:r>
              <w:rPr>
                <w:rFonts w:hint="eastAsia"/>
                <w:vertAlign w:val="baseline"/>
                <w:lang w:eastAsia="zh-CN"/>
              </w:rPr>
              <w:t>项目地</w:t>
            </w:r>
          </w:p>
        </w:tc>
        <w:tc>
          <w:tcPr>
            <w:tcW w:w="4734" w:type="dxa"/>
            <w:vAlign w:val="center"/>
          </w:tcPr>
          <w:p w14:paraId="14D2140C">
            <w:pPr>
              <w:jc w:val="cente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854325" cy="1609090"/>
                  <wp:effectExtent l="0" t="0" r="3175" b="10160"/>
                  <wp:docPr id="63" name="图片 63" descr="a918d289b96433cc46521c59be325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a918d289b96433cc46521c59be325f5"/>
                          <pic:cNvPicPr>
                            <a:picLocks noChangeAspect="1"/>
                          </pic:cNvPicPr>
                        </pic:nvPicPr>
                        <pic:blipFill>
                          <a:blip r:embed="rId71"/>
                          <a:stretch>
                            <a:fillRect/>
                          </a:stretch>
                        </pic:blipFill>
                        <pic:spPr>
                          <a:xfrm>
                            <a:off x="0" y="0"/>
                            <a:ext cx="2854325" cy="1609090"/>
                          </a:xfrm>
                          <a:prstGeom prst="rect">
                            <a:avLst/>
                          </a:prstGeom>
                        </pic:spPr>
                      </pic:pic>
                    </a:graphicData>
                  </a:graphic>
                </wp:inline>
              </w:drawing>
            </w:r>
          </w:p>
          <w:p w14:paraId="3203E4BA">
            <w:pPr>
              <w:jc w:val="center"/>
              <w:rPr>
                <w:rFonts w:hint="eastAsia" w:eastAsiaTheme="minorEastAsia"/>
                <w:vertAlign w:val="baseline"/>
                <w:lang w:eastAsia="zh-CN"/>
              </w:rPr>
            </w:pPr>
            <w:r>
              <w:rPr>
                <w:rFonts w:hint="eastAsia"/>
                <w:vertAlign w:val="baseline"/>
                <w:lang w:eastAsia="zh-CN"/>
              </w:rPr>
              <w:t>项目地</w:t>
            </w:r>
          </w:p>
        </w:tc>
      </w:tr>
      <w:tr w14:paraId="4C2C2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2" w:hRule="atLeast"/>
          <w:jc w:val="center"/>
        </w:trPr>
        <w:tc>
          <w:tcPr>
            <w:tcW w:w="4785" w:type="dxa"/>
            <w:vAlign w:val="center"/>
          </w:tcPr>
          <w:p w14:paraId="36CB6840">
            <w:pPr>
              <w:jc w:val="cente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897505" cy="1633855"/>
                  <wp:effectExtent l="0" t="0" r="17145" b="4445"/>
                  <wp:docPr id="64" name="图片 64" descr="fd930d42360db70bf1a69ed8d3763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fd930d42360db70bf1a69ed8d3763b1"/>
                          <pic:cNvPicPr>
                            <a:picLocks noChangeAspect="1"/>
                          </pic:cNvPicPr>
                        </pic:nvPicPr>
                        <pic:blipFill>
                          <a:blip r:embed="rId72"/>
                          <a:stretch>
                            <a:fillRect/>
                          </a:stretch>
                        </pic:blipFill>
                        <pic:spPr>
                          <a:xfrm>
                            <a:off x="0" y="0"/>
                            <a:ext cx="2897505" cy="1633855"/>
                          </a:xfrm>
                          <a:prstGeom prst="rect">
                            <a:avLst/>
                          </a:prstGeom>
                        </pic:spPr>
                      </pic:pic>
                    </a:graphicData>
                  </a:graphic>
                </wp:inline>
              </w:drawing>
            </w:r>
          </w:p>
          <w:p w14:paraId="59DAE9A8">
            <w:pPr>
              <w:jc w:val="center"/>
              <w:rPr>
                <w:rFonts w:hint="eastAsia" w:eastAsiaTheme="minorEastAsia"/>
                <w:vertAlign w:val="baseline"/>
                <w:lang w:eastAsia="zh-CN"/>
              </w:rPr>
            </w:pPr>
            <w:r>
              <w:rPr>
                <w:rFonts w:hint="eastAsia"/>
                <w:vertAlign w:val="baseline"/>
                <w:lang w:eastAsia="zh-CN"/>
              </w:rPr>
              <w:t>项目地周边</w:t>
            </w:r>
          </w:p>
        </w:tc>
        <w:tc>
          <w:tcPr>
            <w:tcW w:w="4734" w:type="dxa"/>
            <w:vAlign w:val="center"/>
          </w:tcPr>
          <w:p w14:paraId="4D4D6316">
            <w:pPr>
              <w:jc w:val="cente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854325" cy="1609090"/>
                  <wp:effectExtent l="0" t="0" r="3175" b="10160"/>
                  <wp:docPr id="65" name="图片 65" descr="c27ce00b2a6c31c82529f4e6d48a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c27ce00b2a6c31c82529f4e6d48a896"/>
                          <pic:cNvPicPr>
                            <a:picLocks noChangeAspect="1"/>
                          </pic:cNvPicPr>
                        </pic:nvPicPr>
                        <pic:blipFill>
                          <a:blip r:embed="rId73"/>
                          <a:stretch>
                            <a:fillRect/>
                          </a:stretch>
                        </pic:blipFill>
                        <pic:spPr>
                          <a:xfrm>
                            <a:off x="0" y="0"/>
                            <a:ext cx="2854325" cy="1609090"/>
                          </a:xfrm>
                          <a:prstGeom prst="rect">
                            <a:avLst/>
                          </a:prstGeom>
                        </pic:spPr>
                      </pic:pic>
                    </a:graphicData>
                  </a:graphic>
                </wp:inline>
              </w:drawing>
            </w:r>
          </w:p>
          <w:p w14:paraId="7BDACD18">
            <w:pPr>
              <w:jc w:val="center"/>
              <w:rPr>
                <w:rFonts w:hint="eastAsia" w:eastAsiaTheme="minorEastAsia"/>
                <w:vertAlign w:val="baseline"/>
                <w:lang w:eastAsia="zh-CN"/>
              </w:rPr>
            </w:pPr>
            <w:r>
              <w:rPr>
                <w:rFonts w:hint="eastAsia"/>
                <w:vertAlign w:val="baseline"/>
                <w:lang w:eastAsia="zh-CN"/>
              </w:rPr>
              <w:t>拟设置排污可处</w:t>
            </w:r>
          </w:p>
        </w:tc>
      </w:tr>
      <w:tr w14:paraId="3C84D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6" w:hRule="atLeast"/>
          <w:jc w:val="center"/>
        </w:trPr>
        <w:tc>
          <w:tcPr>
            <w:tcW w:w="4785" w:type="dxa"/>
            <w:vAlign w:val="center"/>
          </w:tcPr>
          <w:p w14:paraId="6692584B">
            <w:pPr>
              <w:jc w:val="center"/>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897505" cy="1633855"/>
                  <wp:effectExtent l="0" t="0" r="17145" b="4445"/>
                  <wp:docPr id="66" name="图片 66" descr="c82480bbced92ac8b3d228c9e196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c82480bbced92ac8b3d228c9e196616"/>
                          <pic:cNvPicPr>
                            <a:picLocks noChangeAspect="1"/>
                          </pic:cNvPicPr>
                        </pic:nvPicPr>
                        <pic:blipFill>
                          <a:blip r:embed="rId74"/>
                          <a:stretch>
                            <a:fillRect/>
                          </a:stretch>
                        </pic:blipFill>
                        <pic:spPr>
                          <a:xfrm>
                            <a:off x="0" y="0"/>
                            <a:ext cx="2897505" cy="1633855"/>
                          </a:xfrm>
                          <a:prstGeom prst="rect">
                            <a:avLst/>
                          </a:prstGeom>
                        </pic:spPr>
                      </pic:pic>
                    </a:graphicData>
                  </a:graphic>
                </wp:inline>
              </w:drawing>
            </w:r>
          </w:p>
          <w:p w14:paraId="4E68EC0D">
            <w:pPr>
              <w:jc w:val="center"/>
              <w:rPr>
                <w:rFonts w:hint="default" w:eastAsiaTheme="minorEastAsia"/>
                <w:vertAlign w:val="baseline"/>
                <w:lang w:val="en-US" w:eastAsia="zh-CN"/>
              </w:rPr>
            </w:pPr>
            <w:r>
              <w:rPr>
                <w:rFonts w:hint="eastAsia"/>
                <w:vertAlign w:val="baseline"/>
                <w:lang w:eastAsia="zh-CN"/>
              </w:rPr>
              <w:t>下游</w:t>
            </w:r>
            <w:r>
              <w:rPr>
                <w:rFonts w:hint="eastAsia"/>
                <w:vertAlign w:val="baseline"/>
                <w:lang w:val="en-US" w:eastAsia="zh-CN"/>
              </w:rPr>
              <w:t>1000米果利河</w:t>
            </w:r>
          </w:p>
        </w:tc>
        <w:tc>
          <w:tcPr>
            <w:tcW w:w="4734" w:type="dxa"/>
            <w:vAlign w:val="center"/>
          </w:tcPr>
          <w:p w14:paraId="6E208DDC">
            <w:pPr>
              <w:jc w:val="center"/>
              <w:rPr>
                <w:rFonts w:hint="eastAsia" w:eastAsiaTheme="minorEastAsia"/>
                <w:vertAlign w:val="baseline"/>
                <w:lang w:eastAsia="zh-CN"/>
              </w:rPr>
            </w:pPr>
          </w:p>
        </w:tc>
      </w:tr>
    </w:tbl>
    <w:p w14:paraId="696A85F9">
      <w:pPr>
        <w:jc w:val="center"/>
        <w:rPr>
          <w:rFonts w:hint="eastAsia" w:eastAsiaTheme="minorEastAsia"/>
          <w:lang w:eastAsia="zh-CN"/>
        </w:rPr>
        <w:sectPr>
          <w:pgSz w:w="11906" w:h="16838"/>
          <w:pgMar w:top="720" w:right="720" w:bottom="720" w:left="720" w:header="851" w:footer="992" w:gutter="0"/>
          <w:cols w:space="425" w:num="1"/>
          <w:docGrid w:type="lines" w:linePitch="312" w:charSpace="0"/>
        </w:sectPr>
      </w:pPr>
      <w:r>
        <w:rPr>
          <w:rFonts w:hint="eastAsia"/>
          <w:lang w:eastAsia="zh-CN"/>
        </w:rPr>
        <w:t>附图</w:t>
      </w:r>
      <w:r>
        <w:rPr>
          <w:rFonts w:hint="eastAsia"/>
          <w:lang w:val="en-US" w:eastAsia="zh-CN"/>
        </w:rPr>
        <w:t xml:space="preserve">8 </w:t>
      </w:r>
      <w:r>
        <w:rPr>
          <w:rFonts w:hint="eastAsia"/>
          <w:lang w:eastAsia="zh-CN"/>
        </w:rPr>
        <w:t>项目现状照片</w:t>
      </w:r>
    </w:p>
    <w:p w14:paraId="131DF13D">
      <w:pPr>
        <w:jc w:val="center"/>
        <w:rPr>
          <w:rFonts w:hint="eastAsia" w:eastAsiaTheme="minorEastAsia"/>
          <w:lang w:eastAsia="zh-CN"/>
        </w:rPr>
      </w:pPr>
      <w:r>
        <w:rPr>
          <w:rFonts w:hint="eastAsia" w:eastAsiaTheme="minorEastAsia"/>
          <w:lang w:eastAsia="zh-CN"/>
        </w:rPr>
        <w:drawing>
          <wp:inline distT="0" distB="0" distL="114300" distR="114300">
            <wp:extent cx="8204835" cy="5801360"/>
            <wp:effectExtent l="0" t="0" r="5715" b="8890"/>
            <wp:docPr id="67" name="图片 67" descr="平面布置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平面布置图jpg"/>
                    <pic:cNvPicPr>
                      <a:picLocks noChangeAspect="1"/>
                    </pic:cNvPicPr>
                  </pic:nvPicPr>
                  <pic:blipFill>
                    <a:blip r:embed="rId75"/>
                    <a:stretch>
                      <a:fillRect/>
                    </a:stretch>
                  </pic:blipFill>
                  <pic:spPr>
                    <a:xfrm>
                      <a:off x="0" y="0"/>
                      <a:ext cx="8204835" cy="5801360"/>
                    </a:xfrm>
                    <a:prstGeom prst="rect">
                      <a:avLst/>
                    </a:prstGeom>
                  </pic:spPr>
                </pic:pic>
              </a:graphicData>
            </a:graphic>
          </wp:inline>
        </w:drawing>
      </w:r>
    </w:p>
    <w:p w14:paraId="2DEFAC35">
      <w:pPr>
        <w:jc w:val="center"/>
        <w:rPr>
          <w:rFonts w:hint="eastAsia"/>
          <w:lang w:eastAsia="zh-CN"/>
        </w:rPr>
        <w:sectPr>
          <w:pgSz w:w="16838" w:h="11906" w:orient="landscape"/>
          <w:pgMar w:top="720" w:right="720" w:bottom="720" w:left="720" w:header="851" w:footer="992" w:gutter="0"/>
          <w:cols w:space="425" w:num="1"/>
          <w:docGrid w:type="lines" w:linePitch="312" w:charSpace="0"/>
        </w:sectPr>
      </w:pPr>
      <w:r>
        <w:rPr>
          <w:rFonts w:hint="eastAsia"/>
          <w:lang w:eastAsia="zh-CN"/>
        </w:rPr>
        <w:t>附图</w:t>
      </w:r>
      <w:r>
        <w:rPr>
          <w:rFonts w:hint="eastAsia"/>
          <w:lang w:val="en-US" w:eastAsia="zh-CN"/>
        </w:rPr>
        <w:t xml:space="preserve">9 </w:t>
      </w:r>
      <w:r>
        <w:rPr>
          <w:rFonts w:hint="eastAsia"/>
          <w:lang w:eastAsia="zh-CN"/>
        </w:rPr>
        <w:t>项目平面布置图</w:t>
      </w:r>
    </w:p>
    <w:p w14:paraId="487104BE">
      <w:pPr>
        <w:jc w:val="center"/>
        <w:rPr>
          <w:rFonts w:hint="eastAsia"/>
          <w:lang w:eastAsia="zh-CN"/>
        </w:rPr>
      </w:pPr>
      <w:r>
        <w:rPr>
          <w:rFonts w:hint="eastAsia"/>
          <w:lang w:eastAsia="zh-CN"/>
        </w:rPr>
        <w:drawing>
          <wp:inline distT="0" distB="0" distL="114300" distR="114300">
            <wp:extent cx="7724775" cy="4775200"/>
            <wp:effectExtent l="0" t="0" r="9525" b="6350"/>
            <wp:docPr id="68" name="图片 68" descr="下游污染源分布情况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下游污染源分布情况图"/>
                    <pic:cNvPicPr>
                      <a:picLocks noChangeAspect="1"/>
                    </pic:cNvPicPr>
                  </pic:nvPicPr>
                  <pic:blipFill>
                    <a:blip r:embed="rId76"/>
                    <a:stretch>
                      <a:fillRect/>
                    </a:stretch>
                  </pic:blipFill>
                  <pic:spPr>
                    <a:xfrm>
                      <a:off x="0" y="0"/>
                      <a:ext cx="7724775" cy="4775200"/>
                    </a:xfrm>
                    <a:prstGeom prst="rect">
                      <a:avLst/>
                    </a:prstGeom>
                  </pic:spPr>
                </pic:pic>
              </a:graphicData>
            </a:graphic>
          </wp:inline>
        </w:drawing>
      </w:r>
    </w:p>
    <w:p w14:paraId="30AE09C7">
      <w:pPr>
        <w:jc w:val="center"/>
        <w:rPr>
          <w:rFonts w:hint="default" w:eastAsiaTheme="minorEastAsia"/>
          <w:lang w:val="en-US" w:eastAsia="zh-CN"/>
        </w:rPr>
      </w:pPr>
      <w:r>
        <w:rPr>
          <w:rFonts w:hint="eastAsia"/>
          <w:lang w:eastAsia="zh-CN"/>
        </w:rPr>
        <w:t>附图</w:t>
      </w:r>
      <w:r>
        <w:rPr>
          <w:rFonts w:hint="eastAsia"/>
          <w:lang w:val="en-US" w:eastAsia="zh-CN"/>
        </w:rPr>
        <w:t>10 项目下游污染源分布图</w:t>
      </w:r>
      <w:r>
        <w:rPr>
          <w:rFonts w:hint="default" w:eastAsiaTheme="minorEastAsia"/>
          <w:lang w:val="en-US" w:eastAsia="zh-CN"/>
        </w:rPr>
        <w:drawing>
          <wp:inline distT="0" distB="0" distL="114300" distR="114300">
            <wp:extent cx="9776460" cy="6189980"/>
            <wp:effectExtent l="0" t="0" r="15240" b="1270"/>
            <wp:docPr id="69" name="图片 69" descr="水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水功能区划图"/>
                    <pic:cNvPicPr>
                      <a:picLocks noChangeAspect="1"/>
                    </pic:cNvPicPr>
                  </pic:nvPicPr>
                  <pic:blipFill>
                    <a:blip r:embed="rId77"/>
                    <a:stretch>
                      <a:fillRect/>
                    </a:stretch>
                  </pic:blipFill>
                  <pic:spPr>
                    <a:xfrm>
                      <a:off x="0" y="0"/>
                      <a:ext cx="9776460" cy="6189980"/>
                    </a:xfrm>
                    <a:prstGeom prst="rect">
                      <a:avLst/>
                    </a:prstGeom>
                  </pic:spPr>
                </pic:pic>
              </a:graphicData>
            </a:graphic>
          </wp:inline>
        </w:drawing>
      </w:r>
    </w:p>
    <w:p w14:paraId="5B6AFC5E">
      <w:pPr>
        <w:jc w:val="center"/>
        <w:rPr>
          <w:rFonts w:hint="eastAsia"/>
          <w:lang w:val="en-US" w:eastAsia="zh-CN"/>
        </w:rPr>
        <w:sectPr>
          <w:pgSz w:w="16838" w:h="11906" w:orient="landscape"/>
          <w:pgMar w:top="720" w:right="720" w:bottom="720" w:left="720" w:header="851" w:footer="992" w:gutter="0"/>
          <w:cols w:space="425" w:num="1"/>
          <w:docGrid w:type="lines" w:linePitch="312" w:charSpace="0"/>
        </w:sectPr>
      </w:pPr>
    </w:p>
    <w:p w14:paraId="4D0FDDCC">
      <w:pPr>
        <w:jc w:val="center"/>
        <w:rPr>
          <w:rFonts w:hint="default"/>
          <w:lang w:val="en-US" w:eastAsia="zh-CN"/>
        </w:rPr>
      </w:pPr>
      <w:r>
        <w:rPr>
          <w:sz w:val="24"/>
        </w:rPr>
        <mc:AlternateContent>
          <mc:Choice Requires="wps">
            <w:drawing>
              <wp:anchor distT="0" distB="0" distL="114300" distR="114300" simplePos="0" relativeHeight="251664384" behindDoc="0" locked="0" layoutInCell="1" allowOverlap="1">
                <wp:simplePos x="0" y="0"/>
                <wp:positionH relativeFrom="column">
                  <wp:posOffset>2980055</wp:posOffset>
                </wp:positionH>
                <wp:positionV relativeFrom="paragraph">
                  <wp:posOffset>1767840</wp:posOffset>
                </wp:positionV>
                <wp:extent cx="1950085" cy="218440"/>
                <wp:effectExtent l="12700" t="12700" r="18415" b="16510"/>
                <wp:wrapNone/>
                <wp:docPr id="70" name="矩形 70"/>
                <wp:cNvGraphicFramePr/>
                <a:graphic xmlns:a="http://schemas.openxmlformats.org/drawingml/2006/main">
                  <a:graphicData uri="http://schemas.microsoft.com/office/word/2010/wordprocessingShape">
                    <wps:wsp>
                      <wps:cNvSpPr/>
                      <wps:spPr>
                        <a:xfrm>
                          <a:off x="3519170" y="2891155"/>
                          <a:ext cx="1950085" cy="218440"/>
                        </a:xfrm>
                        <a:prstGeom prst="rect">
                          <a:avLst/>
                        </a:prstGeom>
                        <a:solidFill>
                          <a:schemeClr val="accent4">
                            <a:lumMod val="60000"/>
                            <a:lumOff val="40000"/>
                          </a:schemeClr>
                        </a:solidFill>
                        <a:ln>
                          <a:solidFill>
                            <a:schemeClr val="accent4">
                              <a:lumMod val="60000"/>
                              <a:lumOff val="40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4.65pt;margin-top:139.2pt;height:17.2pt;width:153.55pt;z-index:251664384;v-text-anchor:middle;mso-width-relative:page;mso-height-relative:page;" fillcolor="#B3A2C7 [1943]" filled="t" stroked="t" coordsize="21600,21600" o:gfxdata="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IVa6RvaAAAACwEA&#10;AA8AAAAAAAAAAQAgAAAAIgAAAGRycy9kb3ducmV2LnhtbFBLAQIUABQAAAAIAIdO4kDYNKD5igIA&#10;AF0FAAAOAAAAAAAAAAEAIAAAACkBAABkcnMvZTJvRG9jLnhtbFBLBQYAAAAABgAGAFkBAAAlBgAA&#10;AAA=&#10;">
                <v:fill on="t" focussize="0,0"/>
                <v:stroke weight="2pt" color="#B3A2C7 [1943]" joinstyle="round"/>
                <v:imagedata o:title=""/>
                <o:lock v:ext="edit" aspectratio="f"/>
              </v:rect>
            </w:pict>
          </mc:Fallback>
        </mc:AlternateContent>
      </w:r>
      <w:r>
        <w:rPr>
          <w:sz w:val="24"/>
        </w:rPr>
        <mc:AlternateContent>
          <mc:Choice Requires="wps">
            <w:drawing>
              <wp:anchor distT="0" distB="0" distL="114300" distR="114300" simplePos="0" relativeHeight="251663360" behindDoc="0" locked="0" layoutInCell="1" allowOverlap="1">
                <wp:simplePos x="0" y="0"/>
                <wp:positionH relativeFrom="column">
                  <wp:posOffset>2628265</wp:posOffset>
                </wp:positionH>
                <wp:positionV relativeFrom="paragraph">
                  <wp:posOffset>3718560</wp:posOffset>
                </wp:positionV>
                <wp:extent cx="2197735" cy="234950"/>
                <wp:effectExtent l="356235" t="4445" r="17780" b="8255"/>
                <wp:wrapNone/>
                <wp:docPr id="113" name="矩形标注 113"/>
                <wp:cNvGraphicFramePr/>
                <a:graphic xmlns:a="http://schemas.openxmlformats.org/drawingml/2006/main">
                  <a:graphicData uri="http://schemas.microsoft.com/office/word/2010/wordprocessingShape">
                    <wps:wsp>
                      <wps:cNvSpPr/>
                      <wps:spPr>
                        <a:xfrm>
                          <a:off x="0" y="0"/>
                          <a:ext cx="2197735" cy="234950"/>
                        </a:xfrm>
                        <a:prstGeom prst="wedgeRectCallout">
                          <a:avLst>
                            <a:gd name="adj1" fmla="val -65995"/>
                            <a:gd name="adj2" fmla="val 47687"/>
                          </a:avLst>
                        </a:prstGeom>
                        <a:solidFill>
                          <a:srgbClr val="FFF691"/>
                        </a:solidFill>
                        <a:ln w="3175">
                          <a:solidFill>
                            <a:schemeClr val="tx1">
                              <a:lumMod val="75000"/>
                              <a:lumOff val="25000"/>
                            </a:schemeClr>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63B8C6D">
                            <w:pPr>
                              <w:ind w:left="0" w:leftChars="0" w:firstLine="0" w:firstLineChars="0"/>
                              <w:jc w:val="both"/>
                              <w:rPr>
                                <w:rFonts w:hint="default" w:eastAsia="宋体"/>
                                <w:color w:val="000000" w:themeColor="text1"/>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龙山县高铁新区污水处理厂入河排污口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06.95pt;margin-top:292.8pt;height:18.5pt;width:173.05pt;z-index:251663360;v-text-anchor:middle;mso-width-relative:page;mso-height-relative:page;" fillcolor="#FFF691" filled="t" stroked="t" coordsize="21600,21600" o:gfxdata="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JTsVObYAAAACwEAAA8A&#10;AAAAAAAAAQAgAAAAIgAAAGRycy9kb3ducmV2LnhtbFBLAQIUABQAAAAIAIdO4kDcsYJNwgIAAIgF&#10;AAAOAAAAAAAAAAEAIAAAACcBAABkcnMvZTJvRG9jLnhtbFBLBQYAAAAABgAGAFkBAABbBgAAAAA=&#10;" adj="-3455,21100">
                <v:fill on="t" focussize="0,0"/>
                <v:stroke weight="0.25pt" color="#404040 [2429]" joinstyle="round"/>
                <v:imagedata o:title=""/>
                <o:lock v:ext="edit" aspectratio="f"/>
                <v:textbox>
                  <w:txbxContent>
                    <w:p w14:paraId="263B8C6D">
                      <w:pPr>
                        <w:ind w:left="0" w:leftChars="0" w:firstLine="0" w:firstLineChars="0"/>
                        <w:jc w:val="both"/>
                        <w:rPr>
                          <w:rFonts w:hint="default" w:eastAsia="宋体"/>
                          <w:color w:val="000000" w:themeColor="text1"/>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龙山县高铁新区污水处理厂入河排污口</w:t>
                      </w:r>
                    </w:p>
                  </w:txbxContent>
                </v:textbox>
              </v:shape>
            </w:pict>
          </mc:Fallback>
        </mc:AlternateContent>
      </w:r>
      <w:r>
        <w:rPr>
          <w:sz w:val="24"/>
        </w:rPr>
        <mc:AlternateContent>
          <mc:Choice Requires="wps">
            <w:drawing>
              <wp:anchor distT="0" distB="0" distL="114300" distR="114300" simplePos="0" relativeHeight="251662336" behindDoc="0" locked="0" layoutInCell="1" allowOverlap="1">
                <wp:simplePos x="0" y="0"/>
                <wp:positionH relativeFrom="column">
                  <wp:posOffset>2170430</wp:posOffset>
                </wp:positionH>
                <wp:positionV relativeFrom="paragraph">
                  <wp:posOffset>3876675</wp:posOffset>
                </wp:positionV>
                <wp:extent cx="109220" cy="114300"/>
                <wp:effectExtent l="12700" t="12700" r="30480" b="25400"/>
                <wp:wrapNone/>
                <wp:docPr id="112" name="椭圆 112"/>
                <wp:cNvGraphicFramePr/>
                <a:graphic xmlns:a="http://schemas.openxmlformats.org/drawingml/2006/main">
                  <a:graphicData uri="http://schemas.microsoft.com/office/word/2010/wordprocessingShape">
                    <wps:wsp>
                      <wps:cNvSpPr/>
                      <wps:spPr>
                        <a:xfrm>
                          <a:off x="0" y="0"/>
                          <a:ext cx="109220" cy="114300"/>
                        </a:xfrm>
                        <a:prstGeom prst="ellipse">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70.9pt;margin-top:305.25pt;height:9pt;width:8.6pt;z-index:251662336;v-text-anchor:middle;mso-width-relative:page;mso-height-relative:page;" fillcolor="#FFFF00" filled="t" stroked="t" coordsize="21600,21600" o:gfxdata="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Utyeg9wAAAALAQAADwAAAAAAAAABACAAAAAiAAAAZHJzL2Rvd25yZXYueG1sUEsBAhQA&#10;FAAAAAgAh07iQBfM4NdgAgAA4wQAAA4AAAAAAAAAAQAgAAAAKwEAAGRycy9lMm9Eb2MueG1sUEsF&#10;BgAAAAAGAAYAWQEAAP0FAAAAAA==&#10;">
                <v:fill on="t" focussize="0,0"/>
                <v:stroke weight="2pt" color="#FFFF00 [2404]" joinstyle="round"/>
                <v:imagedata o:title=""/>
                <o:lock v:ext="edit" aspectratio="f"/>
              </v:shape>
            </w:pict>
          </mc:Fallback>
        </mc:AlternateContent>
      </w:r>
      <w:r>
        <w:rPr>
          <w:rFonts w:hint="default"/>
          <w:lang w:val="en-US" w:eastAsia="zh-CN"/>
        </w:rPr>
        <w:drawing>
          <wp:inline distT="0" distB="0" distL="114300" distR="114300">
            <wp:extent cx="5895340" cy="8857615"/>
            <wp:effectExtent l="0" t="0" r="10160" b="635"/>
            <wp:docPr id="86" name="图片 86" descr="2317980981273415960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2317980981273415960_00"/>
                    <pic:cNvPicPr>
                      <a:picLocks noChangeAspect="1"/>
                    </pic:cNvPicPr>
                  </pic:nvPicPr>
                  <pic:blipFill>
                    <a:blip r:embed="rId78"/>
                    <a:srcRect t="25203" r="53192" b="25065"/>
                    <a:stretch>
                      <a:fillRect/>
                    </a:stretch>
                  </pic:blipFill>
                  <pic:spPr>
                    <a:xfrm>
                      <a:off x="0" y="0"/>
                      <a:ext cx="5895340" cy="8857615"/>
                    </a:xfrm>
                    <a:prstGeom prst="rect">
                      <a:avLst/>
                    </a:prstGeom>
                  </pic:spPr>
                </pic:pic>
              </a:graphicData>
            </a:graphic>
          </wp:inline>
        </w:drawing>
      </w:r>
    </w:p>
    <w:p w14:paraId="09E10FD8">
      <w:pPr>
        <w:jc w:val="center"/>
        <w:rPr>
          <w:rFonts w:hint="eastAsia"/>
          <w:lang w:val="en-US" w:eastAsia="zh-CN"/>
        </w:rPr>
        <w:sectPr>
          <w:pgSz w:w="11906" w:h="16838"/>
          <w:pgMar w:top="720" w:right="720" w:bottom="720" w:left="720" w:header="851" w:footer="992" w:gutter="0"/>
          <w:cols w:space="425" w:num="1"/>
          <w:docGrid w:type="lines" w:linePitch="312" w:charSpace="0"/>
        </w:sectPr>
      </w:pPr>
      <w:r>
        <w:rPr>
          <w:rFonts w:hint="eastAsia"/>
          <w:lang w:val="en-US" w:eastAsia="zh-CN"/>
        </w:rPr>
        <w:t>附图11 项目水功能区划图</w:t>
      </w:r>
    </w:p>
    <w:p w14:paraId="085BD6B0">
      <w:pPr>
        <w:jc w:val="center"/>
        <w:rPr>
          <w:rFonts w:hint="default" w:eastAsiaTheme="minorEastAsia"/>
          <w:lang w:val="en-US" w:eastAsia="zh-CN"/>
        </w:rPr>
      </w:pPr>
      <w:r>
        <w:rPr>
          <w:rFonts w:hint="default" w:eastAsiaTheme="minorEastAsia"/>
          <w:lang w:val="en-US" w:eastAsia="zh-CN"/>
        </w:rPr>
        <w:drawing>
          <wp:inline distT="0" distB="0" distL="114300" distR="114300">
            <wp:extent cx="9773285" cy="5497195"/>
            <wp:effectExtent l="0" t="0" r="18415" b="8255"/>
            <wp:docPr id="71" name="图片 71" descr="93117a3226c52ddfaee254a8e9e6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93117a3226c52ddfaee254a8e9e6503"/>
                    <pic:cNvPicPr>
                      <a:picLocks noChangeAspect="1"/>
                    </pic:cNvPicPr>
                  </pic:nvPicPr>
                  <pic:blipFill>
                    <a:blip r:embed="rId79"/>
                    <a:stretch>
                      <a:fillRect/>
                    </a:stretch>
                  </pic:blipFill>
                  <pic:spPr>
                    <a:xfrm>
                      <a:off x="0" y="0"/>
                      <a:ext cx="9773285" cy="5497195"/>
                    </a:xfrm>
                    <a:prstGeom prst="rect">
                      <a:avLst/>
                    </a:prstGeom>
                  </pic:spPr>
                </pic:pic>
              </a:graphicData>
            </a:graphic>
          </wp:inline>
        </w:drawing>
      </w:r>
      <w:r>
        <w:rPr>
          <w:rFonts w:hint="default" w:eastAsiaTheme="minorEastAsia"/>
          <w:lang w:val="en-US" w:eastAsia="zh-CN"/>
        </w:rPr>
        <w:t>附图12 项目三区三线查询截图</w:t>
      </w:r>
      <w:r>
        <w:rPr>
          <w:rFonts w:hint="default" w:eastAsiaTheme="minorEastAsia"/>
          <w:lang w:val="en-US" w:eastAsia="zh-CN"/>
        </w:rPr>
        <w:drawing>
          <wp:inline distT="0" distB="0" distL="114300" distR="114300">
            <wp:extent cx="8437880" cy="5965825"/>
            <wp:effectExtent l="0" t="0" r="1270" b="15875"/>
            <wp:docPr id="72" name="图片 72" descr="管网铺设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管网铺设图"/>
                    <pic:cNvPicPr>
                      <a:picLocks noChangeAspect="1"/>
                    </pic:cNvPicPr>
                  </pic:nvPicPr>
                  <pic:blipFill>
                    <a:blip r:embed="rId80"/>
                    <a:stretch>
                      <a:fillRect/>
                    </a:stretch>
                  </pic:blipFill>
                  <pic:spPr>
                    <a:xfrm>
                      <a:off x="0" y="0"/>
                      <a:ext cx="8437880" cy="5965825"/>
                    </a:xfrm>
                    <a:prstGeom prst="rect">
                      <a:avLst/>
                    </a:prstGeom>
                  </pic:spPr>
                </pic:pic>
              </a:graphicData>
            </a:graphic>
          </wp:inline>
        </w:drawing>
      </w:r>
    </w:p>
    <w:p w14:paraId="6E4076AC">
      <w:pPr>
        <w:jc w:val="center"/>
        <w:rPr>
          <w:rFonts w:hint="eastAsia"/>
          <w:lang w:val="en-US" w:eastAsia="zh-CN"/>
        </w:rPr>
      </w:pPr>
      <w:r>
        <w:rPr>
          <w:rFonts w:hint="eastAsia"/>
          <w:lang w:val="en-US" w:eastAsia="zh-CN"/>
        </w:rPr>
        <w:t>附图13 项目管网铺设图</w:t>
      </w:r>
    </w:p>
    <w:p w14:paraId="0EC60DAE">
      <w:pPr>
        <w:jc w:val="center"/>
        <w:rPr>
          <w:rFonts w:hint="eastAsia"/>
          <w:lang w:val="en-US" w:eastAsia="zh-CN"/>
        </w:rPr>
        <w:sectPr>
          <w:pgSz w:w="16838" w:h="11906" w:orient="landscape"/>
          <w:pgMar w:top="720" w:right="720" w:bottom="720" w:left="720" w:header="851" w:footer="992" w:gutter="0"/>
          <w:cols w:space="425" w:num="1"/>
          <w:docGrid w:type="lines" w:linePitch="312" w:charSpace="0"/>
        </w:sectPr>
      </w:pPr>
    </w:p>
    <w:p w14:paraId="0757B041">
      <w:pPr>
        <w:jc w:val="center"/>
        <w:rPr>
          <w:rFonts w:hint="default" w:eastAsiaTheme="minorEastAsia"/>
          <w:lang w:val="en-US" w:eastAsia="zh-CN"/>
        </w:rPr>
      </w:pPr>
      <w:r>
        <w:rPr>
          <w:rFonts w:hint="default" w:eastAsiaTheme="minorEastAsia"/>
          <w:lang w:val="en-US" w:eastAsia="zh-CN"/>
        </w:rPr>
        <w:drawing>
          <wp:inline distT="0" distB="0" distL="114300" distR="114300">
            <wp:extent cx="8504555" cy="5385435"/>
            <wp:effectExtent l="0" t="0" r="10795" b="5715"/>
            <wp:docPr id="73" name="图片 73" descr="论证范围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论证范围图"/>
                    <pic:cNvPicPr>
                      <a:picLocks noChangeAspect="1"/>
                    </pic:cNvPicPr>
                  </pic:nvPicPr>
                  <pic:blipFill>
                    <a:blip r:embed="rId81"/>
                    <a:stretch>
                      <a:fillRect/>
                    </a:stretch>
                  </pic:blipFill>
                  <pic:spPr>
                    <a:xfrm>
                      <a:off x="0" y="0"/>
                      <a:ext cx="8504555" cy="5385435"/>
                    </a:xfrm>
                    <a:prstGeom prst="rect">
                      <a:avLst/>
                    </a:prstGeom>
                  </pic:spPr>
                </pic:pic>
              </a:graphicData>
            </a:graphic>
          </wp:inline>
        </w:drawing>
      </w:r>
    </w:p>
    <w:p w14:paraId="1493CAA2">
      <w:pPr>
        <w:jc w:val="center"/>
        <w:rPr>
          <w:rFonts w:hint="default" w:eastAsiaTheme="minorEastAsia"/>
          <w:lang w:val="en-US" w:eastAsia="zh-CN"/>
        </w:rPr>
      </w:pPr>
      <w:r>
        <w:rPr>
          <w:rFonts w:hint="eastAsia"/>
          <w:lang w:val="en-US" w:eastAsia="zh-CN"/>
        </w:rPr>
        <w:t>附图14  项目论证范围图</w:t>
      </w:r>
    </w:p>
    <w:sectPr>
      <w:footerReference r:id="rId7" w:type="default"/>
      <w:pgSz w:w="16838" w:h="11906" w:orient="landscape"/>
      <w:pgMar w:top="1417" w:right="1440" w:bottom="1417" w:left="1440" w:header="851" w:footer="850" w:gutter="0"/>
      <w:pgBorders>
        <w:top w:val="none" w:sz="0" w:space="0"/>
        <w:left w:val="none" w:sz="0" w:space="0"/>
        <w:bottom w:val="none" w:sz="0" w:space="0"/>
        <w:right w:val="none" w:sz="0" w:space="0"/>
      </w:pgBorders>
      <w:pgNumType w:fmt="decimal"/>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A00002EF" w:usb1="4000004B" w:usb2="00000000" w:usb3="00000000" w:csb0="2000019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Impact">
    <w:panose1 w:val="020B0806030902050204"/>
    <w:charset w:val="00"/>
    <w:family w:val="swiss"/>
    <w:pitch w:val="default"/>
    <w:sig w:usb0="00000287" w:usb1="00000000" w:usb2="00000000" w:usb3="00000000" w:csb0="2000009F" w:csb1="DFD7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等线">
    <w:altName w:val="微软雅黑"/>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80F3C52" w:usb2="00000016" w:usb3="00000000" w:csb0="0004001F" w:csb1="00000000"/>
  </w:font>
  <w:font w:name="PMingLiU">
    <w:panose1 w:val="02020500000000000000"/>
    <w:charset w:val="88"/>
    <w:family w:val="roman"/>
    <w:pitch w:val="default"/>
    <w:sig w:usb0="A00002FF" w:usb1="28CFFCFA" w:usb2="00000016" w:usb3="00000000" w:csb0="00100001" w:csb1="00000000"/>
  </w:font>
  <w:font w:name="TimesNewRoman">
    <w:altName w:val="Times New Roman"/>
    <w:panose1 w:val="00000000000000000000"/>
    <w:charset w:val="00"/>
    <w:family w:val="roman"/>
    <w:pitch w:val="default"/>
    <w:sig w:usb0="00000000" w:usb1="00000000" w:usb2="00000000" w:usb3="00000000" w:csb0="00040001" w:csb1="00000000"/>
  </w:font>
  <w:font w:name="方正小标宋_GBK">
    <w:altName w:val="微软雅黑"/>
    <w:panose1 w:val="02000000000000000000"/>
    <w:charset w:val="86"/>
    <w:family w:val="script"/>
    <w:pitch w:val="default"/>
    <w:sig w:usb0="00000000" w:usb1="00000000" w:usb2="00082016" w:usb3="00000000" w:csb0="00040001" w:csb1="00000000"/>
  </w:font>
  <w:font w:name="宋">
    <w:altName w:val="宋体"/>
    <w:panose1 w:val="00000000000000000000"/>
    <w:charset w:val="86"/>
    <w:family w:val="roman"/>
    <w:pitch w:val="default"/>
    <w:sig w:usb0="00000000" w:usb1="00000000" w:usb2="00000000" w:usb3="00000000" w:csb0="00040001" w:csb1="00000000"/>
  </w:font>
  <w:font w:name="新宋体">
    <w:panose1 w:val="02010609030101010101"/>
    <w:charset w:val="86"/>
    <w:family w:val="auto"/>
    <w:pitch w:val="default"/>
    <w:sig w:usb0="00000003" w:usb1="288F0000" w:usb2="00000006"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EF54D8">
    <w:pPr>
      <w:pStyle w:val="19"/>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31A1BA">
    <w:pPr>
      <w:pStyle w:val="1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2020A4">
    <w:pPr>
      <w:pStyle w:val="19"/>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308610" cy="182245"/>
              <wp:effectExtent l="0" t="0" r="0" b="0"/>
              <wp:wrapNone/>
              <wp:docPr id="32" name="文本框 2050"/>
              <wp:cNvGraphicFramePr/>
              <a:graphic xmlns:a="http://schemas.openxmlformats.org/drawingml/2006/main">
                <a:graphicData uri="http://schemas.microsoft.com/office/word/2010/wordprocessingShape">
                  <wps:wsp>
                    <wps:cNvSpPr txBox="1"/>
                    <wps:spPr>
                      <a:xfrm>
                        <a:off x="0" y="0"/>
                        <a:ext cx="308610" cy="182245"/>
                      </a:xfrm>
                      <a:prstGeom prst="rect">
                        <a:avLst/>
                      </a:prstGeom>
                      <a:noFill/>
                      <a:ln>
                        <a:noFill/>
                      </a:ln>
                    </wps:spPr>
                    <wps:txbx>
                      <w:txbxContent>
                        <w:p w14:paraId="48606DDA">
                          <w:pPr>
                            <w:pStyle w:val="19"/>
                          </w:pPr>
                          <w:r>
                            <w:fldChar w:fldCharType="begin"/>
                          </w:r>
                          <w:r>
                            <w:instrText xml:space="preserve"> PAGE  \* MERGEFORMAT </w:instrText>
                          </w:r>
                          <w:r>
                            <w:fldChar w:fldCharType="separate"/>
                          </w:r>
                          <w:r>
                            <w:t>1</w:t>
                          </w:r>
                          <w:r>
                            <w:fldChar w:fldCharType="end"/>
                          </w:r>
                        </w:p>
                      </w:txbxContent>
                    </wps:txbx>
                    <wps:bodyPr wrap="square" lIns="0" tIns="0" rIns="0" bIns="0" upright="0"/>
                  </wps:wsp>
                </a:graphicData>
              </a:graphic>
            </wp:anchor>
          </w:drawing>
        </mc:Choice>
        <mc:Fallback>
          <w:pict>
            <v:shape id="文本框 2050" o:spid="_x0000_s1026" o:spt="202" type="#_x0000_t202" style="position:absolute;left:0pt;margin-top:0pt;height:14.35pt;width:24.3pt;mso-position-horizontal:center;mso-position-horizontal-relative:margin;z-index:251660288;mso-width-relative:page;mso-height-relative:page;" filled="f" stroked="f" coordsize="21600,21600" o:gfxdata="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KKSr49QAAAADAQAADwAAAAAAAAABACAAAAAiAAAAZHJzL2Rvd25yZXYu&#10;eG1sUEsBAhQAFAAAAAgAh07iQFp40FbGAQAAgwMAAA4AAAAAAAAAAQAgAAAAIwEAAGRycy9lMm9E&#10;b2MueG1sUEsFBgAAAAAGAAYAWQEAAFsFAAAAAA==&#10;">
              <v:fill on="f" focussize="0,0"/>
              <v:stroke on="f"/>
              <v:imagedata o:title=""/>
              <o:lock v:ext="edit" aspectratio="f"/>
              <v:textbox inset="0mm,0mm,0mm,0mm">
                <w:txbxContent>
                  <w:p w14:paraId="48606DDA">
                    <w:pPr>
                      <w:pStyle w:val="19"/>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784E04">
    <w:pPr>
      <w:pStyle w:val="19"/>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2" name="文本框 20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E83CC47">
                          <w:pPr>
                            <w:pStyle w:val="19"/>
                          </w:pPr>
                          <w:r>
                            <w:fldChar w:fldCharType="begin"/>
                          </w:r>
                          <w:r>
                            <w:instrText xml:space="preserve"> PAGE  \* MERGEFORMAT </w:instrText>
                          </w:r>
                          <w:r>
                            <w:fldChar w:fldCharType="separate"/>
                          </w:r>
                          <w:r>
                            <w:t>54</w:t>
                          </w:r>
                          <w:r>
                            <w:fldChar w:fldCharType="end"/>
                          </w:r>
                        </w:p>
                      </w:txbxContent>
                    </wps:txbx>
                    <wps:bodyPr wrap="none" lIns="0" tIns="0" rIns="0" bIns="0" upright="0">
                      <a:spAutoFit/>
                    </wps:bodyPr>
                  </wps:wsp>
                </a:graphicData>
              </a:graphic>
            </wp:anchor>
          </w:drawing>
        </mc:Choice>
        <mc:Fallback>
          <w:pict>
            <v:shape id="文本框 2052"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C59NC9zAEAAJ0DAAAOAAAAAAAAAAEAIAAAAB4BAABkcnMvZTJv&#10;RG9jLnhtbFBLBQYAAAAABgAGAFkBAABcBQAAAAA=&#10;">
              <v:fill on="f" focussize="0,0"/>
              <v:stroke on="f"/>
              <v:imagedata o:title=""/>
              <o:lock v:ext="edit" aspectratio="f"/>
              <v:textbox inset="0mm,0mm,0mm,0mm" style="mso-fit-shape-to-text:t;">
                <w:txbxContent>
                  <w:p w14:paraId="0E83CC47">
                    <w:pPr>
                      <w:pStyle w:val="19"/>
                    </w:pPr>
                    <w:r>
                      <w:fldChar w:fldCharType="begin"/>
                    </w:r>
                    <w:r>
                      <w:instrText xml:space="preserve"> PAGE  \* MERGEFORMAT </w:instrText>
                    </w:r>
                    <w:r>
                      <w:fldChar w:fldCharType="separate"/>
                    </w:r>
                    <w:r>
                      <w:t>54</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1D7860">
    <w:pPr>
      <w:pStyle w:val="19"/>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AB15AB"/>
    <w:multiLevelType w:val="singleLevel"/>
    <w:tmpl w:val="90AB15AB"/>
    <w:lvl w:ilvl="0" w:tentative="0">
      <w:start w:val="1"/>
      <w:numFmt w:val="decimal"/>
      <w:suff w:val="nothing"/>
      <w:lvlText w:val="（%1）"/>
      <w:lvlJc w:val="left"/>
    </w:lvl>
  </w:abstractNum>
  <w:abstractNum w:abstractNumId="1">
    <w:nsid w:val="A7E66F62"/>
    <w:multiLevelType w:val="singleLevel"/>
    <w:tmpl w:val="A7E66F62"/>
    <w:lvl w:ilvl="0" w:tentative="0">
      <w:start w:val="1"/>
      <w:numFmt w:val="decimal"/>
      <w:suff w:val="nothing"/>
      <w:lvlText w:val="（%1）"/>
      <w:lvlJc w:val="left"/>
    </w:lvl>
  </w:abstractNum>
  <w:abstractNum w:abstractNumId="2">
    <w:nsid w:val="E71E62C4"/>
    <w:multiLevelType w:val="singleLevel"/>
    <w:tmpl w:val="E71E62C4"/>
    <w:lvl w:ilvl="0" w:tentative="0">
      <w:start w:val="2"/>
      <w:numFmt w:val="decimal"/>
      <w:suff w:val="nothing"/>
      <w:lvlText w:val="（%1）"/>
      <w:lvlJc w:val="left"/>
    </w:lvl>
  </w:abstractNum>
  <w:abstractNum w:abstractNumId="3">
    <w:nsid w:val="0F58A63A"/>
    <w:multiLevelType w:val="singleLevel"/>
    <w:tmpl w:val="0F58A63A"/>
    <w:lvl w:ilvl="0" w:tentative="0">
      <w:start w:val="1"/>
      <w:numFmt w:val="chineseCounting"/>
      <w:suff w:val="nothing"/>
      <w:lvlText w:val="%1、"/>
      <w:lvlJc w:val="left"/>
      <w:rPr>
        <w:rFonts w:hint="eastAsia"/>
      </w:rPr>
    </w:lvl>
  </w:abstractNum>
  <w:abstractNum w:abstractNumId="4">
    <w:nsid w:val="29344E14"/>
    <w:multiLevelType w:val="singleLevel"/>
    <w:tmpl w:val="29344E14"/>
    <w:lvl w:ilvl="0" w:tentative="0">
      <w:start w:val="1"/>
      <w:numFmt w:val="decimal"/>
      <w:suff w:val="nothing"/>
      <w:lvlText w:val="%1、"/>
      <w:lvlJc w:val="left"/>
    </w:lvl>
  </w:abstractNum>
  <w:abstractNum w:abstractNumId="5">
    <w:nsid w:val="66866CAD"/>
    <w:multiLevelType w:val="singleLevel"/>
    <w:tmpl w:val="66866CAD"/>
    <w:lvl w:ilvl="0" w:tentative="0">
      <w:start w:val="1"/>
      <w:numFmt w:val="decimal"/>
      <w:suff w:val="nothing"/>
      <w:lvlText w:val="（%1）"/>
      <w:lvlJc w:val="left"/>
    </w:lvl>
  </w:abstractNum>
  <w:num w:numId="1">
    <w:abstractNumId w:val="4"/>
  </w:num>
  <w:num w:numId="2">
    <w:abstractNumId w:val="2"/>
  </w:num>
  <w:num w:numId="3">
    <w:abstractNumId w:val="3"/>
  </w:num>
  <w:num w:numId="4">
    <w:abstractNumId w:val="1"/>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HorizontalSpacing w:val="210"/>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U4MjA5M2NjOGUzMmRhZTQwZDdiODI4ZTBlMzc4ZmYifQ=="/>
  </w:docVars>
  <w:rsids>
    <w:rsidRoot w:val="00A14947"/>
    <w:rsid w:val="00003CC3"/>
    <w:rsid w:val="000060B3"/>
    <w:rsid w:val="0001161E"/>
    <w:rsid w:val="00012AAB"/>
    <w:rsid w:val="00023155"/>
    <w:rsid w:val="000259D7"/>
    <w:rsid w:val="00032D6A"/>
    <w:rsid w:val="00035B76"/>
    <w:rsid w:val="0004364B"/>
    <w:rsid w:val="00043A6A"/>
    <w:rsid w:val="00045AA3"/>
    <w:rsid w:val="00056AC9"/>
    <w:rsid w:val="000603EE"/>
    <w:rsid w:val="000617D9"/>
    <w:rsid w:val="00061B1F"/>
    <w:rsid w:val="00061B3E"/>
    <w:rsid w:val="000711B4"/>
    <w:rsid w:val="000733C4"/>
    <w:rsid w:val="00073DDA"/>
    <w:rsid w:val="00074783"/>
    <w:rsid w:val="00075593"/>
    <w:rsid w:val="000765B3"/>
    <w:rsid w:val="0008070B"/>
    <w:rsid w:val="000810AC"/>
    <w:rsid w:val="00081A02"/>
    <w:rsid w:val="00082231"/>
    <w:rsid w:val="00092443"/>
    <w:rsid w:val="00092D38"/>
    <w:rsid w:val="0009377B"/>
    <w:rsid w:val="00094404"/>
    <w:rsid w:val="000978C0"/>
    <w:rsid w:val="000A20C9"/>
    <w:rsid w:val="000B058F"/>
    <w:rsid w:val="000B2DD9"/>
    <w:rsid w:val="000B4467"/>
    <w:rsid w:val="000B4DB9"/>
    <w:rsid w:val="000C09AC"/>
    <w:rsid w:val="000C3560"/>
    <w:rsid w:val="000C75D7"/>
    <w:rsid w:val="000C767F"/>
    <w:rsid w:val="000D5A44"/>
    <w:rsid w:val="000E01B2"/>
    <w:rsid w:val="000E3ED2"/>
    <w:rsid w:val="00105214"/>
    <w:rsid w:val="00110099"/>
    <w:rsid w:val="001216D3"/>
    <w:rsid w:val="00131F42"/>
    <w:rsid w:val="001357F1"/>
    <w:rsid w:val="00140FA8"/>
    <w:rsid w:val="0014228B"/>
    <w:rsid w:val="00142FEB"/>
    <w:rsid w:val="00143A2D"/>
    <w:rsid w:val="00145A41"/>
    <w:rsid w:val="00151647"/>
    <w:rsid w:val="00151675"/>
    <w:rsid w:val="00151860"/>
    <w:rsid w:val="0015203A"/>
    <w:rsid w:val="00157435"/>
    <w:rsid w:val="00163D41"/>
    <w:rsid w:val="00166099"/>
    <w:rsid w:val="00173D1C"/>
    <w:rsid w:val="0017504D"/>
    <w:rsid w:val="0017593C"/>
    <w:rsid w:val="0017671A"/>
    <w:rsid w:val="00177422"/>
    <w:rsid w:val="00184590"/>
    <w:rsid w:val="001870D1"/>
    <w:rsid w:val="0018781E"/>
    <w:rsid w:val="0019262D"/>
    <w:rsid w:val="001947ED"/>
    <w:rsid w:val="001A1B35"/>
    <w:rsid w:val="001A4045"/>
    <w:rsid w:val="001A4485"/>
    <w:rsid w:val="001A48A2"/>
    <w:rsid w:val="001A6F61"/>
    <w:rsid w:val="001B5919"/>
    <w:rsid w:val="001B72B8"/>
    <w:rsid w:val="001C2503"/>
    <w:rsid w:val="001C69B3"/>
    <w:rsid w:val="001D0519"/>
    <w:rsid w:val="001D5595"/>
    <w:rsid w:val="001D762F"/>
    <w:rsid w:val="001D7874"/>
    <w:rsid w:val="001D7F22"/>
    <w:rsid w:val="001E0DF6"/>
    <w:rsid w:val="001F0F17"/>
    <w:rsid w:val="001F3347"/>
    <w:rsid w:val="001F69E4"/>
    <w:rsid w:val="00202D03"/>
    <w:rsid w:val="00205421"/>
    <w:rsid w:val="002125B4"/>
    <w:rsid w:val="002155B8"/>
    <w:rsid w:val="00222716"/>
    <w:rsid w:val="00223BDB"/>
    <w:rsid w:val="00224839"/>
    <w:rsid w:val="002249B2"/>
    <w:rsid w:val="00226574"/>
    <w:rsid w:val="002278EC"/>
    <w:rsid w:val="00231096"/>
    <w:rsid w:val="00232423"/>
    <w:rsid w:val="0023244A"/>
    <w:rsid w:val="0023280E"/>
    <w:rsid w:val="002377D1"/>
    <w:rsid w:val="002466EA"/>
    <w:rsid w:val="002506BC"/>
    <w:rsid w:val="00254345"/>
    <w:rsid w:val="00254BBB"/>
    <w:rsid w:val="002622E9"/>
    <w:rsid w:val="00264557"/>
    <w:rsid w:val="0026550A"/>
    <w:rsid w:val="002764E3"/>
    <w:rsid w:val="00276D44"/>
    <w:rsid w:val="002805AB"/>
    <w:rsid w:val="00281983"/>
    <w:rsid w:val="00284204"/>
    <w:rsid w:val="00291773"/>
    <w:rsid w:val="002A168C"/>
    <w:rsid w:val="002A3DC7"/>
    <w:rsid w:val="002B25C4"/>
    <w:rsid w:val="002B49E2"/>
    <w:rsid w:val="002B6D38"/>
    <w:rsid w:val="002B7B00"/>
    <w:rsid w:val="002B7C44"/>
    <w:rsid w:val="002C2B17"/>
    <w:rsid w:val="002C4E7E"/>
    <w:rsid w:val="002C5725"/>
    <w:rsid w:val="002C76C2"/>
    <w:rsid w:val="002D3DD0"/>
    <w:rsid w:val="002D7B2B"/>
    <w:rsid w:val="002E1F3A"/>
    <w:rsid w:val="002E298A"/>
    <w:rsid w:val="002E307A"/>
    <w:rsid w:val="00301978"/>
    <w:rsid w:val="0030332C"/>
    <w:rsid w:val="003051C2"/>
    <w:rsid w:val="00307D6A"/>
    <w:rsid w:val="00312296"/>
    <w:rsid w:val="00314F0E"/>
    <w:rsid w:val="003160DB"/>
    <w:rsid w:val="00317D6D"/>
    <w:rsid w:val="003202CB"/>
    <w:rsid w:val="00321D8E"/>
    <w:rsid w:val="00325928"/>
    <w:rsid w:val="003300BD"/>
    <w:rsid w:val="00332863"/>
    <w:rsid w:val="0033516B"/>
    <w:rsid w:val="0033684D"/>
    <w:rsid w:val="00337B42"/>
    <w:rsid w:val="00341B42"/>
    <w:rsid w:val="0034348F"/>
    <w:rsid w:val="0034373D"/>
    <w:rsid w:val="00346582"/>
    <w:rsid w:val="00347492"/>
    <w:rsid w:val="003476FF"/>
    <w:rsid w:val="00356653"/>
    <w:rsid w:val="00356A89"/>
    <w:rsid w:val="0035743F"/>
    <w:rsid w:val="00357BE2"/>
    <w:rsid w:val="0036170C"/>
    <w:rsid w:val="0036336C"/>
    <w:rsid w:val="00366E0F"/>
    <w:rsid w:val="0036701F"/>
    <w:rsid w:val="003802A1"/>
    <w:rsid w:val="003819F2"/>
    <w:rsid w:val="00381A72"/>
    <w:rsid w:val="00384676"/>
    <w:rsid w:val="00390857"/>
    <w:rsid w:val="00390E85"/>
    <w:rsid w:val="00394342"/>
    <w:rsid w:val="00394E33"/>
    <w:rsid w:val="003969EB"/>
    <w:rsid w:val="003978A2"/>
    <w:rsid w:val="00397AB2"/>
    <w:rsid w:val="003A333D"/>
    <w:rsid w:val="003A4BF3"/>
    <w:rsid w:val="003A5068"/>
    <w:rsid w:val="003B4035"/>
    <w:rsid w:val="003B420D"/>
    <w:rsid w:val="003B6297"/>
    <w:rsid w:val="003C0596"/>
    <w:rsid w:val="003C130C"/>
    <w:rsid w:val="003C2DE3"/>
    <w:rsid w:val="003C57C6"/>
    <w:rsid w:val="003C6C16"/>
    <w:rsid w:val="003D3572"/>
    <w:rsid w:val="003D69EC"/>
    <w:rsid w:val="003D794D"/>
    <w:rsid w:val="003E3058"/>
    <w:rsid w:val="003E76A9"/>
    <w:rsid w:val="003F0809"/>
    <w:rsid w:val="003F6A8C"/>
    <w:rsid w:val="003F755C"/>
    <w:rsid w:val="004005D1"/>
    <w:rsid w:val="00406F01"/>
    <w:rsid w:val="0040741A"/>
    <w:rsid w:val="00416D50"/>
    <w:rsid w:val="00416FD5"/>
    <w:rsid w:val="0041774B"/>
    <w:rsid w:val="00417772"/>
    <w:rsid w:val="00420E6A"/>
    <w:rsid w:val="004244B6"/>
    <w:rsid w:val="00425A9E"/>
    <w:rsid w:val="00425EF2"/>
    <w:rsid w:val="00426D6B"/>
    <w:rsid w:val="00431E6C"/>
    <w:rsid w:val="00433CE7"/>
    <w:rsid w:val="004358B1"/>
    <w:rsid w:val="004419E6"/>
    <w:rsid w:val="00443D11"/>
    <w:rsid w:val="00447362"/>
    <w:rsid w:val="00452738"/>
    <w:rsid w:val="00453F39"/>
    <w:rsid w:val="00456091"/>
    <w:rsid w:val="00463592"/>
    <w:rsid w:val="00466321"/>
    <w:rsid w:val="004747C1"/>
    <w:rsid w:val="004822C8"/>
    <w:rsid w:val="00484B9B"/>
    <w:rsid w:val="004855F6"/>
    <w:rsid w:val="0048661E"/>
    <w:rsid w:val="00492250"/>
    <w:rsid w:val="004928DA"/>
    <w:rsid w:val="00494670"/>
    <w:rsid w:val="00496187"/>
    <w:rsid w:val="004979BA"/>
    <w:rsid w:val="004A0818"/>
    <w:rsid w:val="004A3823"/>
    <w:rsid w:val="004A50ED"/>
    <w:rsid w:val="004A7E5C"/>
    <w:rsid w:val="004B1043"/>
    <w:rsid w:val="004B3CBB"/>
    <w:rsid w:val="004B53F3"/>
    <w:rsid w:val="004B67DA"/>
    <w:rsid w:val="004C4ED5"/>
    <w:rsid w:val="004D299C"/>
    <w:rsid w:val="004E6946"/>
    <w:rsid w:val="004E70DB"/>
    <w:rsid w:val="004F1AD8"/>
    <w:rsid w:val="004F57C5"/>
    <w:rsid w:val="00501E79"/>
    <w:rsid w:val="00502DA1"/>
    <w:rsid w:val="005039CB"/>
    <w:rsid w:val="0050558F"/>
    <w:rsid w:val="00506286"/>
    <w:rsid w:val="00506E86"/>
    <w:rsid w:val="00510813"/>
    <w:rsid w:val="00511990"/>
    <w:rsid w:val="00511DE0"/>
    <w:rsid w:val="00514870"/>
    <w:rsid w:val="00514B9B"/>
    <w:rsid w:val="00515206"/>
    <w:rsid w:val="00517F02"/>
    <w:rsid w:val="00522FF9"/>
    <w:rsid w:val="00524303"/>
    <w:rsid w:val="005258A2"/>
    <w:rsid w:val="00532803"/>
    <w:rsid w:val="00535150"/>
    <w:rsid w:val="00536B9F"/>
    <w:rsid w:val="005401AE"/>
    <w:rsid w:val="00542E07"/>
    <w:rsid w:val="00545424"/>
    <w:rsid w:val="00554A7B"/>
    <w:rsid w:val="0055572C"/>
    <w:rsid w:val="0055592A"/>
    <w:rsid w:val="0056106A"/>
    <w:rsid w:val="005705BF"/>
    <w:rsid w:val="005720AE"/>
    <w:rsid w:val="005771C8"/>
    <w:rsid w:val="00581699"/>
    <w:rsid w:val="00581C7D"/>
    <w:rsid w:val="005921C4"/>
    <w:rsid w:val="00593AE3"/>
    <w:rsid w:val="00594D77"/>
    <w:rsid w:val="005969E4"/>
    <w:rsid w:val="005A06B7"/>
    <w:rsid w:val="005A1759"/>
    <w:rsid w:val="005A68A7"/>
    <w:rsid w:val="005B2A5B"/>
    <w:rsid w:val="005C06AB"/>
    <w:rsid w:val="005C07F9"/>
    <w:rsid w:val="005C4DE6"/>
    <w:rsid w:val="005D0D2D"/>
    <w:rsid w:val="005D36AB"/>
    <w:rsid w:val="005D4ACC"/>
    <w:rsid w:val="005E5852"/>
    <w:rsid w:val="005E5984"/>
    <w:rsid w:val="005E7FC3"/>
    <w:rsid w:val="005F2229"/>
    <w:rsid w:val="005F4EE3"/>
    <w:rsid w:val="00603031"/>
    <w:rsid w:val="00617CC3"/>
    <w:rsid w:val="00624D99"/>
    <w:rsid w:val="006377A6"/>
    <w:rsid w:val="00637A3D"/>
    <w:rsid w:val="00637FCF"/>
    <w:rsid w:val="00640D30"/>
    <w:rsid w:val="006411EF"/>
    <w:rsid w:val="00647918"/>
    <w:rsid w:val="00655D5A"/>
    <w:rsid w:val="00657BFB"/>
    <w:rsid w:val="006748B8"/>
    <w:rsid w:val="006775C3"/>
    <w:rsid w:val="00690FF7"/>
    <w:rsid w:val="0069290A"/>
    <w:rsid w:val="0069775A"/>
    <w:rsid w:val="00697813"/>
    <w:rsid w:val="006A15B0"/>
    <w:rsid w:val="006A3DB1"/>
    <w:rsid w:val="006A3EE8"/>
    <w:rsid w:val="006A6163"/>
    <w:rsid w:val="006A72BF"/>
    <w:rsid w:val="006A73A2"/>
    <w:rsid w:val="006B03F2"/>
    <w:rsid w:val="006B37DC"/>
    <w:rsid w:val="006B4ED5"/>
    <w:rsid w:val="006B4F68"/>
    <w:rsid w:val="006C049A"/>
    <w:rsid w:val="006C0592"/>
    <w:rsid w:val="006C1D2E"/>
    <w:rsid w:val="006C272E"/>
    <w:rsid w:val="006C5479"/>
    <w:rsid w:val="006C614D"/>
    <w:rsid w:val="006D13B5"/>
    <w:rsid w:val="006D562E"/>
    <w:rsid w:val="006E12FF"/>
    <w:rsid w:val="006E2EB8"/>
    <w:rsid w:val="006E607E"/>
    <w:rsid w:val="006E702F"/>
    <w:rsid w:val="006F19C2"/>
    <w:rsid w:val="00702A22"/>
    <w:rsid w:val="00704471"/>
    <w:rsid w:val="00706C5D"/>
    <w:rsid w:val="00713458"/>
    <w:rsid w:val="00714633"/>
    <w:rsid w:val="0072423D"/>
    <w:rsid w:val="00732228"/>
    <w:rsid w:val="00732922"/>
    <w:rsid w:val="007360E9"/>
    <w:rsid w:val="007374AB"/>
    <w:rsid w:val="007430C5"/>
    <w:rsid w:val="0075162E"/>
    <w:rsid w:val="00754034"/>
    <w:rsid w:val="00755BA3"/>
    <w:rsid w:val="00756556"/>
    <w:rsid w:val="0075684A"/>
    <w:rsid w:val="007618C4"/>
    <w:rsid w:val="007633B8"/>
    <w:rsid w:val="00767980"/>
    <w:rsid w:val="00770B19"/>
    <w:rsid w:val="0077463F"/>
    <w:rsid w:val="0078182F"/>
    <w:rsid w:val="00783140"/>
    <w:rsid w:val="007836EA"/>
    <w:rsid w:val="00784CDA"/>
    <w:rsid w:val="00785627"/>
    <w:rsid w:val="00785DB7"/>
    <w:rsid w:val="007906C4"/>
    <w:rsid w:val="007940EA"/>
    <w:rsid w:val="007967E8"/>
    <w:rsid w:val="007975FD"/>
    <w:rsid w:val="007A2170"/>
    <w:rsid w:val="007A22BF"/>
    <w:rsid w:val="007A327C"/>
    <w:rsid w:val="007A3323"/>
    <w:rsid w:val="007A3DFC"/>
    <w:rsid w:val="007B72B8"/>
    <w:rsid w:val="007B7A58"/>
    <w:rsid w:val="007C21B5"/>
    <w:rsid w:val="007E4BD2"/>
    <w:rsid w:val="00801393"/>
    <w:rsid w:val="00802F88"/>
    <w:rsid w:val="00805BFC"/>
    <w:rsid w:val="0081293E"/>
    <w:rsid w:val="00814ED9"/>
    <w:rsid w:val="00815465"/>
    <w:rsid w:val="00815537"/>
    <w:rsid w:val="00817E9A"/>
    <w:rsid w:val="00827B9A"/>
    <w:rsid w:val="008306BD"/>
    <w:rsid w:val="00831A80"/>
    <w:rsid w:val="00832D50"/>
    <w:rsid w:val="00833743"/>
    <w:rsid w:val="00833C43"/>
    <w:rsid w:val="008340A4"/>
    <w:rsid w:val="00836F8E"/>
    <w:rsid w:val="00837EC4"/>
    <w:rsid w:val="00850696"/>
    <w:rsid w:val="00852A4A"/>
    <w:rsid w:val="00856D21"/>
    <w:rsid w:val="008677C8"/>
    <w:rsid w:val="0087135F"/>
    <w:rsid w:val="00872D94"/>
    <w:rsid w:val="0087400B"/>
    <w:rsid w:val="00880364"/>
    <w:rsid w:val="00891592"/>
    <w:rsid w:val="00891E9E"/>
    <w:rsid w:val="00893036"/>
    <w:rsid w:val="00893F45"/>
    <w:rsid w:val="008A0F3F"/>
    <w:rsid w:val="008A1189"/>
    <w:rsid w:val="008A2F68"/>
    <w:rsid w:val="008A58F6"/>
    <w:rsid w:val="008A73A7"/>
    <w:rsid w:val="008B3078"/>
    <w:rsid w:val="008B30EA"/>
    <w:rsid w:val="008B4FA6"/>
    <w:rsid w:val="008B5282"/>
    <w:rsid w:val="008B7C17"/>
    <w:rsid w:val="008C2D01"/>
    <w:rsid w:val="008C40E6"/>
    <w:rsid w:val="008C5947"/>
    <w:rsid w:val="008C65F0"/>
    <w:rsid w:val="008D0F7A"/>
    <w:rsid w:val="008D1C6A"/>
    <w:rsid w:val="008D4064"/>
    <w:rsid w:val="008D5592"/>
    <w:rsid w:val="008D68E4"/>
    <w:rsid w:val="008E0506"/>
    <w:rsid w:val="008E0AC4"/>
    <w:rsid w:val="008E0CFF"/>
    <w:rsid w:val="008E5D6B"/>
    <w:rsid w:val="008E76F0"/>
    <w:rsid w:val="008F15FE"/>
    <w:rsid w:val="008F2D29"/>
    <w:rsid w:val="008F5187"/>
    <w:rsid w:val="008F60D8"/>
    <w:rsid w:val="008F7FB5"/>
    <w:rsid w:val="009023AD"/>
    <w:rsid w:val="00902727"/>
    <w:rsid w:val="0090312B"/>
    <w:rsid w:val="00904A88"/>
    <w:rsid w:val="00906F9A"/>
    <w:rsid w:val="009127A7"/>
    <w:rsid w:val="0091736D"/>
    <w:rsid w:val="00920FCF"/>
    <w:rsid w:val="0093037A"/>
    <w:rsid w:val="00933F3E"/>
    <w:rsid w:val="00934CD4"/>
    <w:rsid w:val="00937748"/>
    <w:rsid w:val="0094154D"/>
    <w:rsid w:val="0095155F"/>
    <w:rsid w:val="00952DD1"/>
    <w:rsid w:val="00954429"/>
    <w:rsid w:val="009563CE"/>
    <w:rsid w:val="00964722"/>
    <w:rsid w:val="00972D68"/>
    <w:rsid w:val="00976328"/>
    <w:rsid w:val="0097680D"/>
    <w:rsid w:val="00982438"/>
    <w:rsid w:val="0098404C"/>
    <w:rsid w:val="00985283"/>
    <w:rsid w:val="00986D30"/>
    <w:rsid w:val="009877C2"/>
    <w:rsid w:val="00991796"/>
    <w:rsid w:val="00995992"/>
    <w:rsid w:val="009A03E5"/>
    <w:rsid w:val="009A0F3B"/>
    <w:rsid w:val="009A1BB4"/>
    <w:rsid w:val="009A2628"/>
    <w:rsid w:val="009A3200"/>
    <w:rsid w:val="009B0897"/>
    <w:rsid w:val="009B69F9"/>
    <w:rsid w:val="009B7905"/>
    <w:rsid w:val="009B7BD9"/>
    <w:rsid w:val="009C016A"/>
    <w:rsid w:val="009C050F"/>
    <w:rsid w:val="009C5FFD"/>
    <w:rsid w:val="009C63E5"/>
    <w:rsid w:val="009C71F3"/>
    <w:rsid w:val="009C7DD5"/>
    <w:rsid w:val="009D3BAA"/>
    <w:rsid w:val="009E0903"/>
    <w:rsid w:val="009E227D"/>
    <w:rsid w:val="009E5019"/>
    <w:rsid w:val="009F11FC"/>
    <w:rsid w:val="009F3D12"/>
    <w:rsid w:val="009F3DA6"/>
    <w:rsid w:val="009F622C"/>
    <w:rsid w:val="00A01722"/>
    <w:rsid w:val="00A0374E"/>
    <w:rsid w:val="00A04F1B"/>
    <w:rsid w:val="00A0501B"/>
    <w:rsid w:val="00A14947"/>
    <w:rsid w:val="00A1520A"/>
    <w:rsid w:val="00A153CD"/>
    <w:rsid w:val="00A3021F"/>
    <w:rsid w:val="00A318AB"/>
    <w:rsid w:val="00A32A83"/>
    <w:rsid w:val="00A368DB"/>
    <w:rsid w:val="00A37E41"/>
    <w:rsid w:val="00A423AA"/>
    <w:rsid w:val="00A50664"/>
    <w:rsid w:val="00A53EC6"/>
    <w:rsid w:val="00A55C0F"/>
    <w:rsid w:val="00A6291D"/>
    <w:rsid w:val="00A66275"/>
    <w:rsid w:val="00A71064"/>
    <w:rsid w:val="00A8713F"/>
    <w:rsid w:val="00A90BA1"/>
    <w:rsid w:val="00A977AE"/>
    <w:rsid w:val="00A97A9A"/>
    <w:rsid w:val="00AA0671"/>
    <w:rsid w:val="00AA0DC5"/>
    <w:rsid w:val="00AA2531"/>
    <w:rsid w:val="00AA306E"/>
    <w:rsid w:val="00AB1E09"/>
    <w:rsid w:val="00AB5330"/>
    <w:rsid w:val="00AB582A"/>
    <w:rsid w:val="00AB6462"/>
    <w:rsid w:val="00AB7719"/>
    <w:rsid w:val="00AB7747"/>
    <w:rsid w:val="00AC0886"/>
    <w:rsid w:val="00AC0B79"/>
    <w:rsid w:val="00AC14CE"/>
    <w:rsid w:val="00AC1EAB"/>
    <w:rsid w:val="00AC2A56"/>
    <w:rsid w:val="00AC417F"/>
    <w:rsid w:val="00AD055E"/>
    <w:rsid w:val="00AD186B"/>
    <w:rsid w:val="00AD224B"/>
    <w:rsid w:val="00AD28FB"/>
    <w:rsid w:val="00AD3863"/>
    <w:rsid w:val="00AD47A7"/>
    <w:rsid w:val="00AE740E"/>
    <w:rsid w:val="00AF0CBF"/>
    <w:rsid w:val="00AF14CB"/>
    <w:rsid w:val="00AF1A8F"/>
    <w:rsid w:val="00AF2403"/>
    <w:rsid w:val="00AF257F"/>
    <w:rsid w:val="00AF33CF"/>
    <w:rsid w:val="00AF3E48"/>
    <w:rsid w:val="00AF4D50"/>
    <w:rsid w:val="00AF6179"/>
    <w:rsid w:val="00B02DE3"/>
    <w:rsid w:val="00B06010"/>
    <w:rsid w:val="00B07E9A"/>
    <w:rsid w:val="00B1295A"/>
    <w:rsid w:val="00B17453"/>
    <w:rsid w:val="00B20A45"/>
    <w:rsid w:val="00B22C5C"/>
    <w:rsid w:val="00B23693"/>
    <w:rsid w:val="00B24F30"/>
    <w:rsid w:val="00B251A1"/>
    <w:rsid w:val="00B2585E"/>
    <w:rsid w:val="00B261F4"/>
    <w:rsid w:val="00B27C65"/>
    <w:rsid w:val="00B31ABF"/>
    <w:rsid w:val="00B33BE3"/>
    <w:rsid w:val="00B33F26"/>
    <w:rsid w:val="00B3758B"/>
    <w:rsid w:val="00B43942"/>
    <w:rsid w:val="00B45F87"/>
    <w:rsid w:val="00B509B2"/>
    <w:rsid w:val="00B52866"/>
    <w:rsid w:val="00B53B5D"/>
    <w:rsid w:val="00B60471"/>
    <w:rsid w:val="00B6055E"/>
    <w:rsid w:val="00B6317D"/>
    <w:rsid w:val="00B7723F"/>
    <w:rsid w:val="00B80534"/>
    <w:rsid w:val="00B81C92"/>
    <w:rsid w:val="00B82C3B"/>
    <w:rsid w:val="00B8433C"/>
    <w:rsid w:val="00B84D57"/>
    <w:rsid w:val="00B87491"/>
    <w:rsid w:val="00B87A0D"/>
    <w:rsid w:val="00B87EA0"/>
    <w:rsid w:val="00B9422E"/>
    <w:rsid w:val="00BA29E9"/>
    <w:rsid w:val="00BA7142"/>
    <w:rsid w:val="00BB237C"/>
    <w:rsid w:val="00BB3320"/>
    <w:rsid w:val="00BB41A3"/>
    <w:rsid w:val="00BC12BB"/>
    <w:rsid w:val="00BC32DC"/>
    <w:rsid w:val="00BC35B6"/>
    <w:rsid w:val="00BC40A5"/>
    <w:rsid w:val="00BD1B51"/>
    <w:rsid w:val="00BD4596"/>
    <w:rsid w:val="00BE1405"/>
    <w:rsid w:val="00BE158D"/>
    <w:rsid w:val="00BE2C53"/>
    <w:rsid w:val="00BE2D1E"/>
    <w:rsid w:val="00BE312D"/>
    <w:rsid w:val="00BE5BB0"/>
    <w:rsid w:val="00BE72B3"/>
    <w:rsid w:val="00BF1C20"/>
    <w:rsid w:val="00BF39CC"/>
    <w:rsid w:val="00BF436F"/>
    <w:rsid w:val="00BF473C"/>
    <w:rsid w:val="00BF5092"/>
    <w:rsid w:val="00BF5E54"/>
    <w:rsid w:val="00C00375"/>
    <w:rsid w:val="00C0471A"/>
    <w:rsid w:val="00C074B1"/>
    <w:rsid w:val="00C10578"/>
    <w:rsid w:val="00C11D9B"/>
    <w:rsid w:val="00C135BC"/>
    <w:rsid w:val="00C15C95"/>
    <w:rsid w:val="00C16D09"/>
    <w:rsid w:val="00C1763A"/>
    <w:rsid w:val="00C17F12"/>
    <w:rsid w:val="00C2596A"/>
    <w:rsid w:val="00C27024"/>
    <w:rsid w:val="00C27537"/>
    <w:rsid w:val="00C31B9E"/>
    <w:rsid w:val="00C328FE"/>
    <w:rsid w:val="00C33507"/>
    <w:rsid w:val="00C344C9"/>
    <w:rsid w:val="00C35D89"/>
    <w:rsid w:val="00C432D5"/>
    <w:rsid w:val="00C4409D"/>
    <w:rsid w:val="00C44E72"/>
    <w:rsid w:val="00C45A06"/>
    <w:rsid w:val="00C47E5B"/>
    <w:rsid w:val="00C54A1C"/>
    <w:rsid w:val="00C55B82"/>
    <w:rsid w:val="00C610DB"/>
    <w:rsid w:val="00C61E4B"/>
    <w:rsid w:val="00C637C3"/>
    <w:rsid w:val="00C64BFF"/>
    <w:rsid w:val="00C66441"/>
    <w:rsid w:val="00C704E9"/>
    <w:rsid w:val="00C739ED"/>
    <w:rsid w:val="00C763C9"/>
    <w:rsid w:val="00C80057"/>
    <w:rsid w:val="00C82232"/>
    <w:rsid w:val="00C8274E"/>
    <w:rsid w:val="00C82913"/>
    <w:rsid w:val="00C84F80"/>
    <w:rsid w:val="00C972B1"/>
    <w:rsid w:val="00CA2CCE"/>
    <w:rsid w:val="00CA43FD"/>
    <w:rsid w:val="00CA7912"/>
    <w:rsid w:val="00CA7EF8"/>
    <w:rsid w:val="00CB300F"/>
    <w:rsid w:val="00CB6BDE"/>
    <w:rsid w:val="00CB6EC1"/>
    <w:rsid w:val="00CC489B"/>
    <w:rsid w:val="00CD2BCD"/>
    <w:rsid w:val="00CD3A4C"/>
    <w:rsid w:val="00CE10E9"/>
    <w:rsid w:val="00CE2910"/>
    <w:rsid w:val="00CE5393"/>
    <w:rsid w:val="00CF36BE"/>
    <w:rsid w:val="00CF6000"/>
    <w:rsid w:val="00CF7EC1"/>
    <w:rsid w:val="00D003F3"/>
    <w:rsid w:val="00D0364F"/>
    <w:rsid w:val="00D053AF"/>
    <w:rsid w:val="00D058A1"/>
    <w:rsid w:val="00D06834"/>
    <w:rsid w:val="00D1366D"/>
    <w:rsid w:val="00D24FA5"/>
    <w:rsid w:val="00D27236"/>
    <w:rsid w:val="00D308ED"/>
    <w:rsid w:val="00D335F7"/>
    <w:rsid w:val="00D34000"/>
    <w:rsid w:val="00D36D86"/>
    <w:rsid w:val="00D428AA"/>
    <w:rsid w:val="00D43373"/>
    <w:rsid w:val="00D50A34"/>
    <w:rsid w:val="00D53EFA"/>
    <w:rsid w:val="00D572C7"/>
    <w:rsid w:val="00D75677"/>
    <w:rsid w:val="00D75918"/>
    <w:rsid w:val="00D9178E"/>
    <w:rsid w:val="00D91FBC"/>
    <w:rsid w:val="00D9311C"/>
    <w:rsid w:val="00D94A7C"/>
    <w:rsid w:val="00D94C2F"/>
    <w:rsid w:val="00D95896"/>
    <w:rsid w:val="00D962CF"/>
    <w:rsid w:val="00DA5CD2"/>
    <w:rsid w:val="00DB2983"/>
    <w:rsid w:val="00DC0291"/>
    <w:rsid w:val="00DC1257"/>
    <w:rsid w:val="00DC3031"/>
    <w:rsid w:val="00DC3DC0"/>
    <w:rsid w:val="00DC4C54"/>
    <w:rsid w:val="00DC5B2B"/>
    <w:rsid w:val="00DC5F2A"/>
    <w:rsid w:val="00DC6940"/>
    <w:rsid w:val="00DC7D1A"/>
    <w:rsid w:val="00DD318D"/>
    <w:rsid w:val="00DD40AC"/>
    <w:rsid w:val="00DF2E12"/>
    <w:rsid w:val="00DF514A"/>
    <w:rsid w:val="00DF564F"/>
    <w:rsid w:val="00DF6690"/>
    <w:rsid w:val="00DF6804"/>
    <w:rsid w:val="00DF6D07"/>
    <w:rsid w:val="00DF7700"/>
    <w:rsid w:val="00E00D45"/>
    <w:rsid w:val="00E02E5D"/>
    <w:rsid w:val="00E031E5"/>
    <w:rsid w:val="00E0358D"/>
    <w:rsid w:val="00E03AA9"/>
    <w:rsid w:val="00E04323"/>
    <w:rsid w:val="00E04EC5"/>
    <w:rsid w:val="00E05646"/>
    <w:rsid w:val="00E064BA"/>
    <w:rsid w:val="00E070A2"/>
    <w:rsid w:val="00E15219"/>
    <w:rsid w:val="00E16DF0"/>
    <w:rsid w:val="00E2656A"/>
    <w:rsid w:val="00E412D0"/>
    <w:rsid w:val="00E50D86"/>
    <w:rsid w:val="00E5168E"/>
    <w:rsid w:val="00E56322"/>
    <w:rsid w:val="00E60982"/>
    <w:rsid w:val="00E60B8E"/>
    <w:rsid w:val="00E62C62"/>
    <w:rsid w:val="00E646D8"/>
    <w:rsid w:val="00E654C1"/>
    <w:rsid w:val="00E65D97"/>
    <w:rsid w:val="00E67BE8"/>
    <w:rsid w:val="00E72A5A"/>
    <w:rsid w:val="00E73354"/>
    <w:rsid w:val="00E75DDD"/>
    <w:rsid w:val="00E817E9"/>
    <w:rsid w:val="00E84587"/>
    <w:rsid w:val="00E9242D"/>
    <w:rsid w:val="00EB12D0"/>
    <w:rsid w:val="00EB184B"/>
    <w:rsid w:val="00EB3F43"/>
    <w:rsid w:val="00EB5255"/>
    <w:rsid w:val="00EB5C47"/>
    <w:rsid w:val="00EB65B2"/>
    <w:rsid w:val="00EB6645"/>
    <w:rsid w:val="00EB78F5"/>
    <w:rsid w:val="00EC4977"/>
    <w:rsid w:val="00ED04A2"/>
    <w:rsid w:val="00ED0639"/>
    <w:rsid w:val="00ED1E75"/>
    <w:rsid w:val="00ED650D"/>
    <w:rsid w:val="00ED6A31"/>
    <w:rsid w:val="00EE05B3"/>
    <w:rsid w:val="00EE3892"/>
    <w:rsid w:val="00EE6176"/>
    <w:rsid w:val="00EF2D12"/>
    <w:rsid w:val="00EF3C6C"/>
    <w:rsid w:val="00EF4755"/>
    <w:rsid w:val="00EF7135"/>
    <w:rsid w:val="00F027DB"/>
    <w:rsid w:val="00F03659"/>
    <w:rsid w:val="00F10E18"/>
    <w:rsid w:val="00F11D08"/>
    <w:rsid w:val="00F14A7A"/>
    <w:rsid w:val="00F20789"/>
    <w:rsid w:val="00F22985"/>
    <w:rsid w:val="00F237BA"/>
    <w:rsid w:val="00F2493B"/>
    <w:rsid w:val="00F26553"/>
    <w:rsid w:val="00F3383E"/>
    <w:rsid w:val="00F41421"/>
    <w:rsid w:val="00F41682"/>
    <w:rsid w:val="00F44327"/>
    <w:rsid w:val="00F446CC"/>
    <w:rsid w:val="00F465A7"/>
    <w:rsid w:val="00F5046B"/>
    <w:rsid w:val="00F50B7C"/>
    <w:rsid w:val="00F550E6"/>
    <w:rsid w:val="00F643C5"/>
    <w:rsid w:val="00F64B50"/>
    <w:rsid w:val="00F67E1E"/>
    <w:rsid w:val="00F74345"/>
    <w:rsid w:val="00F80A0A"/>
    <w:rsid w:val="00F82B19"/>
    <w:rsid w:val="00F837E9"/>
    <w:rsid w:val="00F91AFF"/>
    <w:rsid w:val="00F91F87"/>
    <w:rsid w:val="00F9212D"/>
    <w:rsid w:val="00F965DA"/>
    <w:rsid w:val="00FA0176"/>
    <w:rsid w:val="00FA22C4"/>
    <w:rsid w:val="00FA406A"/>
    <w:rsid w:val="00FA6C0C"/>
    <w:rsid w:val="00FB2813"/>
    <w:rsid w:val="00FB503A"/>
    <w:rsid w:val="00FB516C"/>
    <w:rsid w:val="00FC29AE"/>
    <w:rsid w:val="00FC6869"/>
    <w:rsid w:val="00FD0236"/>
    <w:rsid w:val="00FD053D"/>
    <w:rsid w:val="00FD16FA"/>
    <w:rsid w:val="00FD18F4"/>
    <w:rsid w:val="00FD3BCC"/>
    <w:rsid w:val="00FD54DB"/>
    <w:rsid w:val="00FD619F"/>
    <w:rsid w:val="00FE41BB"/>
    <w:rsid w:val="00FF0C37"/>
    <w:rsid w:val="00FF3531"/>
    <w:rsid w:val="00FF422A"/>
    <w:rsid w:val="00FF7B54"/>
    <w:rsid w:val="011723FF"/>
    <w:rsid w:val="01290F7E"/>
    <w:rsid w:val="015D1E09"/>
    <w:rsid w:val="0172300C"/>
    <w:rsid w:val="01A015A0"/>
    <w:rsid w:val="01C76DE7"/>
    <w:rsid w:val="01DF4557"/>
    <w:rsid w:val="01E72166"/>
    <w:rsid w:val="01EA2EBB"/>
    <w:rsid w:val="01F25928"/>
    <w:rsid w:val="02462B36"/>
    <w:rsid w:val="02697903"/>
    <w:rsid w:val="02C13761"/>
    <w:rsid w:val="02C47B32"/>
    <w:rsid w:val="02DA7949"/>
    <w:rsid w:val="02F96569"/>
    <w:rsid w:val="02FD2EEB"/>
    <w:rsid w:val="030B3FD1"/>
    <w:rsid w:val="032A3173"/>
    <w:rsid w:val="03953B81"/>
    <w:rsid w:val="03BA5865"/>
    <w:rsid w:val="03EA7B21"/>
    <w:rsid w:val="04217A62"/>
    <w:rsid w:val="04617B71"/>
    <w:rsid w:val="047B53F9"/>
    <w:rsid w:val="048F195D"/>
    <w:rsid w:val="04912ACD"/>
    <w:rsid w:val="04A158F4"/>
    <w:rsid w:val="04AF1D1D"/>
    <w:rsid w:val="04D0491C"/>
    <w:rsid w:val="04D0647E"/>
    <w:rsid w:val="052107C5"/>
    <w:rsid w:val="054C08EF"/>
    <w:rsid w:val="05763678"/>
    <w:rsid w:val="05EB4A51"/>
    <w:rsid w:val="05F83EAE"/>
    <w:rsid w:val="063E7D85"/>
    <w:rsid w:val="06436049"/>
    <w:rsid w:val="067C1EF2"/>
    <w:rsid w:val="07293586"/>
    <w:rsid w:val="07295285"/>
    <w:rsid w:val="075B6A12"/>
    <w:rsid w:val="075E100B"/>
    <w:rsid w:val="07636392"/>
    <w:rsid w:val="07770C56"/>
    <w:rsid w:val="079E22A2"/>
    <w:rsid w:val="07CF37E3"/>
    <w:rsid w:val="07F656E2"/>
    <w:rsid w:val="07FA0B3E"/>
    <w:rsid w:val="08661108"/>
    <w:rsid w:val="08AE6B0E"/>
    <w:rsid w:val="08BC0A60"/>
    <w:rsid w:val="09091F18"/>
    <w:rsid w:val="092217DD"/>
    <w:rsid w:val="09236347"/>
    <w:rsid w:val="09323D3C"/>
    <w:rsid w:val="093A7294"/>
    <w:rsid w:val="09571564"/>
    <w:rsid w:val="0979287A"/>
    <w:rsid w:val="097D2B74"/>
    <w:rsid w:val="09AD3FF6"/>
    <w:rsid w:val="09BF1E8A"/>
    <w:rsid w:val="09F6075D"/>
    <w:rsid w:val="09F90153"/>
    <w:rsid w:val="0A263993"/>
    <w:rsid w:val="0A2D3AC2"/>
    <w:rsid w:val="0A6142ED"/>
    <w:rsid w:val="0A9E7CF1"/>
    <w:rsid w:val="0AA755DF"/>
    <w:rsid w:val="0ADE362D"/>
    <w:rsid w:val="0AE40E70"/>
    <w:rsid w:val="0AE71698"/>
    <w:rsid w:val="0AEE1D1F"/>
    <w:rsid w:val="0B043DC3"/>
    <w:rsid w:val="0B120D44"/>
    <w:rsid w:val="0B14124E"/>
    <w:rsid w:val="0BD27BF6"/>
    <w:rsid w:val="0BD87378"/>
    <w:rsid w:val="0BEC4564"/>
    <w:rsid w:val="0BFB3E60"/>
    <w:rsid w:val="0C3B3C7D"/>
    <w:rsid w:val="0C3F0E27"/>
    <w:rsid w:val="0C61475D"/>
    <w:rsid w:val="0C88014A"/>
    <w:rsid w:val="0C931DDD"/>
    <w:rsid w:val="0C9E222B"/>
    <w:rsid w:val="0CA64F5A"/>
    <w:rsid w:val="0CAB2EAE"/>
    <w:rsid w:val="0CBC1903"/>
    <w:rsid w:val="0CCE352B"/>
    <w:rsid w:val="0CD25991"/>
    <w:rsid w:val="0D1938AA"/>
    <w:rsid w:val="0D4C6D10"/>
    <w:rsid w:val="0D621C7D"/>
    <w:rsid w:val="0D866C72"/>
    <w:rsid w:val="0D9760BE"/>
    <w:rsid w:val="0DCE01E3"/>
    <w:rsid w:val="0DD3023A"/>
    <w:rsid w:val="0DDE5161"/>
    <w:rsid w:val="0DFA063E"/>
    <w:rsid w:val="0E282840"/>
    <w:rsid w:val="0E3D27A0"/>
    <w:rsid w:val="0E73034D"/>
    <w:rsid w:val="0F0547E3"/>
    <w:rsid w:val="0F13775A"/>
    <w:rsid w:val="0F164829"/>
    <w:rsid w:val="0F5F45FE"/>
    <w:rsid w:val="0F7E0DD3"/>
    <w:rsid w:val="0F953DB9"/>
    <w:rsid w:val="0F9A112B"/>
    <w:rsid w:val="0FE03C20"/>
    <w:rsid w:val="0FEF7DC4"/>
    <w:rsid w:val="0FF266B4"/>
    <w:rsid w:val="10191D4A"/>
    <w:rsid w:val="106D2F64"/>
    <w:rsid w:val="10AB223E"/>
    <w:rsid w:val="10B1265C"/>
    <w:rsid w:val="10B63710"/>
    <w:rsid w:val="10BE5170"/>
    <w:rsid w:val="10C85BC5"/>
    <w:rsid w:val="10DC5FF7"/>
    <w:rsid w:val="10F10820"/>
    <w:rsid w:val="10FF0A2C"/>
    <w:rsid w:val="110706FC"/>
    <w:rsid w:val="111C2F7A"/>
    <w:rsid w:val="114D6CFF"/>
    <w:rsid w:val="11665CA1"/>
    <w:rsid w:val="11AC1C66"/>
    <w:rsid w:val="11D22E91"/>
    <w:rsid w:val="11E77257"/>
    <w:rsid w:val="11EA1061"/>
    <w:rsid w:val="122022F2"/>
    <w:rsid w:val="12BC7C0A"/>
    <w:rsid w:val="12F170C0"/>
    <w:rsid w:val="131E731F"/>
    <w:rsid w:val="136C344B"/>
    <w:rsid w:val="13826BCB"/>
    <w:rsid w:val="13951726"/>
    <w:rsid w:val="139B6FD7"/>
    <w:rsid w:val="1407614E"/>
    <w:rsid w:val="14261483"/>
    <w:rsid w:val="142718FE"/>
    <w:rsid w:val="14396509"/>
    <w:rsid w:val="14611DD4"/>
    <w:rsid w:val="146A0067"/>
    <w:rsid w:val="147F2942"/>
    <w:rsid w:val="149707FB"/>
    <w:rsid w:val="14977C8B"/>
    <w:rsid w:val="14CA62B3"/>
    <w:rsid w:val="14CE215F"/>
    <w:rsid w:val="14D46870"/>
    <w:rsid w:val="14DD2C3C"/>
    <w:rsid w:val="157E216B"/>
    <w:rsid w:val="15BB209F"/>
    <w:rsid w:val="15D80C30"/>
    <w:rsid w:val="16087E1D"/>
    <w:rsid w:val="160F4734"/>
    <w:rsid w:val="164200CB"/>
    <w:rsid w:val="164260E4"/>
    <w:rsid w:val="1654257A"/>
    <w:rsid w:val="167F55A0"/>
    <w:rsid w:val="16D16955"/>
    <w:rsid w:val="17203814"/>
    <w:rsid w:val="1722505E"/>
    <w:rsid w:val="17690913"/>
    <w:rsid w:val="176F0B5F"/>
    <w:rsid w:val="17701D14"/>
    <w:rsid w:val="17735226"/>
    <w:rsid w:val="17865C82"/>
    <w:rsid w:val="17FA4EBC"/>
    <w:rsid w:val="18025032"/>
    <w:rsid w:val="182B736E"/>
    <w:rsid w:val="186E2FCD"/>
    <w:rsid w:val="187712F2"/>
    <w:rsid w:val="18787DD4"/>
    <w:rsid w:val="189F624C"/>
    <w:rsid w:val="19053A53"/>
    <w:rsid w:val="19266CBF"/>
    <w:rsid w:val="19640CF9"/>
    <w:rsid w:val="197C4BE2"/>
    <w:rsid w:val="19C2449C"/>
    <w:rsid w:val="1A1C66C0"/>
    <w:rsid w:val="1A42393B"/>
    <w:rsid w:val="1A892952"/>
    <w:rsid w:val="1A903AFB"/>
    <w:rsid w:val="1AA022C5"/>
    <w:rsid w:val="1AAD45DE"/>
    <w:rsid w:val="1AF534A7"/>
    <w:rsid w:val="1AF8338F"/>
    <w:rsid w:val="1B046F80"/>
    <w:rsid w:val="1B267FBB"/>
    <w:rsid w:val="1B316513"/>
    <w:rsid w:val="1B3267B5"/>
    <w:rsid w:val="1B40161D"/>
    <w:rsid w:val="1B441859"/>
    <w:rsid w:val="1B50572F"/>
    <w:rsid w:val="1B6606B1"/>
    <w:rsid w:val="1B924E4A"/>
    <w:rsid w:val="1C275A81"/>
    <w:rsid w:val="1C5E7925"/>
    <w:rsid w:val="1C636E89"/>
    <w:rsid w:val="1C801851"/>
    <w:rsid w:val="1CA34A7E"/>
    <w:rsid w:val="1CF406C5"/>
    <w:rsid w:val="1CFD070F"/>
    <w:rsid w:val="1D051F73"/>
    <w:rsid w:val="1D3142B6"/>
    <w:rsid w:val="1D3457E2"/>
    <w:rsid w:val="1D5F6196"/>
    <w:rsid w:val="1D6132A5"/>
    <w:rsid w:val="1D6E0B45"/>
    <w:rsid w:val="1D8E56D5"/>
    <w:rsid w:val="1E396AB2"/>
    <w:rsid w:val="1E7A43DA"/>
    <w:rsid w:val="1E80517F"/>
    <w:rsid w:val="1F1269D1"/>
    <w:rsid w:val="1FDF664F"/>
    <w:rsid w:val="1FE7539E"/>
    <w:rsid w:val="20376371"/>
    <w:rsid w:val="20671BE0"/>
    <w:rsid w:val="20787D38"/>
    <w:rsid w:val="20882682"/>
    <w:rsid w:val="20963CB8"/>
    <w:rsid w:val="20A81A1B"/>
    <w:rsid w:val="20B07FB6"/>
    <w:rsid w:val="20B646FB"/>
    <w:rsid w:val="20C65D29"/>
    <w:rsid w:val="20DE2847"/>
    <w:rsid w:val="213B74B1"/>
    <w:rsid w:val="213C1386"/>
    <w:rsid w:val="215A2310"/>
    <w:rsid w:val="216335F6"/>
    <w:rsid w:val="21C10263"/>
    <w:rsid w:val="21DE318A"/>
    <w:rsid w:val="21E01DCA"/>
    <w:rsid w:val="21E161D4"/>
    <w:rsid w:val="21EF5B80"/>
    <w:rsid w:val="22154370"/>
    <w:rsid w:val="22576990"/>
    <w:rsid w:val="2293621F"/>
    <w:rsid w:val="229C2865"/>
    <w:rsid w:val="22EE5B56"/>
    <w:rsid w:val="22F47480"/>
    <w:rsid w:val="235D7D1F"/>
    <w:rsid w:val="23C604BF"/>
    <w:rsid w:val="23D20CE0"/>
    <w:rsid w:val="23D85CD5"/>
    <w:rsid w:val="23DE1C48"/>
    <w:rsid w:val="23EA2CA4"/>
    <w:rsid w:val="240210CD"/>
    <w:rsid w:val="241B3995"/>
    <w:rsid w:val="242C2919"/>
    <w:rsid w:val="24577437"/>
    <w:rsid w:val="2465293B"/>
    <w:rsid w:val="247424A3"/>
    <w:rsid w:val="249059FD"/>
    <w:rsid w:val="24AA70E0"/>
    <w:rsid w:val="24BF09F7"/>
    <w:rsid w:val="24D864F8"/>
    <w:rsid w:val="24E862E1"/>
    <w:rsid w:val="24EC4115"/>
    <w:rsid w:val="24FC737A"/>
    <w:rsid w:val="24FD5304"/>
    <w:rsid w:val="24FF7744"/>
    <w:rsid w:val="252D53FE"/>
    <w:rsid w:val="253764DB"/>
    <w:rsid w:val="256D7FD4"/>
    <w:rsid w:val="2582294C"/>
    <w:rsid w:val="25BD4F83"/>
    <w:rsid w:val="25C445D2"/>
    <w:rsid w:val="25EC2D81"/>
    <w:rsid w:val="26181C91"/>
    <w:rsid w:val="265172B6"/>
    <w:rsid w:val="265B1D69"/>
    <w:rsid w:val="2662341C"/>
    <w:rsid w:val="273E668C"/>
    <w:rsid w:val="277057A2"/>
    <w:rsid w:val="27BE338B"/>
    <w:rsid w:val="27C137A0"/>
    <w:rsid w:val="27E2526A"/>
    <w:rsid w:val="285F3229"/>
    <w:rsid w:val="287A102E"/>
    <w:rsid w:val="289103D8"/>
    <w:rsid w:val="28AB4C2B"/>
    <w:rsid w:val="28B416AF"/>
    <w:rsid w:val="28FD007E"/>
    <w:rsid w:val="29034BC2"/>
    <w:rsid w:val="29101E3B"/>
    <w:rsid w:val="29206EB8"/>
    <w:rsid w:val="29595666"/>
    <w:rsid w:val="29874881"/>
    <w:rsid w:val="29AD13A2"/>
    <w:rsid w:val="29E325E0"/>
    <w:rsid w:val="29F739D5"/>
    <w:rsid w:val="2A452503"/>
    <w:rsid w:val="2A470A00"/>
    <w:rsid w:val="2AAD092C"/>
    <w:rsid w:val="2AE17561"/>
    <w:rsid w:val="2B1A684C"/>
    <w:rsid w:val="2B1D433D"/>
    <w:rsid w:val="2B4D4ABF"/>
    <w:rsid w:val="2B8C12BE"/>
    <w:rsid w:val="2BA936A8"/>
    <w:rsid w:val="2BCE038B"/>
    <w:rsid w:val="2BE95C2A"/>
    <w:rsid w:val="2C315A5A"/>
    <w:rsid w:val="2C425199"/>
    <w:rsid w:val="2C4B1C25"/>
    <w:rsid w:val="2C6F710A"/>
    <w:rsid w:val="2C9167C5"/>
    <w:rsid w:val="2C9527FC"/>
    <w:rsid w:val="2CA70BD4"/>
    <w:rsid w:val="2CAA119A"/>
    <w:rsid w:val="2D0C1BA3"/>
    <w:rsid w:val="2D3122C7"/>
    <w:rsid w:val="2D4A1C01"/>
    <w:rsid w:val="2D5B25CF"/>
    <w:rsid w:val="2D9E56F5"/>
    <w:rsid w:val="2E04626C"/>
    <w:rsid w:val="2E2503B6"/>
    <w:rsid w:val="2E352ACA"/>
    <w:rsid w:val="2E3802BA"/>
    <w:rsid w:val="2E667F96"/>
    <w:rsid w:val="2E6C5F79"/>
    <w:rsid w:val="2E8226AB"/>
    <w:rsid w:val="2E834327"/>
    <w:rsid w:val="2EA119DB"/>
    <w:rsid w:val="2EA11A1E"/>
    <w:rsid w:val="2EB422B0"/>
    <w:rsid w:val="2EBB3A82"/>
    <w:rsid w:val="2F142363"/>
    <w:rsid w:val="2F146650"/>
    <w:rsid w:val="2F16245E"/>
    <w:rsid w:val="2F3F1599"/>
    <w:rsid w:val="2F5A263F"/>
    <w:rsid w:val="2F745341"/>
    <w:rsid w:val="2F963CDD"/>
    <w:rsid w:val="2FAD7E89"/>
    <w:rsid w:val="2FD065E6"/>
    <w:rsid w:val="2FD96870"/>
    <w:rsid w:val="30580BC9"/>
    <w:rsid w:val="30A61F9B"/>
    <w:rsid w:val="30AD2E4C"/>
    <w:rsid w:val="30D0630B"/>
    <w:rsid w:val="311305A8"/>
    <w:rsid w:val="311E2ED7"/>
    <w:rsid w:val="31493EF6"/>
    <w:rsid w:val="315619EE"/>
    <w:rsid w:val="315C449C"/>
    <w:rsid w:val="31643D6D"/>
    <w:rsid w:val="317E0A9E"/>
    <w:rsid w:val="31B82709"/>
    <w:rsid w:val="31D05318"/>
    <w:rsid w:val="31D05482"/>
    <w:rsid w:val="32400B34"/>
    <w:rsid w:val="329E6876"/>
    <w:rsid w:val="32C05294"/>
    <w:rsid w:val="32CD4377"/>
    <w:rsid w:val="333015F2"/>
    <w:rsid w:val="33453D6E"/>
    <w:rsid w:val="334B6320"/>
    <w:rsid w:val="33847D3C"/>
    <w:rsid w:val="33D934D4"/>
    <w:rsid w:val="33D9451C"/>
    <w:rsid w:val="33F218D8"/>
    <w:rsid w:val="33FE2F6A"/>
    <w:rsid w:val="340830CD"/>
    <w:rsid w:val="340E07E5"/>
    <w:rsid w:val="34235BF7"/>
    <w:rsid w:val="344A7AFB"/>
    <w:rsid w:val="344D7298"/>
    <w:rsid w:val="348030EA"/>
    <w:rsid w:val="3487526F"/>
    <w:rsid w:val="34C34B6B"/>
    <w:rsid w:val="34D30C2B"/>
    <w:rsid w:val="3520773C"/>
    <w:rsid w:val="3538296D"/>
    <w:rsid w:val="354D6418"/>
    <w:rsid w:val="3567565A"/>
    <w:rsid w:val="3585294D"/>
    <w:rsid w:val="358C5FA8"/>
    <w:rsid w:val="35C15DF1"/>
    <w:rsid w:val="36074A7F"/>
    <w:rsid w:val="36531471"/>
    <w:rsid w:val="3672676A"/>
    <w:rsid w:val="36754A84"/>
    <w:rsid w:val="36923549"/>
    <w:rsid w:val="36935C38"/>
    <w:rsid w:val="36B75FBF"/>
    <w:rsid w:val="36BD0C45"/>
    <w:rsid w:val="36F01AF3"/>
    <w:rsid w:val="37117EF6"/>
    <w:rsid w:val="371A4A0A"/>
    <w:rsid w:val="372949BD"/>
    <w:rsid w:val="37485711"/>
    <w:rsid w:val="374E6BD7"/>
    <w:rsid w:val="375F68D7"/>
    <w:rsid w:val="37705A21"/>
    <w:rsid w:val="37E00298"/>
    <w:rsid w:val="38444F62"/>
    <w:rsid w:val="38961E84"/>
    <w:rsid w:val="38B302F9"/>
    <w:rsid w:val="38B467AE"/>
    <w:rsid w:val="38CB7A99"/>
    <w:rsid w:val="38D219BF"/>
    <w:rsid w:val="38F12CD3"/>
    <w:rsid w:val="38F94775"/>
    <w:rsid w:val="39142160"/>
    <w:rsid w:val="39274A3A"/>
    <w:rsid w:val="392971ED"/>
    <w:rsid w:val="39325651"/>
    <w:rsid w:val="3956790A"/>
    <w:rsid w:val="39755039"/>
    <w:rsid w:val="398C2B82"/>
    <w:rsid w:val="39B55279"/>
    <w:rsid w:val="39B8230C"/>
    <w:rsid w:val="39BA6963"/>
    <w:rsid w:val="39F53626"/>
    <w:rsid w:val="39FF57CD"/>
    <w:rsid w:val="3A475370"/>
    <w:rsid w:val="3A5E00A4"/>
    <w:rsid w:val="3A872856"/>
    <w:rsid w:val="3ABC4BFC"/>
    <w:rsid w:val="3B056B09"/>
    <w:rsid w:val="3B1B0517"/>
    <w:rsid w:val="3B274B28"/>
    <w:rsid w:val="3B3763D1"/>
    <w:rsid w:val="3BD25200"/>
    <w:rsid w:val="3C0D4B53"/>
    <w:rsid w:val="3C2F6E1E"/>
    <w:rsid w:val="3C4F64BA"/>
    <w:rsid w:val="3C683B38"/>
    <w:rsid w:val="3C6F0657"/>
    <w:rsid w:val="3C947DA6"/>
    <w:rsid w:val="3CBC093A"/>
    <w:rsid w:val="3CBD2CA5"/>
    <w:rsid w:val="3CD72213"/>
    <w:rsid w:val="3CDA245A"/>
    <w:rsid w:val="3D1E06B7"/>
    <w:rsid w:val="3DB360A8"/>
    <w:rsid w:val="3DB71DBD"/>
    <w:rsid w:val="3E576192"/>
    <w:rsid w:val="3E9F580B"/>
    <w:rsid w:val="3EDA0523"/>
    <w:rsid w:val="3F0741CC"/>
    <w:rsid w:val="3F5E6412"/>
    <w:rsid w:val="3F6A2F44"/>
    <w:rsid w:val="3F706A33"/>
    <w:rsid w:val="3FBB66F7"/>
    <w:rsid w:val="3FBF2B24"/>
    <w:rsid w:val="3FC53470"/>
    <w:rsid w:val="3FE67236"/>
    <w:rsid w:val="3FEF778F"/>
    <w:rsid w:val="40425CBC"/>
    <w:rsid w:val="40563A6E"/>
    <w:rsid w:val="405C2FDB"/>
    <w:rsid w:val="406665E0"/>
    <w:rsid w:val="407A6407"/>
    <w:rsid w:val="40827156"/>
    <w:rsid w:val="40A54E7B"/>
    <w:rsid w:val="40AA0AEE"/>
    <w:rsid w:val="40B521DD"/>
    <w:rsid w:val="40C30AEB"/>
    <w:rsid w:val="40C652D1"/>
    <w:rsid w:val="40CE25D2"/>
    <w:rsid w:val="40EB608D"/>
    <w:rsid w:val="4144171C"/>
    <w:rsid w:val="416C6114"/>
    <w:rsid w:val="41942069"/>
    <w:rsid w:val="41961B34"/>
    <w:rsid w:val="41A35612"/>
    <w:rsid w:val="41E220C4"/>
    <w:rsid w:val="41F73030"/>
    <w:rsid w:val="4200449D"/>
    <w:rsid w:val="422A401C"/>
    <w:rsid w:val="423A3BCC"/>
    <w:rsid w:val="424E57D2"/>
    <w:rsid w:val="425B1A42"/>
    <w:rsid w:val="42995EB0"/>
    <w:rsid w:val="429F6DE5"/>
    <w:rsid w:val="42B26C49"/>
    <w:rsid w:val="42CB059A"/>
    <w:rsid w:val="42E63A08"/>
    <w:rsid w:val="432804C5"/>
    <w:rsid w:val="433A6FE6"/>
    <w:rsid w:val="43480868"/>
    <w:rsid w:val="4350713C"/>
    <w:rsid w:val="436653E0"/>
    <w:rsid w:val="43732F7C"/>
    <w:rsid w:val="437D7A71"/>
    <w:rsid w:val="439E1CE3"/>
    <w:rsid w:val="439E43DE"/>
    <w:rsid w:val="43C4431A"/>
    <w:rsid w:val="43EA0573"/>
    <w:rsid w:val="442B5659"/>
    <w:rsid w:val="443228F2"/>
    <w:rsid w:val="4441448C"/>
    <w:rsid w:val="446307E9"/>
    <w:rsid w:val="44635EEA"/>
    <w:rsid w:val="44796071"/>
    <w:rsid w:val="44937BC0"/>
    <w:rsid w:val="44B951CC"/>
    <w:rsid w:val="44CC6708"/>
    <w:rsid w:val="44CD14E0"/>
    <w:rsid w:val="44E77DA1"/>
    <w:rsid w:val="44F20B0B"/>
    <w:rsid w:val="45141FC2"/>
    <w:rsid w:val="451A061B"/>
    <w:rsid w:val="451E3BFA"/>
    <w:rsid w:val="452E5F4C"/>
    <w:rsid w:val="453E7FCE"/>
    <w:rsid w:val="455410FD"/>
    <w:rsid w:val="45612018"/>
    <w:rsid w:val="458010CF"/>
    <w:rsid w:val="458946E9"/>
    <w:rsid w:val="45A47C0E"/>
    <w:rsid w:val="465026D8"/>
    <w:rsid w:val="46577FD6"/>
    <w:rsid w:val="46690FA7"/>
    <w:rsid w:val="46695753"/>
    <w:rsid w:val="46D955A7"/>
    <w:rsid w:val="47133957"/>
    <w:rsid w:val="47176886"/>
    <w:rsid w:val="474400CA"/>
    <w:rsid w:val="477B5067"/>
    <w:rsid w:val="47A07E0C"/>
    <w:rsid w:val="47D6111E"/>
    <w:rsid w:val="47E300BD"/>
    <w:rsid w:val="47E80223"/>
    <w:rsid w:val="48045FEC"/>
    <w:rsid w:val="480A3336"/>
    <w:rsid w:val="483F3422"/>
    <w:rsid w:val="484D3D41"/>
    <w:rsid w:val="4870272E"/>
    <w:rsid w:val="48E1423D"/>
    <w:rsid w:val="48ED491A"/>
    <w:rsid w:val="49037437"/>
    <w:rsid w:val="49373210"/>
    <w:rsid w:val="49723B3A"/>
    <w:rsid w:val="499B65DE"/>
    <w:rsid w:val="49DC7715"/>
    <w:rsid w:val="4A023139"/>
    <w:rsid w:val="4A0A0193"/>
    <w:rsid w:val="4A136EB3"/>
    <w:rsid w:val="4A2535B7"/>
    <w:rsid w:val="4A2A4B22"/>
    <w:rsid w:val="4A6A0F5D"/>
    <w:rsid w:val="4A7B576F"/>
    <w:rsid w:val="4AD97B6C"/>
    <w:rsid w:val="4AF561A9"/>
    <w:rsid w:val="4B1A75DC"/>
    <w:rsid w:val="4B8C2DBA"/>
    <w:rsid w:val="4B951E67"/>
    <w:rsid w:val="4BB40797"/>
    <w:rsid w:val="4BE82B40"/>
    <w:rsid w:val="4C060FB7"/>
    <w:rsid w:val="4C4A0649"/>
    <w:rsid w:val="4C561C74"/>
    <w:rsid w:val="4C7E5ECA"/>
    <w:rsid w:val="4C802FBE"/>
    <w:rsid w:val="4C876AA5"/>
    <w:rsid w:val="4CD226EF"/>
    <w:rsid w:val="4D0D3EAB"/>
    <w:rsid w:val="4D0E00FB"/>
    <w:rsid w:val="4D176606"/>
    <w:rsid w:val="4D2B1FC9"/>
    <w:rsid w:val="4DBD54BD"/>
    <w:rsid w:val="4DC16489"/>
    <w:rsid w:val="4DD70872"/>
    <w:rsid w:val="4DDB0AFB"/>
    <w:rsid w:val="4DEC4FB0"/>
    <w:rsid w:val="4DF75DA9"/>
    <w:rsid w:val="4E0510EC"/>
    <w:rsid w:val="4E075D8A"/>
    <w:rsid w:val="4E2B4815"/>
    <w:rsid w:val="4E300A02"/>
    <w:rsid w:val="4EAD5D22"/>
    <w:rsid w:val="4EC00FAD"/>
    <w:rsid w:val="4EF11C18"/>
    <w:rsid w:val="4EFE4618"/>
    <w:rsid w:val="4F0B22AF"/>
    <w:rsid w:val="4F173FB6"/>
    <w:rsid w:val="4F3A1EFC"/>
    <w:rsid w:val="4F9843DC"/>
    <w:rsid w:val="4FC62A8C"/>
    <w:rsid w:val="4FD52313"/>
    <w:rsid w:val="4FE20F0D"/>
    <w:rsid w:val="4FE51552"/>
    <w:rsid w:val="501A389A"/>
    <w:rsid w:val="50504C4B"/>
    <w:rsid w:val="50731426"/>
    <w:rsid w:val="509900C6"/>
    <w:rsid w:val="509C6E7C"/>
    <w:rsid w:val="50A7753A"/>
    <w:rsid w:val="50A80399"/>
    <w:rsid w:val="50B32821"/>
    <w:rsid w:val="50CA461C"/>
    <w:rsid w:val="50E9598B"/>
    <w:rsid w:val="50ED1009"/>
    <w:rsid w:val="50EF43D0"/>
    <w:rsid w:val="50FF0DE9"/>
    <w:rsid w:val="50FF6540"/>
    <w:rsid w:val="511760D2"/>
    <w:rsid w:val="511B1D15"/>
    <w:rsid w:val="51225BE4"/>
    <w:rsid w:val="51441B43"/>
    <w:rsid w:val="5162104E"/>
    <w:rsid w:val="51A05528"/>
    <w:rsid w:val="51AE428B"/>
    <w:rsid w:val="51CC67BE"/>
    <w:rsid w:val="51D76BD2"/>
    <w:rsid w:val="51EB354B"/>
    <w:rsid w:val="51F0681A"/>
    <w:rsid w:val="52703E9D"/>
    <w:rsid w:val="532175BE"/>
    <w:rsid w:val="53274F7B"/>
    <w:rsid w:val="53502E13"/>
    <w:rsid w:val="536B7BEC"/>
    <w:rsid w:val="537C0CF2"/>
    <w:rsid w:val="538B400E"/>
    <w:rsid w:val="53A039CC"/>
    <w:rsid w:val="53A1505A"/>
    <w:rsid w:val="53FC6FB7"/>
    <w:rsid w:val="54060110"/>
    <w:rsid w:val="54063E08"/>
    <w:rsid w:val="543437E8"/>
    <w:rsid w:val="54922A84"/>
    <w:rsid w:val="54D16921"/>
    <w:rsid w:val="54F73313"/>
    <w:rsid w:val="54F80955"/>
    <w:rsid w:val="55116B8B"/>
    <w:rsid w:val="553355B1"/>
    <w:rsid w:val="55347358"/>
    <w:rsid w:val="55372C70"/>
    <w:rsid w:val="555170A7"/>
    <w:rsid w:val="555756CB"/>
    <w:rsid w:val="555E1B24"/>
    <w:rsid w:val="55786845"/>
    <w:rsid w:val="5587536D"/>
    <w:rsid w:val="55935C72"/>
    <w:rsid w:val="559B174B"/>
    <w:rsid w:val="55AC0AE1"/>
    <w:rsid w:val="55C0035F"/>
    <w:rsid w:val="55CE0CF4"/>
    <w:rsid w:val="55DA7547"/>
    <w:rsid w:val="55DC1CF5"/>
    <w:rsid w:val="55F77DA2"/>
    <w:rsid w:val="56274479"/>
    <w:rsid w:val="56403DD6"/>
    <w:rsid w:val="56494D5B"/>
    <w:rsid w:val="568E48B9"/>
    <w:rsid w:val="56B22A9C"/>
    <w:rsid w:val="56D001CA"/>
    <w:rsid w:val="56DE7119"/>
    <w:rsid w:val="56E94A72"/>
    <w:rsid w:val="570A3EDB"/>
    <w:rsid w:val="575E1769"/>
    <w:rsid w:val="576E3115"/>
    <w:rsid w:val="57A241B8"/>
    <w:rsid w:val="57B72A76"/>
    <w:rsid w:val="57C3426C"/>
    <w:rsid w:val="57CE1F93"/>
    <w:rsid w:val="57CF3842"/>
    <w:rsid w:val="57DC46A0"/>
    <w:rsid w:val="58093FC9"/>
    <w:rsid w:val="582C401E"/>
    <w:rsid w:val="586B2293"/>
    <w:rsid w:val="58736503"/>
    <w:rsid w:val="588743D1"/>
    <w:rsid w:val="5887701A"/>
    <w:rsid w:val="58AC1E26"/>
    <w:rsid w:val="58C25350"/>
    <w:rsid w:val="58D8043B"/>
    <w:rsid w:val="58DA7F1E"/>
    <w:rsid w:val="59276C6A"/>
    <w:rsid w:val="59653AB3"/>
    <w:rsid w:val="596B6EC1"/>
    <w:rsid w:val="597534A9"/>
    <w:rsid w:val="59906D59"/>
    <w:rsid w:val="59AD3226"/>
    <w:rsid w:val="59C0439F"/>
    <w:rsid w:val="59D47AD1"/>
    <w:rsid w:val="59F82547"/>
    <w:rsid w:val="59F85ACD"/>
    <w:rsid w:val="5A5F5CBF"/>
    <w:rsid w:val="5ABE2233"/>
    <w:rsid w:val="5BB658B6"/>
    <w:rsid w:val="5BD13F3A"/>
    <w:rsid w:val="5BDF5D95"/>
    <w:rsid w:val="5BF55DF8"/>
    <w:rsid w:val="5BFE7528"/>
    <w:rsid w:val="5C04099F"/>
    <w:rsid w:val="5C051E4B"/>
    <w:rsid w:val="5C11184D"/>
    <w:rsid w:val="5C776C5C"/>
    <w:rsid w:val="5CB54DAC"/>
    <w:rsid w:val="5CC73810"/>
    <w:rsid w:val="5CFE7D84"/>
    <w:rsid w:val="5D062DB1"/>
    <w:rsid w:val="5D697915"/>
    <w:rsid w:val="5D7A0B34"/>
    <w:rsid w:val="5DA94A12"/>
    <w:rsid w:val="5E0D63B3"/>
    <w:rsid w:val="5E2467F1"/>
    <w:rsid w:val="5EB57375"/>
    <w:rsid w:val="5EB90E51"/>
    <w:rsid w:val="5EFB14AA"/>
    <w:rsid w:val="5F1A2B43"/>
    <w:rsid w:val="5F494FB7"/>
    <w:rsid w:val="5F7436C1"/>
    <w:rsid w:val="5F843DC2"/>
    <w:rsid w:val="5F9B055C"/>
    <w:rsid w:val="5FB4422E"/>
    <w:rsid w:val="5FB837BB"/>
    <w:rsid w:val="5FCF3B9C"/>
    <w:rsid w:val="5FD90EC5"/>
    <w:rsid w:val="5FE77D21"/>
    <w:rsid w:val="60027ED7"/>
    <w:rsid w:val="60203616"/>
    <w:rsid w:val="60322961"/>
    <w:rsid w:val="607A007B"/>
    <w:rsid w:val="608D2190"/>
    <w:rsid w:val="60CC405A"/>
    <w:rsid w:val="615A6330"/>
    <w:rsid w:val="615E3EBE"/>
    <w:rsid w:val="618C7D0A"/>
    <w:rsid w:val="61C1162A"/>
    <w:rsid w:val="61CC3008"/>
    <w:rsid w:val="61E215D8"/>
    <w:rsid w:val="621B3775"/>
    <w:rsid w:val="62364782"/>
    <w:rsid w:val="623C4F9B"/>
    <w:rsid w:val="62653481"/>
    <w:rsid w:val="629F5C05"/>
    <w:rsid w:val="62A019CE"/>
    <w:rsid w:val="62E02800"/>
    <w:rsid w:val="62EB2A2A"/>
    <w:rsid w:val="631D6B7A"/>
    <w:rsid w:val="63301F64"/>
    <w:rsid w:val="636410AE"/>
    <w:rsid w:val="63796FCB"/>
    <w:rsid w:val="6394356A"/>
    <w:rsid w:val="63AE257A"/>
    <w:rsid w:val="63C61B2C"/>
    <w:rsid w:val="63D40BE9"/>
    <w:rsid w:val="640D261A"/>
    <w:rsid w:val="64102431"/>
    <w:rsid w:val="646D04B3"/>
    <w:rsid w:val="64A5243A"/>
    <w:rsid w:val="64E8140A"/>
    <w:rsid w:val="64F531DE"/>
    <w:rsid w:val="65373578"/>
    <w:rsid w:val="656023D7"/>
    <w:rsid w:val="65757D39"/>
    <w:rsid w:val="659737D4"/>
    <w:rsid w:val="65CF42C9"/>
    <w:rsid w:val="660D7FB1"/>
    <w:rsid w:val="66223293"/>
    <w:rsid w:val="662C35D1"/>
    <w:rsid w:val="66346F7F"/>
    <w:rsid w:val="66556F48"/>
    <w:rsid w:val="66692CE9"/>
    <w:rsid w:val="66BA5239"/>
    <w:rsid w:val="671E1EAD"/>
    <w:rsid w:val="671F124A"/>
    <w:rsid w:val="677A33C6"/>
    <w:rsid w:val="67A84D55"/>
    <w:rsid w:val="67DB233B"/>
    <w:rsid w:val="680C2071"/>
    <w:rsid w:val="680E068C"/>
    <w:rsid w:val="68126591"/>
    <w:rsid w:val="681F6961"/>
    <w:rsid w:val="682F3F61"/>
    <w:rsid w:val="68446FFB"/>
    <w:rsid w:val="68610A2F"/>
    <w:rsid w:val="686B6542"/>
    <w:rsid w:val="68805514"/>
    <w:rsid w:val="68833924"/>
    <w:rsid w:val="68EC4D98"/>
    <w:rsid w:val="690F02A1"/>
    <w:rsid w:val="69316E2F"/>
    <w:rsid w:val="694E2071"/>
    <w:rsid w:val="69766163"/>
    <w:rsid w:val="69771DFD"/>
    <w:rsid w:val="697A3B33"/>
    <w:rsid w:val="69C52756"/>
    <w:rsid w:val="69C72550"/>
    <w:rsid w:val="69D44760"/>
    <w:rsid w:val="6A2F61AB"/>
    <w:rsid w:val="6A365AB4"/>
    <w:rsid w:val="6A520EC7"/>
    <w:rsid w:val="6AF03F36"/>
    <w:rsid w:val="6AF87E20"/>
    <w:rsid w:val="6B201E0A"/>
    <w:rsid w:val="6B322639"/>
    <w:rsid w:val="6BB20633"/>
    <w:rsid w:val="6BE03AB7"/>
    <w:rsid w:val="6C241F75"/>
    <w:rsid w:val="6C3465C1"/>
    <w:rsid w:val="6C4B3472"/>
    <w:rsid w:val="6C636C38"/>
    <w:rsid w:val="6C846A4C"/>
    <w:rsid w:val="6C8C5D89"/>
    <w:rsid w:val="6CB71EFC"/>
    <w:rsid w:val="6CBF3FC7"/>
    <w:rsid w:val="6CC530F8"/>
    <w:rsid w:val="6CE61816"/>
    <w:rsid w:val="6D34715A"/>
    <w:rsid w:val="6D472530"/>
    <w:rsid w:val="6DA71842"/>
    <w:rsid w:val="6DB34098"/>
    <w:rsid w:val="6DB545B6"/>
    <w:rsid w:val="6DE02FB4"/>
    <w:rsid w:val="6DE3478E"/>
    <w:rsid w:val="6E514CED"/>
    <w:rsid w:val="6E6A3CBD"/>
    <w:rsid w:val="6E7878CB"/>
    <w:rsid w:val="6EB563D5"/>
    <w:rsid w:val="6EC0407F"/>
    <w:rsid w:val="6ED92677"/>
    <w:rsid w:val="6F225983"/>
    <w:rsid w:val="6FDF4EA3"/>
    <w:rsid w:val="6FEF03A5"/>
    <w:rsid w:val="6FFC5590"/>
    <w:rsid w:val="701C3CF7"/>
    <w:rsid w:val="70297007"/>
    <w:rsid w:val="703D37E0"/>
    <w:rsid w:val="70412BBC"/>
    <w:rsid w:val="706D1DD0"/>
    <w:rsid w:val="707300E3"/>
    <w:rsid w:val="707B7C90"/>
    <w:rsid w:val="70856B87"/>
    <w:rsid w:val="70D527EE"/>
    <w:rsid w:val="70DA1D22"/>
    <w:rsid w:val="70EE4EBE"/>
    <w:rsid w:val="70F80CF6"/>
    <w:rsid w:val="70FA5D12"/>
    <w:rsid w:val="712467EF"/>
    <w:rsid w:val="712C32AE"/>
    <w:rsid w:val="71516CE7"/>
    <w:rsid w:val="715B5300"/>
    <w:rsid w:val="718324DB"/>
    <w:rsid w:val="71CE6DA5"/>
    <w:rsid w:val="71D27F8A"/>
    <w:rsid w:val="71E811F3"/>
    <w:rsid w:val="71FD762F"/>
    <w:rsid w:val="720D1793"/>
    <w:rsid w:val="72305502"/>
    <w:rsid w:val="72553024"/>
    <w:rsid w:val="726C367A"/>
    <w:rsid w:val="726E0B0D"/>
    <w:rsid w:val="727B032C"/>
    <w:rsid w:val="72B84AD8"/>
    <w:rsid w:val="72F84CD4"/>
    <w:rsid w:val="72F86DD1"/>
    <w:rsid w:val="73026301"/>
    <w:rsid w:val="73122968"/>
    <w:rsid w:val="731F5D5E"/>
    <w:rsid w:val="734F0100"/>
    <w:rsid w:val="73AB443F"/>
    <w:rsid w:val="73AF399E"/>
    <w:rsid w:val="73B928EF"/>
    <w:rsid w:val="73C165D1"/>
    <w:rsid w:val="73C51AD5"/>
    <w:rsid w:val="7419338E"/>
    <w:rsid w:val="741E793C"/>
    <w:rsid w:val="745E3944"/>
    <w:rsid w:val="74846F36"/>
    <w:rsid w:val="749F2977"/>
    <w:rsid w:val="74CF5FA2"/>
    <w:rsid w:val="74D56336"/>
    <w:rsid w:val="74F85306"/>
    <w:rsid w:val="751D38D6"/>
    <w:rsid w:val="754937FF"/>
    <w:rsid w:val="756B44B2"/>
    <w:rsid w:val="75F70765"/>
    <w:rsid w:val="75FC4D15"/>
    <w:rsid w:val="7635099D"/>
    <w:rsid w:val="763538B6"/>
    <w:rsid w:val="764C02EF"/>
    <w:rsid w:val="76733229"/>
    <w:rsid w:val="767879C7"/>
    <w:rsid w:val="76F27EDD"/>
    <w:rsid w:val="77214B73"/>
    <w:rsid w:val="77762421"/>
    <w:rsid w:val="779D56E3"/>
    <w:rsid w:val="77A65458"/>
    <w:rsid w:val="77B54BE6"/>
    <w:rsid w:val="77B56B1F"/>
    <w:rsid w:val="780F09F4"/>
    <w:rsid w:val="781654E9"/>
    <w:rsid w:val="78434743"/>
    <w:rsid w:val="785F795D"/>
    <w:rsid w:val="789022BC"/>
    <w:rsid w:val="78A90480"/>
    <w:rsid w:val="78AF2E48"/>
    <w:rsid w:val="78CB2289"/>
    <w:rsid w:val="78D83818"/>
    <w:rsid w:val="78E923A9"/>
    <w:rsid w:val="79926909"/>
    <w:rsid w:val="7993773F"/>
    <w:rsid w:val="799F0AD9"/>
    <w:rsid w:val="79BC6C95"/>
    <w:rsid w:val="7A0B5527"/>
    <w:rsid w:val="7A364017"/>
    <w:rsid w:val="7A41719B"/>
    <w:rsid w:val="7A472115"/>
    <w:rsid w:val="7A7E7848"/>
    <w:rsid w:val="7A8265E1"/>
    <w:rsid w:val="7AA35CED"/>
    <w:rsid w:val="7AF64074"/>
    <w:rsid w:val="7AFD5155"/>
    <w:rsid w:val="7B4A02D1"/>
    <w:rsid w:val="7B5C7242"/>
    <w:rsid w:val="7B686D42"/>
    <w:rsid w:val="7B6F7EF6"/>
    <w:rsid w:val="7B841746"/>
    <w:rsid w:val="7B8A7F04"/>
    <w:rsid w:val="7B95154C"/>
    <w:rsid w:val="7BA752B7"/>
    <w:rsid w:val="7BF408DF"/>
    <w:rsid w:val="7BF664A1"/>
    <w:rsid w:val="7C6B6751"/>
    <w:rsid w:val="7C6C5AC7"/>
    <w:rsid w:val="7C7A3D92"/>
    <w:rsid w:val="7C986195"/>
    <w:rsid w:val="7CA0464C"/>
    <w:rsid w:val="7CC6544B"/>
    <w:rsid w:val="7CCD091D"/>
    <w:rsid w:val="7D0239FF"/>
    <w:rsid w:val="7D3B25C7"/>
    <w:rsid w:val="7D4C137B"/>
    <w:rsid w:val="7D5E40CD"/>
    <w:rsid w:val="7DAF266D"/>
    <w:rsid w:val="7DCD56F2"/>
    <w:rsid w:val="7E2669BE"/>
    <w:rsid w:val="7E2E4DD7"/>
    <w:rsid w:val="7E907353"/>
    <w:rsid w:val="7E9A50CB"/>
    <w:rsid w:val="7ECF684C"/>
    <w:rsid w:val="7F001CE7"/>
    <w:rsid w:val="7F0F548B"/>
    <w:rsid w:val="7F1C7C01"/>
    <w:rsid w:val="7F541580"/>
    <w:rsid w:val="7F870940"/>
    <w:rsid w:val="7FBA2D4C"/>
    <w:rsid w:val="7FCA2B7C"/>
    <w:rsid w:val="7FDE4AB0"/>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9"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0" w:semiHidden="0" w:name="toc 2" w:locked="1"/>
    <w:lsdException w:qFormat="1"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qFormat="1" w:unhideWhenUsed="0" w:uiPriority="99"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99"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unhideWhenUsed="0" w:uiPriority="0" w:semiHidden="0" w:name="Block Text" w:locked="1"/>
    <w:lsdException w:qFormat="1" w:uiPriority="99" w:semiHidden="0" w:name="Hyperlink" w:locked="1"/>
    <w:lsdException w:qFormat="1" w:unhideWhenUsed="0" w:uiPriority="0" w:semiHidden="0" w:name="FollowedHyperlink" w:locked="1"/>
    <w:lsdException w:qFormat="1" w:unhideWhenUsed="0" w:uiPriority="22" w:semiHidden="0" w:name="Strong" w:locked="1"/>
    <w:lsdException w:qFormat="1" w:unhideWhenUsed="0" w:uiPriority="0" w:semiHidden="0" w:name="Emphasis" w:locked="1"/>
    <w:lsdException w:qFormat="1"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autoRedefine/>
    <w:qFormat/>
    <w:locked/>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autoRedefine/>
    <w:qFormat/>
    <w:locked/>
    <w:uiPriority w:val="9"/>
    <w:pPr>
      <w:keepNext/>
      <w:keepLines/>
      <w:spacing w:line="360" w:lineRule="auto"/>
      <w:ind w:firstLine="640" w:firstLineChars="200"/>
      <w:outlineLvl w:val="1"/>
    </w:pPr>
    <w:rPr>
      <w:rFonts w:ascii="Arial" w:hAnsi="Arial" w:eastAsia="宋体"/>
    </w:rPr>
  </w:style>
  <w:style w:type="paragraph" w:styleId="4">
    <w:name w:val="heading 3"/>
    <w:basedOn w:val="3"/>
    <w:next w:val="1"/>
    <w:autoRedefine/>
    <w:qFormat/>
    <w:locked/>
    <w:uiPriority w:val="0"/>
    <w:pPr>
      <w:keepNext/>
      <w:keepLines/>
      <w:spacing w:before="260" w:after="260" w:line="416" w:lineRule="auto"/>
      <w:outlineLvl w:val="2"/>
    </w:pPr>
    <w:rPr>
      <w:sz w:val="32"/>
      <w:szCs w:val="32"/>
    </w:rPr>
  </w:style>
  <w:style w:type="paragraph" w:styleId="5">
    <w:name w:val="heading 4"/>
    <w:basedOn w:val="1"/>
    <w:next w:val="1"/>
    <w:autoRedefine/>
    <w:qFormat/>
    <w:locked/>
    <w:uiPriority w:val="0"/>
    <w:pPr>
      <w:keepNext/>
      <w:keepLines/>
      <w:spacing w:beforeLines="0" w:beforeAutospacing="0" w:afterLines="0" w:afterAutospacing="0" w:line="360" w:lineRule="auto"/>
      <w:outlineLvl w:val="3"/>
    </w:pPr>
    <w:rPr>
      <w:rFonts w:ascii="Arial" w:hAnsi="Arial" w:eastAsia="宋体"/>
      <w:b/>
      <w:sz w:val="24"/>
    </w:rPr>
  </w:style>
  <w:style w:type="character" w:default="1" w:styleId="34">
    <w:name w:val="Default Paragraph Font"/>
    <w:autoRedefine/>
    <w:semiHidden/>
    <w:qFormat/>
    <w:uiPriority w:val="0"/>
  </w:style>
  <w:style w:type="table" w:default="1" w:styleId="32">
    <w:name w:val="Normal Table"/>
    <w:autoRedefine/>
    <w:semiHidden/>
    <w:qFormat/>
    <w:uiPriority w:val="0"/>
    <w:tblPr>
      <w:tblCellMar>
        <w:top w:w="0" w:type="dxa"/>
        <w:left w:w="108" w:type="dxa"/>
        <w:bottom w:w="0" w:type="dxa"/>
        <w:right w:w="108" w:type="dxa"/>
      </w:tblCellMar>
    </w:tblPr>
  </w:style>
  <w:style w:type="paragraph" w:styleId="6">
    <w:name w:val="Normal Indent"/>
    <w:basedOn w:val="1"/>
    <w:next w:val="1"/>
    <w:link w:val="52"/>
    <w:autoRedefine/>
    <w:qFormat/>
    <w:locked/>
    <w:uiPriority w:val="0"/>
    <w:pPr>
      <w:ind w:firstLine="420" w:firstLineChars="200"/>
    </w:pPr>
  </w:style>
  <w:style w:type="paragraph" w:styleId="7">
    <w:name w:val="caption"/>
    <w:basedOn w:val="1"/>
    <w:next w:val="8"/>
    <w:autoRedefine/>
    <w:qFormat/>
    <w:locked/>
    <w:uiPriority w:val="0"/>
    <w:rPr>
      <w:rFonts w:ascii="Arial" w:hAnsi="Arial" w:eastAsia="黑体"/>
      <w:sz w:val="20"/>
      <w:szCs w:val="20"/>
    </w:rPr>
  </w:style>
  <w:style w:type="paragraph" w:customStyle="1" w:styleId="8">
    <w:name w:val="正文 A"/>
    <w:autoRedefine/>
    <w:qFormat/>
    <w:uiPriority w:val="0"/>
    <w:pPr>
      <w:widowControl w:val="0"/>
      <w:jc w:val="both"/>
    </w:pPr>
    <w:rPr>
      <w:rFonts w:ascii="Times New Roman" w:hAnsi="Times New Roman" w:eastAsia="Arial Unicode MS" w:cs="Arial Unicode MS"/>
      <w:color w:val="000000"/>
      <w:kern w:val="2"/>
      <w:sz w:val="21"/>
      <w:szCs w:val="21"/>
      <w:lang w:val="en-US" w:eastAsia="zh-CN" w:bidi="ar-SA"/>
    </w:rPr>
  </w:style>
  <w:style w:type="paragraph" w:styleId="9">
    <w:name w:val="Document Map"/>
    <w:basedOn w:val="1"/>
    <w:link w:val="53"/>
    <w:autoRedefine/>
    <w:qFormat/>
    <w:locked/>
    <w:uiPriority w:val="0"/>
    <w:rPr>
      <w:rFonts w:ascii="宋体"/>
      <w:sz w:val="18"/>
      <w:szCs w:val="18"/>
    </w:rPr>
  </w:style>
  <w:style w:type="paragraph" w:styleId="10">
    <w:name w:val="annotation text"/>
    <w:basedOn w:val="1"/>
    <w:link w:val="54"/>
    <w:autoRedefine/>
    <w:qFormat/>
    <w:uiPriority w:val="0"/>
    <w:pPr>
      <w:jc w:val="left"/>
    </w:pPr>
    <w:rPr>
      <w:kern w:val="0"/>
      <w:sz w:val="24"/>
      <w:szCs w:val="20"/>
    </w:rPr>
  </w:style>
  <w:style w:type="paragraph" w:styleId="11">
    <w:name w:val="Body Text"/>
    <w:basedOn w:val="1"/>
    <w:next w:val="1"/>
    <w:link w:val="55"/>
    <w:autoRedefine/>
    <w:qFormat/>
    <w:uiPriority w:val="0"/>
    <w:pPr>
      <w:widowControl/>
      <w:snapToGrid w:val="0"/>
      <w:spacing w:before="60" w:after="160" w:line="259" w:lineRule="auto"/>
      <w:ind w:right="113"/>
    </w:pPr>
    <w:rPr>
      <w:kern w:val="0"/>
      <w:sz w:val="18"/>
      <w:szCs w:val="20"/>
    </w:rPr>
  </w:style>
  <w:style w:type="paragraph" w:styleId="12">
    <w:name w:val="Body Text Indent"/>
    <w:basedOn w:val="1"/>
    <w:next w:val="13"/>
    <w:link w:val="56"/>
    <w:autoRedefine/>
    <w:qFormat/>
    <w:uiPriority w:val="0"/>
    <w:pPr>
      <w:spacing w:after="120"/>
      <w:ind w:left="420" w:leftChars="200"/>
    </w:pPr>
    <w:rPr>
      <w:kern w:val="0"/>
      <w:sz w:val="24"/>
      <w:szCs w:val="20"/>
    </w:rPr>
  </w:style>
  <w:style w:type="paragraph" w:styleId="13">
    <w:name w:val="Body Text Indent 2"/>
    <w:basedOn w:val="1"/>
    <w:next w:val="14"/>
    <w:autoRedefine/>
    <w:qFormat/>
    <w:locked/>
    <w:uiPriority w:val="0"/>
    <w:pPr>
      <w:spacing w:after="120" w:afterLines="0" w:line="480" w:lineRule="auto"/>
      <w:ind w:left="420" w:leftChars="200"/>
    </w:pPr>
  </w:style>
  <w:style w:type="paragraph" w:styleId="14">
    <w:name w:val="header"/>
    <w:basedOn w:val="1"/>
    <w:link w:val="62"/>
    <w:autoRedefine/>
    <w:qFormat/>
    <w:uiPriority w:val="0"/>
    <w:pPr>
      <w:pBdr>
        <w:bottom w:val="single" w:color="auto" w:sz="6" w:space="1"/>
      </w:pBdr>
      <w:tabs>
        <w:tab w:val="center" w:pos="4153"/>
        <w:tab w:val="right" w:pos="8306"/>
      </w:tabs>
      <w:snapToGrid w:val="0"/>
      <w:jc w:val="center"/>
    </w:pPr>
    <w:rPr>
      <w:kern w:val="0"/>
      <w:sz w:val="18"/>
      <w:szCs w:val="20"/>
    </w:rPr>
  </w:style>
  <w:style w:type="paragraph" w:styleId="15">
    <w:name w:val="toc 3"/>
    <w:basedOn w:val="1"/>
    <w:next w:val="1"/>
    <w:autoRedefine/>
    <w:qFormat/>
    <w:locked/>
    <w:uiPriority w:val="0"/>
    <w:pPr>
      <w:ind w:left="840" w:leftChars="400"/>
    </w:pPr>
  </w:style>
  <w:style w:type="paragraph" w:styleId="16">
    <w:name w:val="Plain Text"/>
    <w:basedOn w:val="1"/>
    <w:link w:val="58"/>
    <w:autoRedefine/>
    <w:qFormat/>
    <w:locked/>
    <w:uiPriority w:val="0"/>
    <w:rPr>
      <w:rFonts w:ascii="宋体" w:hAnsi="Courier New"/>
      <w:sz w:val="20"/>
      <w:szCs w:val="20"/>
    </w:rPr>
  </w:style>
  <w:style w:type="paragraph" w:styleId="17">
    <w:name w:val="Date"/>
    <w:basedOn w:val="1"/>
    <w:next w:val="1"/>
    <w:link w:val="59"/>
    <w:autoRedefine/>
    <w:qFormat/>
    <w:uiPriority w:val="0"/>
    <w:pPr>
      <w:ind w:left="100" w:leftChars="2500"/>
    </w:pPr>
    <w:rPr>
      <w:kern w:val="0"/>
      <w:sz w:val="24"/>
      <w:szCs w:val="20"/>
    </w:rPr>
  </w:style>
  <w:style w:type="paragraph" w:styleId="18">
    <w:name w:val="Balloon Text"/>
    <w:basedOn w:val="1"/>
    <w:link w:val="60"/>
    <w:autoRedefine/>
    <w:semiHidden/>
    <w:qFormat/>
    <w:uiPriority w:val="0"/>
    <w:rPr>
      <w:kern w:val="0"/>
      <w:sz w:val="18"/>
      <w:szCs w:val="20"/>
    </w:rPr>
  </w:style>
  <w:style w:type="paragraph" w:styleId="19">
    <w:name w:val="footer"/>
    <w:basedOn w:val="1"/>
    <w:link w:val="61"/>
    <w:autoRedefine/>
    <w:qFormat/>
    <w:uiPriority w:val="99"/>
    <w:pPr>
      <w:tabs>
        <w:tab w:val="center" w:pos="4153"/>
        <w:tab w:val="right" w:pos="8306"/>
      </w:tabs>
      <w:snapToGrid w:val="0"/>
      <w:jc w:val="left"/>
    </w:pPr>
    <w:rPr>
      <w:kern w:val="0"/>
      <w:sz w:val="18"/>
      <w:szCs w:val="20"/>
    </w:rPr>
  </w:style>
  <w:style w:type="paragraph" w:styleId="20">
    <w:name w:val="toc 1"/>
    <w:basedOn w:val="1"/>
    <w:next w:val="1"/>
    <w:autoRedefine/>
    <w:qFormat/>
    <w:locked/>
    <w:uiPriority w:val="0"/>
  </w:style>
  <w:style w:type="paragraph" w:styleId="21">
    <w:name w:val="index heading"/>
    <w:basedOn w:val="1"/>
    <w:next w:val="22"/>
    <w:autoRedefine/>
    <w:qFormat/>
    <w:locked/>
    <w:uiPriority w:val="99"/>
    <w:rPr>
      <w:szCs w:val="20"/>
    </w:rPr>
  </w:style>
  <w:style w:type="paragraph" w:styleId="22">
    <w:name w:val="index 1"/>
    <w:basedOn w:val="1"/>
    <w:next w:val="1"/>
    <w:autoRedefine/>
    <w:unhideWhenUsed/>
    <w:qFormat/>
    <w:locked/>
    <w:uiPriority w:val="0"/>
  </w:style>
  <w:style w:type="paragraph" w:styleId="23">
    <w:name w:val="Subtitle"/>
    <w:basedOn w:val="1"/>
    <w:next w:val="1"/>
    <w:link w:val="63"/>
    <w:autoRedefine/>
    <w:qFormat/>
    <w:locked/>
    <w:uiPriority w:val="99"/>
    <w:pPr>
      <w:spacing w:line="320" w:lineRule="exact"/>
      <w:ind w:firstLine="200" w:firstLineChars="200"/>
      <w:jc w:val="center"/>
    </w:pPr>
    <w:rPr>
      <w:rFonts w:ascii="Cambria" w:hAnsi="Cambria" w:eastAsia="Times New Roman"/>
      <w:bCs/>
      <w:kern w:val="28"/>
      <w:sz w:val="24"/>
      <w:szCs w:val="32"/>
    </w:rPr>
  </w:style>
  <w:style w:type="paragraph" w:styleId="24">
    <w:name w:val="List"/>
    <w:basedOn w:val="1"/>
    <w:autoRedefine/>
    <w:qFormat/>
    <w:locked/>
    <w:uiPriority w:val="0"/>
    <w:pPr>
      <w:ind w:left="420" w:hanging="420"/>
    </w:pPr>
    <w:rPr>
      <w:sz w:val="28"/>
      <w:szCs w:val="20"/>
    </w:rPr>
  </w:style>
  <w:style w:type="paragraph" w:styleId="25">
    <w:name w:val="Body Text Indent 3"/>
    <w:basedOn w:val="1"/>
    <w:autoRedefine/>
    <w:qFormat/>
    <w:locked/>
    <w:uiPriority w:val="0"/>
    <w:pPr>
      <w:spacing w:after="120" w:afterLines="0"/>
      <w:ind w:left="420" w:leftChars="200"/>
    </w:pPr>
    <w:rPr>
      <w:sz w:val="16"/>
      <w:szCs w:val="16"/>
    </w:rPr>
  </w:style>
  <w:style w:type="paragraph" w:styleId="26">
    <w:name w:val="toc 2"/>
    <w:basedOn w:val="1"/>
    <w:next w:val="1"/>
    <w:autoRedefine/>
    <w:qFormat/>
    <w:locked/>
    <w:uiPriority w:val="0"/>
    <w:pPr>
      <w:ind w:left="420" w:leftChars="200"/>
    </w:pPr>
  </w:style>
  <w:style w:type="paragraph" w:styleId="27">
    <w:name w:val="Normal (Web)"/>
    <w:basedOn w:val="1"/>
    <w:link w:val="64"/>
    <w:autoRedefine/>
    <w:qFormat/>
    <w:uiPriority w:val="0"/>
    <w:pPr>
      <w:widowControl/>
      <w:spacing w:before="100" w:beforeAutospacing="1" w:after="100" w:afterAutospacing="1"/>
      <w:jc w:val="left"/>
    </w:pPr>
    <w:rPr>
      <w:rFonts w:ascii="宋体" w:hAnsi="宋体"/>
      <w:kern w:val="0"/>
      <w:sz w:val="24"/>
      <w:szCs w:val="20"/>
    </w:rPr>
  </w:style>
  <w:style w:type="paragraph" w:styleId="28">
    <w:name w:val="Title"/>
    <w:basedOn w:val="1"/>
    <w:next w:val="1"/>
    <w:link w:val="65"/>
    <w:autoRedefine/>
    <w:qFormat/>
    <w:locked/>
    <w:uiPriority w:val="0"/>
    <w:pPr>
      <w:spacing w:line="440" w:lineRule="exact"/>
      <w:ind w:firstLine="200" w:firstLineChars="200"/>
    </w:pPr>
    <w:rPr>
      <w:bCs/>
      <w:sz w:val="24"/>
      <w:szCs w:val="32"/>
    </w:rPr>
  </w:style>
  <w:style w:type="paragraph" w:styleId="29">
    <w:name w:val="annotation subject"/>
    <w:basedOn w:val="10"/>
    <w:next w:val="10"/>
    <w:link w:val="66"/>
    <w:autoRedefine/>
    <w:semiHidden/>
    <w:qFormat/>
    <w:uiPriority w:val="0"/>
    <w:rPr>
      <w:b/>
      <w:kern w:val="2"/>
    </w:rPr>
  </w:style>
  <w:style w:type="paragraph" w:styleId="30">
    <w:name w:val="Body Text First Indent"/>
    <w:basedOn w:val="11"/>
    <w:next w:val="1"/>
    <w:autoRedefine/>
    <w:qFormat/>
    <w:locked/>
    <w:uiPriority w:val="0"/>
    <w:pPr>
      <w:widowControl w:val="0"/>
      <w:snapToGrid/>
      <w:spacing w:before="0" w:after="120" w:line="360" w:lineRule="auto"/>
      <w:ind w:right="0" w:firstLine="420" w:firstLineChars="100"/>
    </w:pPr>
    <w:rPr>
      <w:kern w:val="2"/>
      <w:sz w:val="24"/>
      <w:szCs w:val="24"/>
    </w:rPr>
  </w:style>
  <w:style w:type="paragraph" w:styleId="31">
    <w:name w:val="Body Text First Indent 2"/>
    <w:basedOn w:val="12"/>
    <w:next w:val="1"/>
    <w:link w:val="57"/>
    <w:autoRedefine/>
    <w:qFormat/>
    <w:locked/>
    <w:uiPriority w:val="0"/>
    <w:pPr>
      <w:tabs>
        <w:tab w:val="left" w:pos="540"/>
      </w:tabs>
      <w:spacing w:after="120" w:afterLines="0"/>
      <w:ind w:left="420" w:leftChars="200" w:firstLine="420" w:firstLineChars="200"/>
    </w:pPr>
    <w:rPr>
      <w:sz w:val="21"/>
    </w:rPr>
  </w:style>
  <w:style w:type="table" w:styleId="33">
    <w:name w:val="Table Grid"/>
    <w:basedOn w:val="32"/>
    <w:autoRedefine/>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Strong"/>
    <w:autoRedefine/>
    <w:qFormat/>
    <w:locked/>
    <w:uiPriority w:val="22"/>
    <w:rPr>
      <w:b/>
      <w:bCs/>
    </w:rPr>
  </w:style>
  <w:style w:type="character" w:styleId="36">
    <w:name w:val="page number"/>
    <w:autoRedefine/>
    <w:qFormat/>
    <w:locked/>
    <w:uiPriority w:val="0"/>
  </w:style>
  <w:style w:type="character" w:styleId="37">
    <w:name w:val="FollowedHyperlink"/>
    <w:basedOn w:val="34"/>
    <w:autoRedefine/>
    <w:qFormat/>
    <w:locked/>
    <w:uiPriority w:val="0"/>
    <w:rPr>
      <w:color w:val="954F72"/>
      <w:u w:val="single"/>
    </w:rPr>
  </w:style>
  <w:style w:type="character" w:styleId="38">
    <w:name w:val="Hyperlink"/>
    <w:autoRedefine/>
    <w:unhideWhenUsed/>
    <w:qFormat/>
    <w:locked/>
    <w:uiPriority w:val="99"/>
    <w:rPr>
      <w:color w:val="0000FF"/>
      <w:u w:val="single"/>
    </w:rPr>
  </w:style>
  <w:style w:type="character" w:styleId="39">
    <w:name w:val="annotation reference"/>
    <w:autoRedefine/>
    <w:qFormat/>
    <w:uiPriority w:val="0"/>
    <w:rPr>
      <w:sz w:val="21"/>
    </w:rPr>
  </w:style>
  <w:style w:type="paragraph" w:customStyle="1" w:styleId="40">
    <w:name w:val="Default"/>
    <w:basedOn w:val="41"/>
    <w:autoRedefine/>
    <w:qFormat/>
    <w:uiPriority w:val="0"/>
    <w:pPr>
      <w:widowControl w:val="0"/>
      <w:autoSpaceDE w:val="0"/>
      <w:autoSpaceDN w:val="0"/>
      <w:adjustRightInd w:val="0"/>
    </w:pPr>
    <w:rPr>
      <w:rFonts w:ascii="宋体" w:hAnsi="宋体"/>
      <w:color w:val="000000"/>
      <w:sz w:val="24"/>
      <w:lang w:val="en-US" w:eastAsia="zh-CN" w:bidi="ar-SA"/>
    </w:rPr>
  </w:style>
  <w:style w:type="paragraph" w:customStyle="1" w:styleId="41">
    <w:name w:val="纯文本1"/>
    <w:basedOn w:val="1"/>
    <w:autoRedefine/>
    <w:qFormat/>
    <w:uiPriority w:val="0"/>
    <w:rPr>
      <w:rFonts w:hint="eastAsia" w:ascii="宋体" w:hAnsi="Courier New"/>
      <w:szCs w:val="24"/>
    </w:rPr>
  </w:style>
  <w:style w:type="paragraph" w:customStyle="1" w:styleId="42">
    <w:name w:val="xl27"/>
    <w:basedOn w:val="1"/>
    <w:autoRedefine/>
    <w:qFormat/>
    <w:uiPriority w:val="0"/>
    <w:pPr>
      <w:widowControl/>
      <w:pBdr>
        <w:bottom w:val="single" w:color="auto" w:sz="12" w:space="0"/>
      </w:pBdr>
      <w:spacing w:before="100" w:after="100"/>
      <w:jc w:val="center"/>
    </w:pPr>
    <w:rPr>
      <w:rFonts w:ascii="宋体" w:hAnsi="宋体"/>
      <w:kern w:val="0"/>
      <w:szCs w:val="20"/>
    </w:rPr>
  </w:style>
  <w:style w:type="paragraph" w:customStyle="1" w:styleId="43">
    <w:name w:val="样式35"/>
    <w:next w:val="44"/>
    <w:autoRedefine/>
    <w:qFormat/>
    <w:uiPriority w:val="0"/>
    <w:pPr>
      <w:widowControl w:val="0"/>
      <w:spacing w:line="312" w:lineRule="auto"/>
      <w:ind w:firstLine="567"/>
      <w:jc w:val="both"/>
    </w:pPr>
    <w:rPr>
      <w:rFonts w:ascii="宋体" w:hAnsi="Times New Roman" w:eastAsia="宋体" w:cs="Times New Roman"/>
      <w:kern w:val="2"/>
      <w:sz w:val="21"/>
      <w:szCs w:val="22"/>
      <w:lang w:val="en-US" w:eastAsia="zh-CN" w:bidi="ar-SA"/>
    </w:rPr>
  </w:style>
  <w:style w:type="paragraph" w:customStyle="1" w:styleId="44">
    <w:name w:val="font6"/>
    <w:next w:val="26"/>
    <w:autoRedefine/>
    <w:qFormat/>
    <w:uiPriority w:val="0"/>
    <w:pPr>
      <w:spacing w:before="280" w:after="280"/>
      <w:jc w:val="both"/>
    </w:pPr>
    <w:rPr>
      <w:rFonts w:ascii="Times New Roman" w:hAnsi="Times New Roman" w:eastAsia="宋体" w:cs="Times New Roman"/>
      <w:kern w:val="2"/>
      <w:sz w:val="21"/>
      <w:szCs w:val="22"/>
      <w:lang w:val="en-US" w:eastAsia="zh-CN" w:bidi="ar-SA"/>
    </w:rPr>
  </w:style>
  <w:style w:type="paragraph" w:customStyle="1" w:styleId="45">
    <w:name w:val="1正文"/>
    <w:basedOn w:val="1"/>
    <w:next w:val="1"/>
    <w:autoRedefine/>
    <w:qFormat/>
    <w:uiPriority w:val="0"/>
    <w:pPr>
      <w:spacing w:line="500" w:lineRule="exact"/>
      <w:ind w:firstLine="588" w:firstLineChars="196"/>
    </w:pPr>
    <w:rPr>
      <w:rFonts w:eastAsia="楷体_GB2312"/>
      <w:sz w:val="30"/>
      <w:szCs w:val="30"/>
    </w:rPr>
  </w:style>
  <w:style w:type="paragraph" w:customStyle="1" w:styleId="46">
    <w:name w:val="正文1"/>
    <w:basedOn w:val="1"/>
    <w:next w:val="1"/>
    <w:autoRedefine/>
    <w:qFormat/>
    <w:uiPriority w:val="0"/>
    <w:pPr>
      <w:spacing w:line="360" w:lineRule="auto"/>
      <w:ind w:firstLine="723" w:firstLineChars="200"/>
    </w:pPr>
    <w:rPr>
      <w:kern w:val="0"/>
      <w:szCs w:val="20"/>
    </w:rPr>
  </w:style>
  <w:style w:type="paragraph" w:customStyle="1" w:styleId="47">
    <w:name w:val="Table Paragraph"/>
    <w:basedOn w:val="1"/>
    <w:next w:val="11"/>
    <w:autoRedefine/>
    <w:qFormat/>
    <w:uiPriority w:val="1"/>
    <w:pPr>
      <w:spacing w:line="440" w:lineRule="exact"/>
      <w:ind w:firstLine="200" w:firstLineChars="200"/>
      <w:jc w:val="center"/>
    </w:pPr>
    <w:rPr>
      <w:rFonts w:eastAsia="Times New Roman"/>
      <w:sz w:val="24"/>
      <w:szCs w:val="22"/>
      <w:lang w:val="zh-CN" w:bidi="zh-CN"/>
    </w:rPr>
  </w:style>
  <w:style w:type="paragraph" w:customStyle="1" w:styleId="48">
    <w:name w:val="表头"/>
    <w:basedOn w:val="1"/>
    <w:next w:val="1"/>
    <w:autoRedefine/>
    <w:qFormat/>
    <w:uiPriority w:val="0"/>
    <w:pPr>
      <w:spacing w:line="360" w:lineRule="auto"/>
      <w:ind w:firstLine="0" w:firstLineChars="0"/>
      <w:jc w:val="center"/>
    </w:pPr>
    <w:rPr>
      <w:rFonts w:eastAsia="黑体"/>
      <w:kern w:val="0"/>
      <w:szCs w:val="21"/>
    </w:rPr>
  </w:style>
  <w:style w:type="paragraph" w:customStyle="1" w:styleId="49">
    <w:name w:val="_Style 1"/>
    <w:autoRedefine/>
    <w:qFormat/>
    <w:uiPriority w:val="1"/>
    <w:pPr>
      <w:adjustRightInd w:val="0"/>
      <w:snapToGrid w:val="0"/>
      <w:spacing w:line="480" w:lineRule="exact"/>
      <w:ind w:firstLine="480" w:firstLineChars="200"/>
    </w:pPr>
    <w:rPr>
      <w:rFonts w:ascii="Times New Roman" w:hAnsi="Times New Roman" w:eastAsia="宋体" w:cs="Times New Roman"/>
      <w:sz w:val="24"/>
      <w:szCs w:val="22"/>
      <w:lang w:val="en-US" w:eastAsia="zh-CN" w:bidi="ar-SA"/>
    </w:rPr>
  </w:style>
  <w:style w:type="paragraph" w:customStyle="1" w:styleId="50">
    <w:name w:val="样式9"/>
    <w:basedOn w:val="1"/>
    <w:autoRedefine/>
    <w:qFormat/>
    <w:uiPriority w:val="0"/>
    <w:pPr>
      <w:adjustRightInd w:val="0"/>
      <w:snapToGrid w:val="0"/>
      <w:spacing w:line="460" w:lineRule="exact"/>
      <w:ind w:firstLine="520" w:firstLineChars="200"/>
    </w:pPr>
    <w:rPr>
      <w:sz w:val="26"/>
      <w:szCs w:val="26"/>
    </w:rPr>
  </w:style>
  <w:style w:type="paragraph" w:customStyle="1" w:styleId="51">
    <w:name w:val="样式1"/>
    <w:basedOn w:val="21"/>
    <w:next w:val="1"/>
    <w:autoRedefine/>
    <w:qFormat/>
    <w:uiPriority w:val="0"/>
    <w:pPr>
      <w:spacing w:beforeLines="50" w:line="440" w:lineRule="exact"/>
      <w:ind w:left="100" w:leftChars="100"/>
    </w:pPr>
    <w:rPr>
      <w:rFonts w:ascii="宋体" w:hAnsi="宋体"/>
    </w:rPr>
  </w:style>
  <w:style w:type="character" w:customStyle="1" w:styleId="52">
    <w:name w:val="正文缩进 字符"/>
    <w:link w:val="6"/>
    <w:autoRedefine/>
    <w:qFormat/>
    <w:locked/>
    <w:uiPriority w:val="0"/>
    <w:rPr>
      <w:kern w:val="2"/>
      <w:sz w:val="21"/>
      <w:szCs w:val="24"/>
    </w:rPr>
  </w:style>
  <w:style w:type="character" w:customStyle="1" w:styleId="53">
    <w:name w:val="文档结构图 字符"/>
    <w:link w:val="9"/>
    <w:autoRedefine/>
    <w:qFormat/>
    <w:uiPriority w:val="0"/>
    <w:rPr>
      <w:rFonts w:ascii="宋体"/>
      <w:kern w:val="2"/>
      <w:sz w:val="18"/>
      <w:szCs w:val="18"/>
    </w:rPr>
  </w:style>
  <w:style w:type="character" w:customStyle="1" w:styleId="54">
    <w:name w:val="批注文字 字符"/>
    <w:link w:val="10"/>
    <w:autoRedefine/>
    <w:qFormat/>
    <w:locked/>
    <w:uiPriority w:val="0"/>
    <w:rPr>
      <w:rFonts w:ascii="Times New Roman" w:hAnsi="Times New Roman" w:eastAsia="宋体"/>
      <w:sz w:val="24"/>
    </w:rPr>
  </w:style>
  <w:style w:type="character" w:customStyle="1" w:styleId="55">
    <w:name w:val="正文文本 字符"/>
    <w:link w:val="11"/>
    <w:autoRedefine/>
    <w:qFormat/>
    <w:locked/>
    <w:uiPriority w:val="0"/>
    <w:rPr>
      <w:sz w:val="18"/>
    </w:rPr>
  </w:style>
  <w:style w:type="character" w:customStyle="1" w:styleId="56">
    <w:name w:val="正文文本缩进 字符"/>
    <w:link w:val="12"/>
    <w:autoRedefine/>
    <w:semiHidden/>
    <w:qFormat/>
    <w:locked/>
    <w:uiPriority w:val="0"/>
    <w:rPr>
      <w:rFonts w:ascii="Times New Roman" w:hAnsi="Times New Roman" w:eastAsia="宋体"/>
      <w:sz w:val="24"/>
    </w:rPr>
  </w:style>
  <w:style w:type="character" w:customStyle="1" w:styleId="57">
    <w:name w:val="正文文本首行缩进 2 字符"/>
    <w:link w:val="31"/>
    <w:autoRedefine/>
    <w:qFormat/>
    <w:uiPriority w:val="0"/>
    <w:rPr>
      <w:sz w:val="21"/>
    </w:rPr>
  </w:style>
  <w:style w:type="character" w:customStyle="1" w:styleId="58">
    <w:name w:val="纯文本 字符"/>
    <w:link w:val="16"/>
    <w:autoRedefine/>
    <w:qFormat/>
    <w:uiPriority w:val="0"/>
    <w:rPr>
      <w:rFonts w:ascii="宋体" w:hAnsi="Courier New"/>
      <w:kern w:val="2"/>
    </w:rPr>
  </w:style>
  <w:style w:type="character" w:customStyle="1" w:styleId="59">
    <w:name w:val="日期 字符1"/>
    <w:link w:val="17"/>
    <w:autoRedefine/>
    <w:qFormat/>
    <w:locked/>
    <w:uiPriority w:val="0"/>
    <w:rPr>
      <w:rFonts w:ascii="Times New Roman" w:hAnsi="Times New Roman" w:eastAsia="宋体"/>
      <w:sz w:val="24"/>
    </w:rPr>
  </w:style>
  <w:style w:type="character" w:customStyle="1" w:styleId="60">
    <w:name w:val="批注框文本 字符"/>
    <w:link w:val="18"/>
    <w:autoRedefine/>
    <w:semiHidden/>
    <w:qFormat/>
    <w:locked/>
    <w:uiPriority w:val="0"/>
    <w:rPr>
      <w:rFonts w:ascii="Times New Roman" w:hAnsi="Times New Roman" w:eastAsia="宋体"/>
      <w:sz w:val="18"/>
    </w:rPr>
  </w:style>
  <w:style w:type="character" w:customStyle="1" w:styleId="61">
    <w:name w:val="页脚 字符1"/>
    <w:link w:val="19"/>
    <w:autoRedefine/>
    <w:qFormat/>
    <w:locked/>
    <w:uiPriority w:val="99"/>
    <w:rPr>
      <w:sz w:val="18"/>
    </w:rPr>
  </w:style>
  <w:style w:type="character" w:customStyle="1" w:styleId="62">
    <w:name w:val="页眉 字符"/>
    <w:link w:val="14"/>
    <w:autoRedefine/>
    <w:qFormat/>
    <w:locked/>
    <w:uiPriority w:val="0"/>
    <w:rPr>
      <w:sz w:val="18"/>
    </w:rPr>
  </w:style>
  <w:style w:type="character" w:customStyle="1" w:styleId="63">
    <w:name w:val="副标题 字符"/>
    <w:link w:val="23"/>
    <w:autoRedefine/>
    <w:qFormat/>
    <w:uiPriority w:val="99"/>
    <w:rPr>
      <w:rFonts w:ascii="Cambria" w:hAnsi="Cambria" w:eastAsia="Times New Roman"/>
      <w:bCs/>
      <w:kern w:val="28"/>
      <w:sz w:val="24"/>
      <w:szCs w:val="32"/>
    </w:rPr>
  </w:style>
  <w:style w:type="character" w:customStyle="1" w:styleId="64">
    <w:name w:val="普通(网站) 字符"/>
    <w:link w:val="27"/>
    <w:autoRedefine/>
    <w:qFormat/>
    <w:locked/>
    <w:uiPriority w:val="0"/>
    <w:rPr>
      <w:rFonts w:ascii="宋体" w:hAnsi="宋体" w:eastAsia="宋体"/>
      <w:sz w:val="24"/>
    </w:rPr>
  </w:style>
  <w:style w:type="character" w:customStyle="1" w:styleId="65">
    <w:name w:val="标题 字符"/>
    <w:link w:val="28"/>
    <w:autoRedefine/>
    <w:qFormat/>
    <w:uiPriority w:val="0"/>
    <w:rPr>
      <w:bCs/>
      <w:kern w:val="2"/>
      <w:sz w:val="24"/>
      <w:szCs w:val="32"/>
    </w:rPr>
  </w:style>
  <w:style w:type="character" w:customStyle="1" w:styleId="66">
    <w:name w:val="批注主题 字符"/>
    <w:link w:val="29"/>
    <w:autoRedefine/>
    <w:semiHidden/>
    <w:qFormat/>
    <w:locked/>
    <w:uiPriority w:val="0"/>
    <w:rPr>
      <w:rFonts w:ascii="Times New Roman" w:hAnsi="Times New Roman" w:eastAsia="宋体"/>
      <w:b/>
      <w:kern w:val="2"/>
      <w:sz w:val="24"/>
    </w:rPr>
  </w:style>
  <w:style w:type="character" w:customStyle="1" w:styleId="67">
    <w:name w:val="正文文本 字符1"/>
    <w:autoRedefine/>
    <w:semiHidden/>
    <w:qFormat/>
    <w:uiPriority w:val="0"/>
    <w:rPr>
      <w:rFonts w:ascii="Times New Roman" w:hAnsi="Times New Roman" w:eastAsia="宋体"/>
      <w:sz w:val="24"/>
    </w:rPr>
  </w:style>
  <w:style w:type="character" w:customStyle="1" w:styleId="68">
    <w:name w:val="fontstyle01"/>
    <w:autoRedefine/>
    <w:qFormat/>
    <w:uiPriority w:val="0"/>
    <w:rPr>
      <w:rFonts w:ascii="宋体" w:hAnsi="宋体" w:eastAsia="宋体" w:cs="宋体"/>
      <w:color w:val="000000"/>
      <w:sz w:val="24"/>
      <w:szCs w:val="24"/>
    </w:rPr>
  </w:style>
  <w:style w:type="character" w:customStyle="1" w:styleId="69">
    <w:name w:val="表格 Char"/>
    <w:link w:val="70"/>
    <w:autoRedefine/>
    <w:qFormat/>
    <w:locked/>
    <w:uiPriority w:val="0"/>
    <w:rPr>
      <w:rFonts w:ascii="宋体"/>
      <w:sz w:val="21"/>
    </w:rPr>
  </w:style>
  <w:style w:type="paragraph" w:customStyle="1" w:styleId="70">
    <w:name w:val="表格"/>
    <w:basedOn w:val="71"/>
    <w:next w:val="1"/>
    <w:link w:val="69"/>
    <w:autoRedefine/>
    <w:qFormat/>
    <w:uiPriority w:val="0"/>
    <w:pPr>
      <w:tabs>
        <w:tab w:val="left" w:pos="940"/>
      </w:tabs>
      <w:adjustRightInd w:val="0"/>
      <w:snapToGrid w:val="0"/>
      <w:spacing w:beforeLines="10" w:afterLines="10" w:line="259" w:lineRule="auto"/>
      <w:jc w:val="center"/>
    </w:pPr>
    <w:rPr>
      <w:rFonts w:ascii="宋体"/>
      <w:kern w:val="0"/>
      <w:szCs w:val="20"/>
    </w:rPr>
  </w:style>
  <w:style w:type="paragraph" w:customStyle="1" w:styleId="71">
    <w:name w:val="表题"/>
    <w:basedOn w:val="1"/>
    <w:autoRedefine/>
    <w:qFormat/>
    <w:uiPriority w:val="0"/>
    <w:pPr>
      <w:tabs>
        <w:tab w:val="left" w:pos="940"/>
      </w:tabs>
      <w:snapToGrid w:val="0"/>
      <w:spacing w:line="240" w:lineRule="auto"/>
      <w:jc w:val="center"/>
    </w:pPr>
    <w:rPr>
      <w:rFonts w:eastAsia="黑体"/>
      <w:sz w:val="21"/>
      <w:szCs w:val="20"/>
    </w:rPr>
  </w:style>
  <w:style w:type="character" w:customStyle="1" w:styleId="72">
    <w:name w:val="页脚 字符"/>
    <w:autoRedefine/>
    <w:qFormat/>
    <w:uiPriority w:val="99"/>
  </w:style>
  <w:style w:type="character" w:customStyle="1" w:styleId="73">
    <w:name w:val="批注文字 字符1"/>
    <w:autoRedefine/>
    <w:semiHidden/>
    <w:qFormat/>
    <w:uiPriority w:val="0"/>
    <w:rPr>
      <w:rFonts w:ascii="Times New Roman" w:hAnsi="Times New Roman" w:eastAsia="宋体"/>
      <w:sz w:val="24"/>
    </w:rPr>
  </w:style>
  <w:style w:type="character" w:customStyle="1" w:styleId="74">
    <w:name w:val="日期 字符"/>
    <w:autoRedefine/>
    <w:semiHidden/>
    <w:qFormat/>
    <w:uiPriority w:val="0"/>
    <w:rPr>
      <w:rFonts w:ascii="Times New Roman" w:hAnsi="Times New Roman" w:eastAsia="宋体"/>
      <w:sz w:val="24"/>
    </w:rPr>
  </w:style>
  <w:style w:type="paragraph" w:styleId="75">
    <w:name w:val="List Paragraph"/>
    <w:basedOn w:val="1"/>
    <w:autoRedefine/>
    <w:qFormat/>
    <w:uiPriority w:val="34"/>
    <w:pPr>
      <w:widowControl/>
      <w:ind w:firstLine="420" w:firstLineChars="200"/>
      <w:jc w:val="left"/>
    </w:pPr>
    <w:rPr>
      <w:rFonts w:ascii="宋体" w:hAnsi="宋体" w:cs="宋体"/>
      <w:kern w:val="0"/>
    </w:rPr>
  </w:style>
  <w:style w:type="paragraph" w:customStyle="1" w:styleId="76">
    <w:name w:val="表格 32"/>
    <w:basedOn w:val="1"/>
    <w:link w:val="77"/>
    <w:autoRedefine/>
    <w:qFormat/>
    <w:uiPriority w:val="0"/>
    <w:pPr>
      <w:autoSpaceDE w:val="0"/>
      <w:autoSpaceDN w:val="0"/>
      <w:adjustRightInd w:val="0"/>
      <w:jc w:val="center"/>
      <w:textAlignment w:val="baseline"/>
    </w:pPr>
    <w:rPr>
      <w:rFonts w:ascii="宋体" w:hAnsi="Impact"/>
      <w:kern w:val="24"/>
      <w:sz w:val="24"/>
      <w:szCs w:val="20"/>
    </w:rPr>
  </w:style>
  <w:style w:type="character" w:customStyle="1" w:styleId="77">
    <w:name w:val="表格 32 Char"/>
    <w:link w:val="76"/>
    <w:autoRedefine/>
    <w:qFormat/>
    <w:uiPriority w:val="0"/>
    <w:rPr>
      <w:rFonts w:ascii="宋体" w:hAnsi="Impact"/>
      <w:kern w:val="24"/>
      <w:sz w:val="24"/>
    </w:rPr>
  </w:style>
  <w:style w:type="paragraph" w:customStyle="1" w:styleId="78">
    <w:name w:val="表格文字"/>
    <w:basedOn w:val="30"/>
    <w:next w:val="1"/>
    <w:link w:val="79"/>
    <w:autoRedefine/>
    <w:qFormat/>
    <w:uiPriority w:val="0"/>
    <w:pPr>
      <w:widowControl/>
      <w:spacing w:before="78" w:beforeLines="25" w:after="78" w:afterLines="25"/>
      <w:ind w:left="0" w:leftChars="0"/>
      <w:jc w:val="center"/>
    </w:pPr>
    <w:rPr>
      <w:rFonts w:ascii="宋体" w:hAnsi="宋体" w:eastAsia="仿宋_GB2312"/>
      <w:kern w:val="0"/>
      <w:sz w:val="24"/>
      <w:szCs w:val="52"/>
    </w:rPr>
  </w:style>
  <w:style w:type="character" w:customStyle="1" w:styleId="79">
    <w:name w:val="表格文字 Char Char"/>
    <w:link w:val="78"/>
    <w:autoRedefine/>
    <w:qFormat/>
    <w:uiPriority w:val="0"/>
    <w:rPr>
      <w:rFonts w:ascii="宋体" w:hAnsi="宋体" w:eastAsia="仿宋_GB2312"/>
      <w:sz w:val="24"/>
      <w:szCs w:val="52"/>
    </w:rPr>
  </w:style>
  <w:style w:type="paragraph" w:customStyle="1" w:styleId="80">
    <w:name w:val="文本正文"/>
    <w:basedOn w:val="1"/>
    <w:autoRedefine/>
    <w:qFormat/>
    <w:uiPriority w:val="0"/>
    <w:pPr>
      <w:snapToGrid w:val="0"/>
      <w:spacing w:line="360" w:lineRule="auto"/>
      <w:ind w:firstLine="510"/>
      <w:jc w:val="left"/>
    </w:pPr>
    <w:rPr>
      <w:spacing w:val="4"/>
      <w:kern w:val="24"/>
      <w:szCs w:val="24"/>
      <w:lang w:val="zh-CN"/>
    </w:rPr>
  </w:style>
  <w:style w:type="paragraph" w:customStyle="1" w:styleId="81">
    <w:name w:val="Body text|1"/>
    <w:basedOn w:val="1"/>
    <w:autoRedefine/>
    <w:qFormat/>
    <w:uiPriority w:val="0"/>
    <w:pPr>
      <w:spacing w:line="403" w:lineRule="auto"/>
      <w:ind w:firstLine="400"/>
    </w:pPr>
    <w:rPr>
      <w:rFonts w:ascii="宋体" w:hAnsi="宋体" w:cs="宋体"/>
      <w:sz w:val="30"/>
      <w:szCs w:val="30"/>
      <w:lang w:val="zh-TW" w:eastAsia="zh-TW" w:bidi="zh-TW"/>
    </w:rPr>
  </w:style>
  <w:style w:type="paragraph" w:customStyle="1" w:styleId="82">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83">
    <w:name w:val="B-文字"/>
    <w:basedOn w:val="1"/>
    <w:autoRedefine/>
    <w:qFormat/>
    <w:uiPriority w:val="0"/>
    <w:pPr>
      <w:jc w:val="center"/>
    </w:pPr>
    <w:rPr>
      <w:szCs w:val="21"/>
    </w:rPr>
  </w:style>
  <w:style w:type="paragraph" w:customStyle="1" w:styleId="84">
    <w:name w:val="acee正文"/>
    <w:basedOn w:val="1"/>
    <w:autoRedefine/>
    <w:qFormat/>
    <w:uiPriority w:val="0"/>
    <w:pPr>
      <w:spacing w:line="480" w:lineRule="exact"/>
      <w:ind w:firstLine="640" w:firstLineChars="200"/>
    </w:pPr>
    <w:rPr>
      <w:rFonts w:ascii="仿宋_GB2312" w:hAnsi="宋体" w:eastAsia="仿宋_GB2312"/>
      <w:sz w:val="32"/>
    </w:rPr>
  </w:style>
  <w:style w:type="paragraph" w:customStyle="1" w:styleId="85">
    <w:name w:val="lxc表格内容"/>
    <w:basedOn w:val="1"/>
    <w:autoRedefine/>
    <w:qFormat/>
    <w:uiPriority w:val="0"/>
    <w:pPr>
      <w:jc w:val="center"/>
    </w:pPr>
    <w:rPr>
      <w:rFonts w:ascii="Times New Roman" w:hAnsi="Times New Roman"/>
    </w:rPr>
  </w:style>
  <w:style w:type="paragraph" w:customStyle="1" w:styleId="86">
    <w:name w:val="标准正文"/>
    <w:basedOn w:val="1"/>
    <w:autoRedefine/>
    <w:qFormat/>
    <w:uiPriority w:val="0"/>
    <w:pPr>
      <w:spacing w:line="240" w:lineRule="auto"/>
      <w:ind w:firstLine="560" w:firstLineChars="200"/>
    </w:pPr>
    <w:rPr>
      <w:rFonts w:hAnsi="宋体"/>
      <w:sz w:val="28"/>
      <w:szCs w:val="28"/>
    </w:rPr>
  </w:style>
  <w:style w:type="paragraph" w:customStyle="1" w:styleId="87">
    <w:name w:val="!正文"/>
    <w:basedOn w:val="1"/>
    <w:autoRedefine/>
    <w:qFormat/>
    <w:uiPriority w:val="0"/>
    <w:pPr>
      <w:spacing w:line="480" w:lineRule="exact"/>
      <w:ind w:firstLine="480" w:firstLineChars="200"/>
    </w:pPr>
    <w:rPr>
      <w:rFonts w:hAnsi="宋体" w:cs="宋体"/>
    </w:rPr>
  </w:style>
  <w:style w:type="paragraph" w:customStyle="1" w:styleId="88">
    <w:name w:val="表 图 单位"/>
    <w:basedOn w:val="1"/>
    <w:autoRedefine/>
    <w:qFormat/>
    <w:uiPriority w:val="0"/>
    <w:pPr>
      <w:jc w:val="right"/>
    </w:pPr>
    <w:rPr>
      <w:sz w:val="18"/>
      <w:szCs w:val="21"/>
    </w:rPr>
  </w:style>
  <w:style w:type="paragraph" w:customStyle="1" w:styleId="89">
    <w:name w:val="表格题注"/>
    <w:autoRedefine/>
    <w:qFormat/>
    <w:uiPriority w:val="0"/>
    <w:pPr>
      <w:suppressAutoHyphens/>
      <w:jc w:val="center"/>
    </w:pPr>
    <w:rPr>
      <w:rFonts w:ascii="Times New Roman" w:hAnsi="Times New Roman" w:eastAsia="宋体" w:cs="Times New Roman"/>
      <w:b/>
      <w:sz w:val="21"/>
      <w:szCs w:val="22"/>
      <w:lang w:val="en-US" w:eastAsia="zh-CN" w:bidi="ar-SA"/>
    </w:rPr>
  </w:style>
  <w:style w:type="paragraph" w:customStyle="1" w:styleId="90">
    <w:name w:val="样式 样式 样式 小四 首行缩进:  2.25 字符 + 首行缩进:  2.25 字符 + 首行缩进:  2 字符"/>
    <w:basedOn w:val="1"/>
    <w:qFormat/>
    <w:uiPriority w:val="0"/>
    <w:pPr>
      <w:spacing w:line="440" w:lineRule="exact"/>
      <w:ind w:firstLine="200" w:firstLineChars="200"/>
    </w:pPr>
    <w:rPr>
      <w:sz w:val="24"/>
    </w:rPr>
  </w:style>
  <w:style w:type="paragraph" w:customStyle="1" w:styleId="91">
    <w:name w:val="样式 标题 1 + 四号 段前: 0 磅 段后: 0 磅 行距: 1.5 倍行距"/>
    <w:basedOn w:val="45"/>
    <w:next w:val="80"/>
    <w:qFormat/>
    <w:uiPriority w:val="0"/>
    <w:pPr>
      <w:spacing w:line="360" w:lineRule="auto"/>
      <w:jc w:val="center"/>
    </w:pPr>
    <w:rPr>
      <w:rFonts w:hAnsi="黑体" w:eastAsia="宋体"/>
      <w:sz w:val="21"/>
    </w:rPr>
  </w:style>
  <w:style w:type="paragraph" w:customStyle="1" w:styleId="92">
    <w:name w:val="表标题"/>
    <w:basedOn w:val="1"/>
    <w:next w:val="93"/>
    <w:qFormat/>
    <w:uiPriority w:val="0"/>
    <w:pPr>
      <w:spacing w:line="240" w:lineRule="auto"/>
      <w:jc w:val="center"/>
    </w:pPr>
    <w:rPr>
      <w:b/>
      <w:kern w:val="0"/>
      <w:sz w:val="21"/>
      <w:szCs w:val="20"/>
    </w:rPr>
  </w:style>
  <w:style w:type="paragraph" w:customStyle="1" w:styleId="93">
    <w:name w:val="表格内容"/>
    <w:next w:val="1"/>
    <w:autoRedefine/>
    <w:qFormat/>
    <w:uiPriority w:val="99"/>
    <w:pPr>
      <w:adjustRightInd w:val="0"/>
      <w:snapToGrid w:val="0"/>
      <w:jc w:val="center"/>
    </w:pPr>
    <w:rPr>
      <w:rFonts w:ascii="Times New Roman" w:hAnsi="Times New Roman" w:eastAsia="宋体" w:cs="Times New Roman"/>
      <w:color w:val="000000"/>
      <w:sz w:val="21"/>
      <w:szCs w:val="24"/>
      <w:lang w:val="en-US" w:eastAsia="zh-CN" w:bidi="ar-SA"/>
    </w:rPr>
  </w:style>
  <w:style w:type="paragraph" w:customStyle="1" w:styleId="94">
    <w:name w:val="表字体"/>
    <w:basedOn w:val="1"/>
    <w:next w:val="1"/>
    <w:qFormat/>
    <w:uiPriority w:val="0"/>
    <w:pPr>
      <w:spacing w:line="240" w:lineRule="auto"/>
      <w:jc w:val="center"/>
    </w:pPr>
    <w:rPr>
      <w:sz w:val="21"/>
    </w:rPr>
  </w:style>
  <w:style w:type="paragraph" w:customStyle="1" w:styleId="95">
    <w:name w:val="表"/>
    <w:basedOn w:val="1"/>
    <w:qFormat/>
    <w:uiPriority w:val="0"/>
    <w:pPr>
      <w:jc w:val="center"/>
      <w:outlineLvl w:val="3"/>
    </w:pPr>
    <w:rPr>
      <w:rFonts w:eastAsia="仿宋_GB2312"/>
      <w:kern w:val="0"/>
      <w:szCs w:val="21"/>
    </w:rPr>
  </w:style>
  <w:style w:type="paragraph" w:customStyle="1" w:styleId="96">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97">
    <w:name w:val="postbody1"/>
    <w:qFormat/>
    <w:uiPriority w:val="0"/>
    <w:rPr>
      <w:sz w:val="21"/>
      <w:szCs w:val="21"/>
    </w:rPr>
  </w:style>
  <w:style w:type="paragraph" w:customStyle="1" w:styleId="98">
    <w:name w:val="CM9"/>
    <w:basedOn w:val="40"/>
    <w:next w:val="40"/>
    <w:qFormat/>
    <w:uiPriority w:val="99"/>
    <w:pPr>
      <w:spacing w:line="471" w:lineRule="atLeast"/>
      <w:jc w:val="left"/>
    </w:pPr>
    <w:rPr>
      <w:rFonts w:hint="default" w:hAnsi="等线" w:cs="Times New Roman"/>
      <w:color w:val="auto"/>
      <w:kern w:val="0"/>
    </w:rPr>
  </w:style>
  <w:style w:type="character" w:customStyle="1" w:styleId="99">
    <w:name w:val="font51"/>
    <w:qFormat/>
    <w:uiPriority w:val="0"/>
    <w:rPr>
      <w:rFonts w:hint="eastAsia" w:ascii="PMingLiU" w:hAnsi="PMingLiU" w:eastAsia="PMingLiU"/>
      <w:color w:val="000000"/>
      <w:sz w:val="24"/>
      <w:szCs w:val="24"/>
      <w:u w:val="none"/>
    </w:rPr>
  </w:style>
  <w:style w:type="character" w:customStyle="1" w:styleId="100">
    <w:name w:val="font41"/>
    <w:qFormat/>
    <w:uiPriority w:val="0"/>
    <w:rPr>
      <w:rFonts w:hint="eastAsia" w:ascii="宋体" w:hAnsi="宋体" w:eastAsia="宋体"/>
      <w:color w:val="000000"/>
      <w:sz w:val="24"/>
      <w:szCs w:val="24"/>
      <w:u w:val="none"/>
    </w:rPr>
  </w:style>
  <w:style w:type="character" w:customStyle="1" w:styleId="101">
    <w:name w:val="font71"/>
    <w:qFormat/>
    <w:uiPriority w:val="0"/>
    <w:rPr>
      <w:rFonts w:hint="default" w:ascii="Times New Roman" w:hAnsi="Times New Roman" w:cs="Times New Roman"/>
      <w:color w:val="000000"/>
      <w:sz w:val="21"/>
      <w:szCs w:val="21"/>
      <w:u w:val="none"/>
    </w:rPr>
  </w:style>
  <w:style w:type="character" w:customStyle="1" w:styleId="102">
    <w:name w:val="font11"/>
    <w:qFormat/>
    <w:uiPriority w:val="0"/>
    <w:rPr>
      <w:rFonts w:hint="eastAsia" w:ascii="宋体" w:hAnsi="宋体" w:eastAsia="宋体"/>
      <w:color w:val="000000"/>
      <w:sz w:val="21"/>
      <w:szCs w:val="21"/>
      <w:u w:val="none"/>
    </w:rPr>
  </w:style>
  <w:style w:type="paragraph" w:customStyle="1" w:styleId="103">
    <w:name w:val="1表格"/>
    <w:basedOn w:val="1"/>
    <w:qFormat/>
    <w:uiPriority w:val="0"/>
    <w:pPr>
      <w:snapToGrid w:val="0"/>
      <w:spacing w:line="160" w:lineRule="atLeast"/>
      <w:jc w:val="center"/>
    </w:pPr>
    <w:rPr>
      <w:rFonts w:eastAsia="仿宋_GB2312"/>
      <w:szCs w:val="20"/>
    </w:rPr>
  </w:style>
  <w:style w:type="paragraph" w:customStyle="1" w:styleId="104">
    <w:name w:val="0正文"/>
    <w:unhideWhenUsed/>
    <w:qFormat/>
    <w:uiPriority w:val="0"/>
    <w:pPr>
      <w:widowControl w:val="0"/>
      <w:spacing w:line="360" w:lineRule="auto"/>
      <w:ind w:firstLine="720" w:firstLineChars="200"/>
    </w:pPr>
    <w:rPr>
      <w:rFonts w:ascii="Times New Roman" w:hAnsi="Times New Roman" w:eastAsia="宋体" w:cs="Times New Roman"/>
      <w:sz w:val="24"/>
      <w:szCs w:val="22"/>
      <w:lang w:val="en-US" w:eastAsia="zh-CN" w:bidi="ar-SA"/>
    </w:rPr>
  </w:style>
  <w:style w:type="paragraph" w:customStyle="1" w:styleId="105">
    <w:name w:val=" Char"/>
    <w:basedOn w:val="1"/>
    <w:qFormat/>
    <w:uiPriority w:val="0"/>
    <w:rPr>
      <w:sz w:val="24"/>
    </w:rPr>
  </w:style>
  <w:style w:type="paragraph" w:customStyle="1" w:styleId="106">
    <w:name w:val="CM11"/>
    <w:basedOn w:val="40"/>
    <w:next w:val="40"/>
    <w:autoRedefine/>
    <w:qFormat/>
    <w:uiPriority w:val="99"/>
    <w:pPr>
      <w:spacing w:line="468" w:lineRule="atLeast"/>
      <w:jc w:val="left"/>
    </w:pPr>
    <w:rPr>
      <w:rFonts w:hint="default" w:hAnsi="等线" w:cs="Times New Roman"/>
      <w:color w:val="auto"/>
      <w:kern w:val="0"/>
    </w:rPr>
  </w:style>
  <w:style w:type="paragraph" w:customStyle="1" w:styleId="107">
    <w:name w:val="君邦正文"/>
    <w:autoRedefine/>
    <w:qFormat/>
    <w:uiPriority w:val="0"/>
    <w:pPr>
      <w:spacing w:after="60" w:line="360" w:lineRule="auto"/>
      <w:ind w:firstLine="480" w:firstLineChars="200"/>
      <w:jc w:val="both"/>
    </w:pPr>
    <w:rPr>
      <w:rFonts w:ascii="Times New Roman" w:hAnsi="Times New Roman" w:eastAsia="宋体" w:cs="Times New Roman"/>
      <w:bCs/>
      <w:snapToGrid w:val="0"/>
      <w:sz w:val="24"/>
      <w:szCs w:val="22"/>
      <w:lang w:val="en-US" w:eastAsia="zh-CN" w:bidi="ar-SA"/>
    </w:rPr>
  </w:style>
  <w:style w:type="paragraph" w:customStyle="1" w:styleId="108">
    <w:name w:val="一级条标题"/>
    <w:basedOn w:val="2"/>
    <w:next w:val="1"/>
    <w:autoRedefine/>
    <w:qFormat/>
    <w:uiPriority w:val="0"/>
    <w:pPr>
      <w:keepNext w:val="0"/>
      <w:widowControl/>
      <w:tabs>
        <w:tab w:val="left" w:pos="360"/>
        <w:tab w:val="left" w:pos="432"/>
      </w:tabs>
      <w:overflowPunct/>
      <w:snapToGrid/>
      <w:spacing w:before="0" w:after="0" w:line="240" w:lineRule="auto"/>
      <w:ind w:left="0" w:firstLine="0"/>
      <w:outlineLvl w:val="2"/>
    </w:pPr>
    <w:rPr>
      <w:rFonts w:ascii="黑体"/>
      <w:bCs w:val="0"/>
      <w:color w:val="auto"/>
      <w:kern w:val="0"/>
      <w:sz w:val="21"/>
      <w:szCs w:val="22"/>
    </w:rPr>
  </w:style>
  <w:style w:type="paragraph" w:customStyle="1" w:styleId="109">
    <w:name w:val=" Char1 Char Char Char"/>
    <w:basedOn w:val="1"/>
    <w:autoRedefine/>
    <w:qFormat/>
    <w:uiPriority w:val="0"/>
    <w:pPr>
      <w:spacing w:line="440" w:lineRule="exact"/>
      <w:ind w:firstLine="200" w:firstLineChars="200"/>
    </w:pPr>
    <w:rPr>
      <w:sz w:val="24"/>
      <w:szCs w:val="22"/>
    </w:rPr>
  </w:style>
  <w:style w:type="character" w:customStyle="1" w:styleId="110">
    <w:name w:val="fontstyle11"/>
    <w:autoRedefine/>
    <w:qFormat/>
    <w:uiPriority w:val="0"/>
    <w:rPr>
      <w:rFonts w:hint="default" w:ascii="TimesNewRoman" w:hAnsi="TimesNewRoman"/>
      <w:color w:val="000000"/>
      <w:sz w:val="24"/>
      <w:szCs w:val="24"/>
    </w:rPr>
  </w:style>
  <w:style w:type="character" w:customStyle="1" w:styleId="111">
    <w:name w:val="font31"/>
    <w:autoRedefine/>
    <w:qFormat/>
    <w:uiPriority w:val="0"/>
    <w:rPr>
      <w:rFonts w:hint="eastAsia" w:ascii="宋体" w:hAnsi="宋体" w:eastAsia="宋体" w:cs="宋体"/>
      <w:color w:val="000000"/>
      <w:sz w:val="18"/>
      <w:szCs w:val="18"/>
      <w:u w:val="single"/>
    </w:rPr>
  </w:style>
  <w:style w:type="character" w:customStyle="1" w:styleId="112">
    <w:name w:val="ask-title"/>
    <w:autoRedefine/>
    <w:qFormat/>
    <w:uiPriority w:val="0"/>
  </w:style>
  <w:style w:type="character" w:customStyle="1" w:styleId="113">
    <w:name w:val="content1"/>
    <w:autoRedefine/>
    <w:qFormat/>
    <w:uiPriority w:val="0"/>
    <w:rPr>
      <w:sz w:val="21"/>
      <w:szCs w:val="21"/>
    </w:rPr>
  </w:style>
  <w:style w:type="paragraph" w:customStyle="1" w:styleId="114">
    <w:name w:val="Body Text First Indent"/>
    <w:basedOn w:val="1"/>
    <w:autoRedefine/>
    <w:qFormat/>
    <w:uiPriority w:val="0"/>
    <w:pPr>
      <w:adjustRightInd w:val="0"/>
      <w:snapToGrid w:val="0"/>
      <w:spacing w:before="156" w:beforeLines="50" w:line="360" w:lineRule="auto"/>
      <w:ind w:firstLine="200" w:firstLineChars="200"/>
    </w:pPr>
    <w:rPr>
      <w:sz w:val="24"/>
      <w:szCs w:val="22"/>
    </w:rPr>
  </w:style>
  <w:style w:type="paragraph" w:customStyle="1" w:styleId="115">
    <w:name w:val="表格内文字"/>
    <w:autoRedefine/>
    <w:qFormat/>
    <w:uiPriority w:val="0"/>
    <w:pPr>
      <w:jc w:val="center"/>
    </w:pPr>
    <w:rPr>
      <w:rFonts w:ascii="Times New Roman" w:hAnsi="Times New Roman" w:eastAsia="宋体" w:cs="Times New Roman"/>
      <w:sz w:val="21"/>
      <w:szCs w:val="21"/>
      <w:lang w:val="en-US" w:eastAsia="zh-CN" w:bidi="ar-SA"/>
    </w:rPr>
  </w:style>
  <w:style w:type="paragraph" w:customStyle="1" w:styleId="116">
    <w:name w:val="正文5"/>
    <w:basedOn w:val="1"/>
    <w:autoRedefine/>
    <w:qFormat/>
    <w:uiPriority w:val="0"/>
    <w:pPr>
      <w:widowControl/>
      <w:spacing w:line="360" w:lineRule="auto"/>
      <w:ind w:firstLine="200" w:firstLineChars="200"/>
    </w:pPr>
    <w:rPr>
      <w:sz w:val="24"/>
      <w:szCs w:val="20"/>
    </w:rPr>
  </w:style>
  <w:style w:type="paragraph" w:customStyle="1" w:styleId="117">
    <w:name w:val="插图"/>
    <w:autoRedefine/>
    <w:qFormat/>
    <w:uiPriority w:val="0"/>
    <w:pPr>
      <w:jc w:val="center"/>
    </w:pPr>
    <w:rPr>
      <w:rFonts w:ascii="Times New Roman" w:hAnsi="Times New Roman" w:eastAsia="宋体" w:cs="Times New Roman"/>
      <w:b/>
      <w:bCs/>
      <w:kern w:val="2"/>
      <w:sz w:val="24"/>
      <w:szCs w:val="32"/>
      <w:lang w:val="en-US" w:eastAsia="zh-CN" w:bidi="ar-SA"/>
    </w:rPr>
  </w:style>
  <w:style w:type="paragraph" w:customStyle="1" w:styleId="118">
    <w:name w:val="zw1"/>
    <w:basedOn w:val="1"/>
    <w:autoRedefine/>
    <w:qFormat/>
    <w:uiPriority w:val="0"/>
    <w:pPr>
      <w:spacing w:line="360" w:lineRule="auto"/>
      <w:ind w:right="-107" w:rightChars="-51" w:firstLine="480" w:firstLineChars="200"/>
    </w:pPr>
    <w:rPr>
      <w:rFonts w:ascii="宋体" w:hAnsi="宋体"/>
      <w:bCs/>
      <w:kern w:val="8"/>
      <w:sz w:val="24"/>
      <w:szCs w:val="22"/>
    </w:rPr>
  </w:style>
  <w:style w:type="paragraph" w:customStyle="1" w:styleId="119">
    <w:name w:val="表文(G)"/>
    <w:basedOn w:val="1"/>
    <w:autoRedefine/>
    <w:semiHidden/>
    <w:qFormat/>
    <w:uiPriority w:val="0"/>
    <w:pPr>
      <w:tabs>
        <w:tab w:val="left" w:pos="1021"/>
      </w:tabs>
      <w:ind w:firstLine="200" w:firstLineChars="200"/>
      <w:jc w:val="center"/>
    </w:pPr>
    <w:rPr>
      <w:rFonts w:hAnsi="宋体"/>
      <w:kern w:val="0"/>
      <w:position w:val="-24"/>
      <w:sz w:val="24"/>
      <w:szCs w:val="21"/>
    </w:rPr>
  </w:style>
  <w:style w:type="paragraph" w:customStyle="1" w:styleId="120">
    <w:name w:val="表文字"/>
    <w:basedOn w:val="1"/>
    <w:autoRedefine/>
    <w:qFormat/>
    <w:uiPriority w:val="0"/>
    <w:pPr>
      <w:overflowPunct w:val="0"/>
      <w:autoSpaceDE w:val="0"/>
      <w:autoSpaceDN w:val="0"/>
      <w:adjustRightInd w:val="0"/>
      <w:spacing w:line="240" w:lineRule="atLeast"/>
      <w:ind w:firstLine="200" w:firstLineChars="200"/>
      <w:jc w:val="center"/>
      <w:textAlignment w:val="baseline"/>
    </w:pPr>
    <w:rPr>
      <w:rFonts w:ascii="宋体"/>
      <w:color w:val="000000"/>
      <w:kern w:val="0"/>
      <w:sz w:val="24"/>
      <w:szCs w:val="20"/>
    </w:rPr>
  </w:style>
  <w:style w:type="paragraph" w:customStyle="1" w:styleId="121">
    <w:name w:val="表格居中"/>
    <w:autoRedefine/>
    <w:qFormat/>
    <w:uiPriority w:val="0"/>
    <w:pPr>
      <w:spacing w:line="440" w:lineRule="exact"/>
      <w:jc w:val="center"/>
    </w:pPr>
    <w:rPr>
      <w:rFonts w:ascii="Times New Roman" w:hAnsi="Times New Roman" w:eastAsia="宋体" w:cs="Times New Roman"/>
      <w:sz w:val="24"/>
      <w:szCs w:val="24"/>
      <w:lang w:val="en-US" w:eastAsia="zh-CN" w:bidi="ar-SA"/>
    </w:rPr>
  </w:style>
  <w:style w:type="paragraph" w:customStyle="1" w:styleId="122">
    <w:name w:val="报告正文"/>
    <w:basedOn w:val="30"/>
    <w:next w:val="1"/>
    <w:link w:val="138"/>
    <w:autoRedefine/>
    <w:qFormat/>
    <w:uiPriority w:val="0"/>
    <w:pPr>
      <w:adjustRightInd w:val="0"/>
      <w:snapToGrid w:val="0"/>
      <w:spacing w:line="360" w:lineRule="auto"/>
      <w:ind w:firstLine="200" w:firstLineChars="200"/>
    </w:pPr>
    <w:rPr>
      <w:rFonts w:ascii="宋体"/>
      <w:sz w:val="24"/>
      <w:szCs w:val="22"/>
    </w:rPr>
  </w:style>
  <w:style w:type="character" w:customStyle="1" w:styleId="123">
    <w:name w:val="报告正文 Char Char"/>
    <w:link w:val="122"/>
    <w:autoRedefine/>
    <w:qFormat/>
    <w:uiPriority w:val="0"/>
    <w:rPr>
      <w:rFonts w:ascii="宋体"/>
      <w:kern w:val="2"/>
      <w:sz w:val="24"/>
      <w:szCs w:val="22"/>
    </w:rPr>
  </w:style>
  <w:style w:type="paragraph" w:customStyle="1" w:styleId="124">
    <w:name w:val="表格黑体"/>
    <w:autoRedefine/>
    <w:qFormat/>
    <w:uiPriority w:val="0"/>
    <w:pPr>
      <w:spacing w:line="440" w:lineRule="exact"/>
      <w:jc w:val="center"/>
    </w:pPr>
    <w:rPr>
      <w:rFonts w:ascii="Times New Roman" w:hAnsi="宋体" w:eastAsia="宋体" w:cs="Times New Roman"/>
      <w:b/>
      <w:sz w:val="24"/>
      <w:szCs w:val="24"/>
      <w:lang w:val="en-US" w:eastAsia="zh-CN" w:bidi="ar-SA"/>
    </w:rPr>
  </w:style>
  <w:style w:type="paragraph" w:customStyle="1" w:styleId="125">
    <w:name w:val="鲍伟 正文"/>
    <w:autoRedefine/>
    <w:qFormat/>
    <w:uiPriority w:val="0"/>
    <w:pPr>
      <w:spacing w:line="360" w:lineRule="auto"/>
      <w:ind w:left="-4" w:leftChars="-2" w:firstLine="480" w:firstLineChars="200"/>
      <w:jc w:val="both"/>
    </w:pPr>
    <w:rPr>
      <w:rFonts w:ascii="宋体" w:hAnsi="宋体" w:eastAsia="宋体" w:cs="Times New Roman"/>
      <w:kern w:val="2"/>
      <w:sz w:val="24"/>
      <w:lang w:val="en-US" w:eastAsia="zh-CN" w:bidi="ar-SA"/>
    </w:rPr>
  </w:style>
  <w:style w:type="paragraph" w:customStyle="1" w:styleId="126">
    <w:name w:val="图表标题"/>
    <w:next w:val="1"/>
    <w:autoRedefine/>
    <w:qFormat/>
    <w:uiPriority w:val="0"/>
    <w:pPr>
      <w:spacing w:line="360" w:lineRule="auto"/>
      <w:jc w:val="center"/>
    </w:pPr>
    <w:rPr>
      <w:rFonts w:ascii="Times New Roman" w:hAnsi="Times New Roman" w:eastAsia="黑体" w:cs="Times New Roman"/>
      <w:kern w:val="2"/>
      <w:sz w:val="24"/>
      <w:szCs w:val="22"/>
      <w:lang w:val="en-US" w:eastAsia="zh-CN" w:bidi="ar-SA"/>
    </w:rPr>
  </w:style>
  <w:style w:type="paragraph" w:customStyle="1" w:styleId="127">
    <w:name w:val="环评正文"/>
    <w:basedOn w:val="1"/>
    <w:autoRedefine/>
    <w:qFormat/>
    <w:uiPriority w:val="0"/>
    <w:pPr>
      <w:spacing w:before="93" w:beforeLines="30"/>
      <w:ind w:firstLine="480" w:firstLineChars="200"/>
    </w:pPr>
    <w:rPr>
      <w:kern w:val="0"/>
      <w:sz w:val="24"/>
      <w:szCs w:val="20"/>
    </w:rPr>
  </w:style>
  <w:style w:type="paragraph" w:customStyle="1" w:styleId="128">
    <w:name w:val="填表内容"/>
    <w:basedOn w:val="1"/>
    <w:autoRedefine/>
    <w:semiHidden/>
    <w:qFormat/>
    <w:uiPriority w:val="0"/>
    <w:pPr>
      <w:adjustRightInd w:val="0"/>
      <w:spacing w:line="480" w:lineRule="exact"/>
      <w:ind w:firstLine="560" w:firstLineChars="200"/>
      <w:jc w:val="left"/>
      <w:textAlignment w:val="baseline"/>
    </w:pPr>
    <w:rPr>
      <w:rFonts w:ascii="楷体_GB2312" w:eastAsia="楷体_GB2312"/>
      <w:sz w:val="28"/>
      <w:szCs w:val="20"/>
    </w:rPr>
  </w:style>
  <w:style w:type="paragraph" w:customStyle="1" w:styleId="129">
    <w:name w:val="Char11"/>
    <w:basedOn w:val="1"/>
    <w:autoRedefine/>
    <w:qFormat/>
    <w:uiPriority w:val="0"/>
    <w:pPr>
      <w:spacing w:line="360" w:lineRule="auto"/>
      <w:ind w:firstLine="200" w:firstLineChars="200"/>
    </w:pPr>
    <w:rPr>
      <w:rFonts w:ascii="宋体" w:hAnsi="宋体"/>
      <w:kern w:val="0"/>
      <w:sz w:val="24"/>
      <w:szCs w:val="20"/>
    </w:rPr>
  </w:style>
  <w:style w:type="paragraph" w:customStyle="1" w:styleId="130">
    <w:name w:val="说明书正文"/>
    <w:basedOn w:val="1"/>
    <w:autoRedefine/>
    <w:qFormat/>
    <w:uiPriority w:val="0"/>
    <w:pPr>
      <w:spacing w:line="480" w:lineRule="exact"/>
      <w:ind w:firstLine="600" w:firstLineChars="200"/>
    </w:pPr>
    <w:rPr>
      <w:rFonts w:eastAsia="仿宋_GB2312"/>
      <w:color w:val="000000"/>
      <w:sz w:val="30"/>
    </w:rPr>
  </w:style>
  <w:style w:type="character" w:customStyle="1" w:styleId="131">
    <w:name w:val="报告书正文 Char"/>
    <w:link w:val="132"/>
    <w:autoRedefine/>
    <w:qFormat/>
    <w:uiPriority w:val="0"/>
    <w:rPr>
      <w:rFonts w:ascii="Arial" w:hAnsi="Arial"/>
      <w:sz w:val="24"/>
      <w:szCs w:val="24"/>
    </w:rPr>
  </w:style>
  <w:style w:type="paragraph" w:customStyle="1" w:styleId="132">
    <w:name w:val="报告书正文"/>
    <w:basedOn w:val="1"/>
    <w:link w:val="131"/>
    <w:autoRedefine/>
    <w:qFormat/>
    <w:uiPriority w:val="0"/>
    <w:pPr>
      <w:adjustRightInd w:val="0"/>
      <w:snapToGrid w:val="0"/>
      <w:spacing w:line="360" w:lineRule="auto"/>
      <w:ind w:firstLine="425"/>
      <w:textAlignment w:val="baseline"/>
    </w:pPr>
    <w:rPr>
      <w:rFonts w:ascii="Arial" w:hAnsi="Arial"/>
      <w:kern w:val="0"/>
      <w:sz w:val="24"/>
    </w:rPr>
  </w:style>
  <w:style w:type="paragraph" w:customStyle="1" w:styleId="133">
    <w:name w:val="报告表正文"/>
    <w:basedOn w:val="1"/>
    <w:autoRedefine/>
    <w:qFormat/>
    <w:uiPriority w:val="0"/>
    <w:pPr>
      <w:adjustRightInd w:val="0"/>
      <w:spacing w:line="312" w:lineRule="auto"/>
      <w:ind w:left="113" w:right="113" w:firstLine="482"/>
      <w:jc w:val="left"/>
    </w:pPr>
    <w:rPr>
      <w:kern w:val="0"/>
      <w:sz w:val="24"/>
      <w:szCs w:val="20"/>
    </w:rPr>
  </w:style>
  <w:style w:type="paragraph" w:customStyle="1" w:styleId="134">
    <w:name w:val="(文字) (文字)"/>
    <w:basedOn w:val="1"/>
    <w:autoRedefine/>
    <w:qFormat/>
    <w:uiPriority w:val="0"/>
    <w:rPr>
      <w:szCs w:val="20"/>
    </w:rPr>
  </w:style>
  <w:style w:type="paragraph" w:customStyle="1" w:styleId="135">
    <w:name w:val="正文3"/>
    <w:autoRedefine/>
    <w:semiHidden/>
    <w:qFormat/>
    <w:uiPriority w:val="0"/>
    <w:pPr>
      <w:spacing w:line="360" w:lineRule="auto"/>
      <w:ind w:firstLine="200" w:firstLineChars="200"/>
    </w:pPr>
    <w:rPr>
      <w:rFonts w:ascii="Times New Roman" w:hAnsi="Times New Roman" w:eastAsia="宋体" w:cs="Times New Roman"/>
      <w:sz w:val="24"/>
      <w:szCs w:val="22"/>
      <w:lang w:val="en-US" w:eastAsia="zh-CN" w:bidi="ar-SA"/>
    </w:rPr>
  </w:style>
  <w:style w:type="paragraph" w:customStyle="1" w:styleId="136">
    <w:name w:val="水印"/>
    <w:basedOn w:val="1"/>
    <w:autoRedefine/>
    <w:qFormat/>
    <w:uiPriority w:val="0"/>
    <w:pPr>
      <w:adjustRightInd w:val="0"/>
      <w:spacing w:line="240" w:lineRule="atLeast"/>
      <w:textAlignment w:val="baseline"/>
    </w:pPr>
    <w:rPr>
      <w:kern w:val="0"/>
      <w:szCs w:val="20"/>
    </w:rPr>
  </w:style>
  <w:style w:type="paragraph" w:customStyle="1" w:styleId="137">
    <w:name w:val="表格标题"/>
    <w:basedOn w:val="7"/>
    <w:next w:val="1"/>
    <w:autoRedefine/>
    <w:qFormat/>
    <w:uiPriority w:val="0"/>
    <w:pPr>
      <w:topLinePunct/>
      <w:spacing w:line="480" w:lineRule="exact"/>
      <w:ind w:firstLine="471"/>
      <w:jc w:val="center"/>
      <w:textAlignment w:val="auto"/>
    </w:pPr>
    <w:rPr>
      <w:rFonts w:ascii="Times New Roman" w:eastAsia="黑体"/>
      <w:kern w:val="2"/>
      <w:szCs w:val="24"/>
    </w:rPr>
  </w:style>
  <w:style w:type="character" w:customStyle="1" w:styleId="138">
    <w:name w:val="报告正文 字符"/>
    <w:link w:val="122"/>
    <w:autoRedefine/>
    <w:qFormat/>
    <w:uiPriority w:val="0"/>
    <w:rPr>
      <w:bCs/>
      <w:snapToGrid/>
      <w:color w:val="000000"/>
      <w:kern w:val="2"/>
      <w:sz w:val="24"/>
      <w:szCs w:val="24"/>
    </w:rPr>
  </w:style>
  <w:style w:type="paragraph" w:customStyle="1" w:styleId="139">
    <w:name w:val="报告"/>
    <w:basedOn w:val="1"/>
    <w:autoRedefine/>
    <w:qFormat/>
    <w:uiPriority w:val="0"/>
    <w:pPr>
      <w:adjustRightInd w:val="0"/>
      <w:spacing w:line="360" w:lineRule="auto"/>
      <w:ind w:firstLine="505"/>
      <w:textAlignment w:val="center"/>
    </w:pPr>
    <w:rPr>
      <w:rFonts w:ascii="TimesNewRoman" w:hAnsi="TimesNewRoman"/>
      <w:sz w:val="24"/>
    </w:rPr>
  </w:style>
  <w:style w:type="character" w:customStyle="1" w:styleId="140">
    <w:name w:val="font01"/>
    <w:basedOn w:val="34"/>
    <w:autoRedefine/>
    <w:qFormat/>
    <w:uiPriority w:val="0"/>
    <w:rPr>
      <w:rFonts w:hint="default" w:ascii="Times New Roman" w:hAnsi="Times New Roman" w:cs="Times New Roman"/>
      <w:color w:val="FF0000"/>
      <w:sz w:val="18"/>
      <w:szCs w:val="18"/>
      <w:u w:val="none"/>
    </w:rPr>
  </w:style>
  <w:style w:type="paragraph" w:customStyle="1" w:styleId="141">
    <w:name w:val="正文 1"/>
    <w:basedOn w:val="1"/>
    <w:autoRedefine/>
    <w:qFormat/>
    <w:uiPriority w:val="0"/>
    <w:pPr>
      <w:spacing w:afterLines="30"/>
      <w:ind w:firstLine="200" w:firstLineChars="200"/>
    </w:pPr>
    <w:rPr>
      <w:rFonts w:cs="宋体"/>
      <w:szCs w:val="20"/>
    </w:rPr>
  </w:style>
  <w:style w:type="paragraph" w:customStyle="1" w:styleId="142">
    <w:name w:val="+正文"/>
    <w:basedOn w:val="1"/>
    <w:autoRedefine/>
    <w:qFormat/>
    <w:uiPriority w:val="0"/>
    <w:pPr>
      <w:spacing w:line="360" w:lineRule="auto"/>
      <w:ind w:firstLine="200" w:firstLineChars="200"/>
    </w:pPr>
    <w:rPr>
      <w:sz w:val="24"/>
    </w:rPr>
  </w:style>
  <w:style w:type="paragraph" w:customStyle="1" w:styleId="143">
    <w:name w:val="lxc 表头样式1"/>
    <w:basedOn w:val="1"/>
    <w:autoRedefine/>
    <w:qFormat/>
    <w:uiPriority w:val="0"/>
    <w:pPr>
      <w:spacing w:line="360" w:lineRule="auto"/>
      <w:jc w:val="center"/>
    </w:pPr>
    <w:rPr>
      <w:b/>
      <w:sz w:val="24"/>
    </w:rPr>
  </w:style>
  <w:style w:type="paragraph" w:customStyle="1" w:styleId="144">
    <w:name w:val="表中文字"/>
    <w:basedOn w:val="1"/>
    <w:autoRedefine/>
    <w:qFormat/>
    <w:uiPriority w:val="0"/>
    <w:pPr>
      <w:adjustRightInd w:val="0"/>
      <w:spacing w:line="240" w:lineRule="auto"/>
      <w:ind w:firstLine="0" w:firstLineChars="0"/>
      <w:jc w:val="center"/>
      <w:textAlignment w:val="baseline"/>
    </w:pPr>
    <w:rPr>
      <w:sz w:val="21"/>
      <w:szCs w:val="20"/>
    </w:rPr>
  </w:style>
  <w:style w:type="paragraph" w:customStyle="1" w:styleId="145">
    <w:name w:val="表格正文"/>
    <w:basedOn w:val="16"/>
    <w:next w:val="1"/>
    <w:autoRedefine/>
    <w:qFormat/>
    <w:uiPriority w:val="0"/>
    <w:pPr>
      <w:widowControl/>
      <w:wordWrap w:val="0"/>
      <w:snapToGrid w:val="0"/>
      <w:spacing w:line="240" w:lineRule="auto"/>
      <w:ind w:firstLine="0" w:firstLineChars="0"/>
      <w:jc w:val="center"/>
    </w:pPr>
    <w:rPr>
      <w:sz w:val="21"/>
      <w:szCs w:val="21"/>
    </w:rPr>
  </w:style>
  <w:style w:type="paragraph" w:customStyle="1" w:styleId="146">
    <w:name w:val="4"/>
    <w:basedOn w:val="1"/>
    <w:next w:val="1"/>
    <w:autoRedefine/>
    <w:qFormat/>
    <w:uiPriority w:val="0"/>
    <w:pPr>
      <w:keepNext/>
      <w:keepLines/>
      <w:ind w:firstLine="0" w:firstLineChars="0"/>
      <w:outlineLvl w:val="3"/>
    </w:pPr>
    <w:rPr>
      <w:b/>
      <w:color w:val="0D0D0D"/>
      <w:kern w:val="0"/>
      <w:lang w:bidi="zh-CN"/>
    </w:rPr>
  </w:style>
  <w:style w:type="paragraph" w:customStyle="1" w:styleId="147">
    <w:name w:val="table caption"/>
    <w:next w:val="148"/>
    <w:autoRedefine/>
    <w:qFormat/>
    <w:uiPriority w:val="0"/>
    <w:pPr>
      <w:widowControl w:val="0"/>
      <w:jc w:val="center"/>
    </w:pPr>
    <w:rPr>
      <w:rFonts w:ascii="Times New Roman" w:hAnsi="Times New Roman" w:eastAsia="宋体" w:cs="Times New Roman"/>
      <w:b/>
      <w:sz w:val="21"/>
      <w:szCs w:val="24"/>
      <w:lang w:val="en-US" w:eastAsia="zh-CN" w:bidi="ar-SA"/>
    </w:rPr>
  </w:style>
  <w:style w:type="paragraph" w:customStyle="1" w:styleId="148">
    <w:name w:val="sheet"/>
    <w:basedOn w:val="1"/>
    <w:next w:val="103"/>
    <w:autoRedefine/>
    <w:qFormat/>
    <w:uiPriority w:val="0"/>
    <w:pPr>
      <w:suppressAutoHyphens/>
      <w:topLinePunct/>
      <w:jc w:val="center"/>
    </w:pPr>
    <w:rPr>
      <w:rFonts w:eastAsiaTheme="minorEastAsia"/>
      <w:sz w:val="21"/>
    </w:rPr>
  </w:style>
  <w:style w:type="paragraph" w:customStyle="1" w:styleId="149">
    <w:name w:val="表格文字   5号"/>
    <w:autoRedefine/>
    <w:qFormat/>
    <w:uiPriority w:val="0"/>
    <w:pPr>
      <w:wordWrap w:val="0"/>
      <w:jc w:val="center"/>
    </w:pPr>
    <w:rPr>
      <w:rFonts w:ascii="Times New Roman" w:hAnsi="Times New Roman" w:eastAsia="宋体" w:cs="Times New Roman"/>
      <w:color w:val="000000"/>
      <w:kern w:val="2"/>
      <w:sz w:val="21"/>
      <w:szCs w:val="24"/>
      <w:lang w:val="en-US" w:eastAsia="zh-CN" w:bidi="ar-SA"/>
    </w:rPr>
  </w:style>
  <w:style w:type="paragraph" w:customStyle="1" w:styleId="150">
    <w:name w:val="报告表格"/>
    <w:basedOn w:val="24"/>
    <w:autoRedefine/>
    <w:qFormat/>
    <w:uiPriority w:val="0"/>
    <w:pPr>
      <w:spacing w:line="240" w:lineRule="auto"/>
      <w:ind w:firstLine="0" w:firstLineChars="0"/>
    </w:pPr>
    <w:rPr>
      <w:kern w:val="0"/>
      <w:sz w:val="21"/>
      <w:szCs w:val="20"/>
    </w:rPr>
  </w:style>
  <w:style w:type="paragraph" w:customStyle="1" w:styleId="151">
    <w:name w:val="正文标准格式"/>
    <w:basedOn w:val="1"/>
    <w:autoRedefine/>
    <w:qFormat/>
    <w:uiPriority w:val="0"/>
    <w:pPr>
      <w:tabs>
        <w:tab w:val="left" w:pos="1100"/>
        <w:tab w:val="left" w:pos="3975"/>
      </w:tabs>
      <w:ind w:firstLine="558" w:firstLineChars="197"/>
    </w:pPr>
    <w:rPr>
      <w:rFonts w:ascii="宋体" w:hAnsi="宋体"/>
      <w:spacing w:val="4"/>
      <w:kern w:val="0"/>
      <w:szCs w:val="20"/>
    </w:rPr>
  </w:style>
  <w:style w:type="paragraph" w:customStyle="1" w:styleId="152">
    <w:name w:val="表格正文1"/>
    <w:basedOn w:val="1"/>
    <w:next w:val="1"/>
    <w:autoRedefine/>
    <w:qFormat/>
    <w:uiPriority w:val="0"/>
    <w:pPr>
      <w:keepNext/>
      <w:keepLines/>
      <w:widowControl/>
      <w:tabs>
        <w:tab w:val="left" w:pos="2976"/>
        <w:tab w:val="left" w:pos="8820"/>
        <w:tab w:val="left" w:pos="9000"/>
      </w:tabs>
      <w:adjustRightInd w:val="0"/>
      <w:snapToGrid w:val="0"/>
      <w:jc w:val="center"/>
      <w:textAlignment w:val="baseline"/>
      <w:outlineLvl w:val="4"/>
    </w:pPr>
    <w:rPr>
      <w:color w:val="000000"/>
      <w:kern w:val="0"/>
      <w:szCs w:val="20"/>
    </w:rPr>
  </w:style>
  <w:style w:type="paragraph" w:customStyle="1" w:styleId="153">
    <w:name w:val="标题4"/>
    <w:basedOn w:val="6"/>
    <w:autoRedefine/>
    <w:qFormat/>
    <w:uiPriority w:val="0"/>
    <w:pPr>
      <w:widowControl/>
      <w:wordWrap w:val="0"/>
      <w:topLinePunct/>
      <w:adjustRightInd w:val="0"/>
      <w:snapToGrid w:val="0"/>
      <w:ind w:firstLine="0" w:firstLineChars="0"/>
    </w:pPr>
    <w:rPr>
      <w:b/>
      <w:kern w:val="0"/>
    </w:rPr>
  </w:style>
  <w:style w:type="paragraph" w:customStyle="1" w:styleId="154">
    <w:name w:val="正文表格"/>
    <w:basedOn w:val="1"/>
    <w:autoRedefine/>
    <w:qFormat/>
    <w:uiPriority w:val="0"/>
    <w:pPr>
      <w:spacing w:line="240" w:lineRule="atLeast"/>
      <w:ind w:firstLine="0" w:firstLineChars="0"/>
      <w:jc w:val="center"/>
    </w:pPr>
    <w:rPr>
      <w:sz w:val="21"/>
      <w:szCs w:val="21"/>
    </w:rPr>
  </w:style>
  <w:style w:type="paragraph" w:customStyle="1" w:styleId="155">
    <w:name w:val="正文 New"/>
    <w:qFormat/>
    <w:uiPriority w:val="0"/>
    <w:pPr>
      <w:widowControl w:val="0"/>
      <w:adjustRightInd w:val="0"/>
      <w:spacing w:line="360" w:lineRule="auto"/>
      <w:ind w:firstLine="200" w:firstLineChars="200"/>
      <w:textAlignment w:val="baseline"/>
    </w:pPr>
    <w:rPr>
      <w:rFonts w:ascii="Times New Roman" w:hAnsi="Times New Roman" w:eastAsia="宋体" w:cs="Times New Roman"/>
      <w:sz w:val="24"/>
      <w:lang w:val="en-US" w:eastAsia="zh-CN" w:bidi="ar-SA"/>
    </w:rPr>
  </w:style>
  <w:style w:type="paragraph" w:customStyle="1" w:styleId="156">
    <w:name w:val="表格表头"/>
    <w:basedOn w:val="1"/>
    <w:autoRedefine/>
    <w:qFormat/>
    <w:uiPriority w:val="0"/>
    <w:pPr>
      <w:snapToGrid w:val="0"/>
      <w:spacing w:line="360" w:lineRule="auto"/>
      <w:jc w:val="center"/>
    </w:pPr>
    <w:rPr>
      <w:b/>
      <w:sz w:val="24"/>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4" Type="http://schemas.openxmlformats.org/officeDocument/2006/relationships/fontTable" Target="fontTable.xml"/><Relationship Id="rId83" Type="http://schemas.openxmlformats.org/officeDocument/2006/relationships/numbering" Target="numbering.xml"/><Relationship Id="rId82" Type="http://schemas.openxmlformats.org/officeDocument/2006/relationships/customXml" Target="../customXml/item1.xml"/><Relationship Id="rId81" Type="http://schemas.openxmlformats.org/officeDocument/2006/relationships/image" Target="media/image72.jpeg"/><Relationship Id="rId80" Type="http://schemas.openxmlformats.org/officeDocument/2006/relationships/image" Target="media/image71.jpeg"/><Relationship Id="rId8" Type="http://schemas.openxmlformats.org/officeDocument/2006/relationships/theme" Target="theme/theme1.xml"/><Relationship Id="rId79" Type="http://schemas.openxmlformats.org/officeDocument/2006/relationships/image" Target="media/image70.jpeg"/><Relationship Id="rId78" Type="http://schemas.openxmlformats.org/officeDocument/2006/relationships/image" Target="media/image69.png"/><Relationship Id="rId77" Type="http://schemas.openxmlformats.org/officeDocument/2006/relationships/image" Target="media/image68.jpeg"/><Relationship Id="rId76" Type="http://schemas.openxmlformats.org/officeDocument/2006/relationships/image" Target="media/image67.jpeg"/><Relationship Id="rId75" Type="http://schemas.openxmlformats.org/officeDocument/2006/relationships/image" Target="media/image66.jpeg"/><Relationship Id="rId74" Type="http://schemas.openxmlformats.org/officeDocument/2006/relationships/image" Target="media/image65.jpeg"/><Relationship Id="rId73" Type="http://schemas.openxmlformats.org/officeDocument/2006/relationships/image" Target="media/image64.jpeg"/><Relationship Id="rId72" Type="http://schemas.openxmlformats.org/officeDocument/2006/relationships/image" Target="media/image63.jpeg"/><Relationship Id="rId71" Type="http://schemas.openxmlformats.org/officeDocument/2006/relationships/image" Target="media/image62.jpeg"/><Relationship Id="rId70" Type="http://schemas.openxmlformats.org/officeDocument/2006/relationships/image" Target="media/image61.jpeg"/><Relationship Id="rId7" Type="http://schemas.openxmlformats.org/officeDocument/2006/relationships/footer" Target="footer5.xml"/><Relationship Id="rId69" Type="http://schemas.openxmlformats.org/officeDocument/2006/relationships/image" Target="media/image60.jpeg"/><Relationship Id="rId68" Type="http://schemas.openxmlformats.org/officeDocument/2006/relationships/image" Target="media/image59.png"/><Relationship Id="rId67" Type="http://schemas.openxmlformats.org/officeDocument/2006/relationships/image" Target="media/image58.jpeg"/><Relationship Id="rId66" Type="http://schemas.openxmlformats.org/officeDocument/2006/relationships/image" Target="media/image57.jpeg"/><Relationship Id="rId65" Type="http://schemas.openxmlformats.org/officeDocument/2006/relationships/image" Target="media/image56.jpeg"/><Relationship Id="rId64" Type="http://schemas.openxmlformats.org/officeDocument/2006/relationships/image" Target="media/image55.jpeg"/><Relationship Id="rId63" Type="http://schemas.openxmlformats.org/officeDocument/2006/relationships/image" Target="media/image54.jpeg"/><Relationship Id="rId62" Type="http://schemas.openxmlformats.org/officeDocument/2006/relationships/image" Target="media/image53.jpeg"/><Relationship Id="rId61" Type="http://schemas.openxmlformats.org/officeDocument/2006/relationships/image" Target="media/image52.jpeg"/><Relationship Id="rId60" Type="http://schemas.openxmlformats.org/officeDocument/2006/relationships/image" Target="media/image51.jpeg"/><Relationship Id="rId6" Type="http://schemas.openxmlformats.org/officeDocument/2006/relationships/footer" Target="footer4.xml"/><Relationship Id="rId59" Type="http://schemas.openxmlformats.org/officeDocument/2006/relationships/image" Target="media/image50.jpeg"/><Relationship Id="rId58" Type="http://schemas.openxmlformats.org/officeDocument/2006/relationships/image" Target="media/image49.jpe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jpeg"/><Relationship Id="rId5" Type="http://schemas.openxmlformats.org/officeDocument/2006/relationships/footer" Target="footer3.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footer" Target="footer2.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png"/><Relationship Id="rId34" Type="http://schemas.openxmlformats.org/officeDocument/2006/relationships/image" Target="media/image25.wmf"/><Relationship Id="rId33" Type="http://schemas.openxmlformats.org/officeDocument/2006/relationships/oleObject" Target="embeddings/oleObject1.bin"/><Relationship Id="rId32" Type="http://schemas.openxmlformats.org/officeDocument/2006/relationships/image" Target="media/image24.wmf"/><Relationship Id="rId31" Type="http://schemas.openxmlformats.org/officeDocument/2006/relationships/image" Target="media/image23.wmf"/><Relationship Id="rId30" Type="http://schemas.openxmlformats.org/officeDocument/2006/relationships/image" Target="media/image22.wmf"/><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wmf"/><Relationship Id="rId26" Type="http://schemas.openxmlformats.org/officeDocument/2006/relationships/image" Target="media/image18.png"/><Relationship Id="rId25" Type="http://schemas.openxmlformats.org/officeDocument/2006/relationships/image" Target="media/image17.wmf"/><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153</Pages>
  <Words>16417</Words>
  <Characters>18586</Characters>
  <Lines>324</Lines>
  <Paragraphs>91</Paragraphs>
  <TotalTime>1</TotalTime>
  <ScaleCrop>false</ScaleCrop>
  <LinksUpToDate>false</LinksUpToDate>
  <CharactersWithSpaces>18783</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2021-11-03T08:00:00Z</dcterms:created>
  <dc:creator>Microsoft</dc:creator>
  <cp:lastModifiedBy>g</cp:lastModifiedBy>
  <cp:lastPrinted>2021-11-17T02:30:00Z</cp:lastPrinted>
  <dcterms:modified xsi:type="dcterms:W3CDTF">2025-01-07T02:15:08Z</dcterms:modified>
  <dc:title>附件2</dc:title>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87CAD8FCE98748C5AD25B7CA64EC1A61_13</vt:lpwstr>
  </property>
  <property fmtid="{D5CDD505-2E9C-101B-9397-08002B2CF9AE}" pid="4" name="KSOTemplateDocerSaveRecord">
    <vt:lpwstr>eyJoZGlkIjoiOTU4MjA5M2NjOGUzMmRhZTQwZDdiODI4ZTBlMzc4ZmYifQ==</vt:lpwstr>
  </property>
</Properties>
</file>