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龙山县普通高中教学质量评价细则</w:t>
      </w:r>
      <w:bookmarkEnd w:id="0"/>
    </w:p>
    <w:tbl>
      <w:tblPr>
        <w:tblStyle w:val="3"/>
        <w:tblpPr w:leftFromText="180" w:rightFromText="180" w:vertAnchor="page" w:horzAnchor="margin" w:tblpY="3111"/>
        <w:tblW w:w="14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11"/>
        <w:gridCol w:w="1134"/>
        <w:gridCol w:w="3260"/>
        <w:gridCol w:w="709"/>
        <w:gridCol w:w="6378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评价指标</w:t>
            </w:r>
          </w:p>
        </w:tc>
        <w:tc>
          <w:tcPr>
            <w:tcW w:w="3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评价导向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基础分</w:t>
            </w:r>
          </w:p>
        </w:tc>
        <w:tc>
          <w:tcPr>
            <w:tcW w:w="63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计算方法(得分系数)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评分办法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高中学业水平合格性考试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总均分</w:t>
            </w:r>
          </w:p>
        </w:tc>
        <w:tc>
          <w:tcPr>
            <w:tcW w:w="3260" w:type="dxa"/>
            <w:vAlign w:val="center"/>
          </w:tcPr>
          <w:p>
            <w:pPr>
              <w:spacing w:line="240" w:lineRule="exact"/>
              <w:ind w:firstLine="400" w:firstLineChars="200"/>
              <w:rPr>
                <w:rFonts w:ascii="仿宋_GB2312" w:hAnsi="宋体" w:eastAsia="仿宋_GB2312" w:cs="宋体"/>
                <w:bCs/>
                <w:color w:val="auto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0"/>
                <w:szCs w:val="21"/>
              </w:rPr>
              <w:t>检测学生学习整体提高水平。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10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w w:val="80"/>
                <w:sz w:val="28"/>
                <w:szCs w:val="32"/>
              </w:rPr>
              <w:t>1+(</w:t>
            </w:r>
            <w:r>
              <w:rPr>
                <w:rFonts w:hint="eastAsia" w:ascii="仿宋_GB2312" w:hAnsi="宋体" w:eastAsia="仿宋_GB2312"/>
                <w:color w:val="auto"/>
                <w:w w:val="80"/>
                <w:position w:val="-12"/>
                <w:sz w:val="44"/>
                <w:szCs w:val="44"/>
              </w:rPr>
              <w:object>
                <v:shape id="_x0000_i1025" o:spt="75" type="#_x0000_t75" style="height:20.2pt;width:89.9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仿宋_GB2312" w:hAnsi="宋体" w:eastAsia="仿宋_GB2312"/>
                <w:color w:val="auto"/>
                <w:w w:val="80"/>
                <w:sz w:val="28"/>
                <w:szCs w:val="28"/>
              </w:rPr>
              <w:t>—</w:t>
            </w:r>
            <w:r>
              <w:rPr>
                <w:rFonts w:hint="eastAsia" w:ascii="仿宋_GB2312" w:hAnsi="宋体" w:eastAsia="仿宋_GB2312"/>
                <w:color w:val="auto"/>
                <w:w w:val="80"/>
                <w:position w:val="-14"/>
                <w:sz w:val="28"/>
                <w:szCs w:val="28"/>
              </w:rPr>
              <w:object>
                <v:shape id="_x0000_i1026" o:spt="75" type="#_x0000_t75" style="height:20.2pt;width:125.6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hint="eastAsia" w:ascii="仿宋_GB2312" w:hAnsi="宋体" w:eastAsia="仿宋_GB2312"/>
                <w:color w:val="auto"/>
                <w:w w:val="80"/>
                <w:sz w:val="28"/>
                <w:szCs w:val="32"/>
              </w:rPr>
              <w:t>)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基础分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×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得分系数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(合格均分、合格率的计算均以“实考人数+高一定案后辍学学生数”为基数)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90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科科合格率</w:t>
            </w:r>
          </w:p>
        </w:tc>
        <w:tc>
          <w:tcPr>
            <w:tcW w:w="3260" w:type="dxa"/>
            <w:vAlign w:val="center"/>
          </w:tcPr>
          <w:p>
            <w:pPr>
              <w:spacing w:line="240" w:lineRule="exact"/>
              <w:ind w:firstLine="400" w:firstLineChars="200"/>
              <w:rPr>
                <w:rFonts w:ascii="仿宋_GB2312" w:hAnsi="宋体" w:eastAsia="仿宋_GB2312" w:cs="宋体"/>
                <w:bCs/>
                <w:color w:val="auto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0"/>
                <w:szCs w:val="21"/>
              </w:rPr>
              <w:t>促进学生完成国家课程标准规定的学习，坚持全面考核，检测合格性考试合格面。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10</w:t>
            </w:r>
          </w:p>
        </w:tc>
        <w:tc>
          <w:tcPr>
            <w:tcW w:w="63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w w:val="80"/>
                <w:sz w:val="28"/>
                <w:szCs w:val="32"/>
              </w:rPr>
              <w:t>1+(</w:t>
            </w:r>
            <w:r>
              <w:rPr>
                <w:rFonts w:hint="eastAsia" w:ascii="仿宋_GB2312" w:hAnsi="宋体" w:eastAsia="仿宋_GB2312"/>
                <w:color w:val="auto"/>
                <w:w w:val="80"/>
                <w:position w:val="-12"/>
                <w:sz w:val="28"/>
                <w:szCs w:val="28"/>
              </w:rPr>
              <w:object>
                <v:shape id="_x0000_i1027" o:spt="75" type="#_x0000_t75" style="height:19.25pt;width:100.4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hint="eastAsia" w:ascii="仿宋_GB2312" w:hAnsi="宋体" w:eastAsia="仿宋_GB2312"/>
                <w:color w:val="auto"/>
                <w:w w:val="80"/>
                <w:sz w:val="28"/>
                <w:szCs w:val="28"/>
              </w:rPr>
              <w:t>—</w:t>
            </w:r>
            <w:r>
              <w:rPr>
                <w:rFonts w:hint="eastAsia" w:ascii="仿宋_GB2312" w:hAnsi="宋体" w:eastAsia="仿宋_GB2312"/>
                <w:color w:val="auto"/>
                <w:w w:val="80"/>
                <w:position w:val="-12"/>
                <w:sz w:val="28"/>
                <w:szCs w:val="28"/>
              </w:rPr>
              <w:object>
                <v:shape id="_x0000_i1028" o:spt="75" type="#_x0000_t75" style="height:19.25pt;width:133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hint="eastAsia" w:ascii="仿宋_GB2312" w:hAnsi="宋体" w:eastAsia="仿宋_GB2312"/>
                <w:color w:val="auto"/>
                <w:w w:val="80"/>
                <w:sz w:val="28"/>
                <w:szCs w:val="32"/>
              </w:rPr>
              <w:t>)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690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上四分位率</w:t>
            </w:r>
          </w:p>
        </w:tc>
        <w:tc>
          <w:tcPr>
            <w:tcW w:w="3260" w:type="dxa"/>
            <w:vAlign w:val="center"/>
          </w:tcPr>
          <w:p>
            <w:pPr>
              <w:spacing w:line="240" w:lineRule="exact"/>
              <w:ind w:firstLine="400" w:firstLineChars="200"/>
              <w:rPr>
                <w:rFonts w:ascii="仿宋_GB2312" w:hAnsi="宋体" w:eastAsia="仿宋_GB2312" w:cs="宋体"/>
                <w:bCs/>
                <w:color w:val="auto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0"/>
                <w:szCs w:val="21"/>
              </w:rPr>
              <w:t>检测全县学生前四分之一学生提高分布情况。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10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w w:val="80"/>
                <w:sz w:val="28"/>
                <w:szCs w:val="32"/>
              </w:rPr>
              <w:t>1+(</w:t>
            </w:r>
            <w:r>
              <w:rPr>
                <w:rFonts w:hint="eastAsia" w:ascii="仿宋_GB2312" w:hAnsi="宋体" w:eastAsia="仿宋_GB2312"/>
                <w:color w:val="auto"/>
                <w:w w:val="80"/>
                <w:position w:val="-12"/>
                <w:sz w:val="28"/>
                <w:szCs w:val="28"/>
              </w:rPr>
              <w:object>
                <v:shape id="_x0000_i1029" o:spt="75" type="#_x0000_t75" style="height:20.2pt;width:111.4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3">
                  <o:LockedField>false</o:LockedField>
                </o:OLEObject>
              </w:object>
            </w:r>
            <w:r>
              <w:rPr>
                <w:rFonts w:hint="eastAsia" w:ascii="仿宋_GB2312" w:hAnsi="宋体" w:eastAsia="仿宋_GB2312"/>
                <w:color w:val="auto"/>
                <w:w w:val="80"/>
                <w:sz w:val="28"/>
                <w:szCs w:val="28"/>
              </w:rPr>
              <w:t>—</w:t>
            </w:r>
            <w:r>
              <w:rPr>
                <w:rFonts w:hint="eastAsia" w:ascii="仿宋_GB2312" w:hAnsi="宋体" w:eastAsia="仿宋_GB2312"/>
                <w:color w:val="auto"/>
                <w:w w:val="80"/>
                <w:position w:val="-12"/>
                <w:sz w:val="28"/>
                <w:szCs w:val="28"/>
              </w:rPr>
              <w:object>
                <v:shape id="_x0000_i1030" o:spt="75" type="#_x0000_t75" style="height:20.2pt;width:145.8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5">
                  <o:LockedField>false</o:LockedField>
                </o:OLEObject>
              </w:object>
            </w:r>
            <w:r>
              <w:rPr>
                <w:rFonts w:hint="eastAsia" w:ascii="仿宋_GB2312" w:hAnsi="宋体" w:eastAsia="仿宋_GB2312"/>
                <w:color w:val="auto"/>
                <w:w w:val="80"/>
                <w:sz w:val="28"/>
                <w:szCs w:val="32"/>
              </w:rPr>
              <w:t>)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普通高考</w:t>
            </w:r>
          </w:p>
        </w:tc>
        <w:tc>
          <w:tcPr>
            <w:tcW w:w="41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auto"/>
                <w:szCs w:val="21"/>
              </w:rPr>
              <w:t>上线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本科文化上线率</w:t>
            </w:r>
          </w:p>
        </w:tc>
        <w:tc>
          <w:tcPr>
            <w:tcW w:w="3260" w:type="dxa"/>
            <w:vAlign w:val="center"/>
          </w:tcPr>
          <w:p>
            <w:pPr>
              <w:spacing w:line="240" w:lineRule="exact"/>
              <w:ind w:firstLine="400" w:firstLineChars="200"/>
              <w:rPr>
                <w:rFonts w:ascii="仿宋_GB2312" w:hAnsi="宋体" w:eastAsia="仿宋_GB2312" w:cs="宋体"/>
                <w:bCs/>
                <w:color w:val="auto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0"/>
                <w:szCs w:val="21"/>
              </w:rPr>
              <w:t>促进学生成才、为国选才，为高校输送优秀人，评价高中学校高素质人才培养目标。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35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w w:val="80"/>
                <w:sz w:val="28"/>
                <w:szCs w:val="32"/>
              </w:rPr>
              <w:t>1+(</w:t>
            </w:r>
            <w:r>
              <w:rPr>
                <w:rFonts w:hint="eastAsia" w:ascii="仿宋_GB2312" w:hAnsi="宋体" w:eastAsia="仿宋_GB2312"/>
                <w:color w:val="auto"/>
                <w:w w:val="80"/>
                <w:position w:val="-12"/>
                <w:sz w:val="28"/>
                <w:szCs w:val="28"/>
              </w:rPr>
              <w:object>
                <v:shape id="_x0000_i1031" o:spt="75" type="#_x0000_t75" style="height:20.2pt;width:108.2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7">
                  <o:LockedField>false</o:LockedField>
                </o:OLEObject>
              </w:object>
            </w:r>
            <w:r>
              <w:rPr>
                <w:rFonts w:hint="eastAsia" w:ascii="仿宋_GB2312" w:hAnsi="宋体" w:eastAsia="仿宋_GB2312"/>
                <w:color w:val="auto"/>
                <w:w w:val="80"/>
                <w:sz w:val="28"/>
                <w:szCs w:val="28"/>
              </w:rPr>
              <w:t>—</w:t>
            </w:r>
            <w:r>
              <w:rPr>
                <w:rFonts w:hint="eastAsia" w:ascii="仿宋_GB2312" w:hAnsi="宋体" w:eastAsia="仿宋_GB2312"/>
                <w:color w:val="auto"/>
                <w:w w:val="80"/>
                <w:position w:val="-14"/>
                <w:sz w:val="28"/>
                <w:szCs w:val="28"/>
              </w:rPr>
              <w:object>
                <v:shape id="_x0000_i1032" o:spt="75" type="#_x0000_t75" style="height:20.2pt;width:149.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19">
                  <o:LockedField>false</o:LockedField>
                </o:OLEObject>
              </w:object>
            </w:r>
            <w:r>
              <w:rPr>
                <w:rFonts w:hint="eastAsia" w:ascii="仿宋_GB2312" w:hAnsi="宋体" w:eastAsia="仿宋_GB2312"/>
                <w:color w:val="auto"/>
                <w:w w:val="80"/>
                <w:sz w:val="28"/>
                <w:szCs w:val="32"/>
              </w:rPr>
              <w:t>)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690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</w:p>
        </w:tc>
        <w:tc>
          <w:tcPr>
            <w:tcW w:w="4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专科文化上线率</w:t>
            </w:r>
          </w:p>
        </w:tc>
        <w:tc>
          <w:tcPr>
            <w:tcW w:w="3260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" w:hAnsi="仿宋" w:eastAsia="仿宋" w:cs="宋体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树立以就业为导向的办学理念,培养社会急需的应用型人才，</w:t>
            </w:r>
            <w:r>
              <w:rPr>
                <w:rFonts w:hint="eastAsia" w:ascii="仿宋" w:hAnsi="仿宋" w:eastAsia="仿宋" w:cs="宋体"/>
                <w:bCs/>
                <w:color w:val="auto"/>
                <w:szCs w:val="21"/>
              </w:rPr>
              <w:t>培养合格的高中毕业生，评价高中学校整体教学质量的提升。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15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w w:val="80"/>
                <w:sz w:val="28"/>
                <w:szCs w:val="32"/>
              </w:rPr>
              <w:t>1+(</w:t>
            </w:r>
            <w:r>
              <w:rPr>
                <w:rFonts w:hint="eastAsia" w:ascii="仿宋_GB2312" w:hAnsi="宋体" w:eastAsia="仿宋_GB2312"/>
                <w:color w:val="auto"/>
                <w:w w:val="80"/>
                <w:position w:val="-12"/>
                <w:sz w:val="28"/>
                <w:szCs w:val="28"/>
              </w:rPr>
              <w:object>
                <v:shape id="_x0000_i1033" o:spt="75" type="#_x0000_t75" style="height:20.2pt;width:122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21">
                  <o:LockedField>false</o:LockedField>
                </o:OLEObject>
              </w:object>
            </w:r>
            <w:r>
              <w:rPr>
                <w:rFonts w:hint="eastAsia" w:ascii="仿宋_GB2312" w:hAnsi="宋体" w:eastAsia="仿宋_GB2312"/>
                <w:color w:val="auto"/>
                <w:w w:val="80"/>
                <w:sz w:val="28"/>
                <w:szCs w:val="28"/>
              </w:rPr>
              <w:t>—</w:t>
            </w:r>
            <w:r>
              <w:rPr>
                <w:rFonts w:hint="eastAsia" w:ascii="仿宋_GB2312" w:hAnsi="宋体" w:eastAsia="仿宋_GB2312"/>
                <w:color w:val="auto"/>
                <w:w w:val="80"/>
                <w:position w:val="-14"/>
                <w:sz w:val="28"/>
                <w:szCs w:val="28"/>
              </w:rPr>
              <w:object>
                <v:shape id="_x0000_i1034" o:spt="75" type="#_x0000_t75" style="height:20.2pt;width:150.4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23">
                  <o:LockedField>false</o:LockedField>
                </o:OLEObject>
              </w:object>
            </w:r>
            <w:r>
              <w:rPr>
                <w:rFonts w:hint="eastAsia" w:ascii="仿宋_GB2312" w:hAnsi="宋体" w:eastAsia="仿宋_GB2312"/>
                <w:color w:val="auto"/>
                <w:w w:val="80"/>
                <w:sz w:val="28"/>
                <w:szCs w:val="32"/>
              </w:rPr>
              <w:t>)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690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</w:p>
        </w:tc>
        <w:tc>
          <w:tcPr>
            <w:tcW w:w="4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本科艺体类上线</w:t>
            </w:r>
          </w:p>
        </w:tc>
        <w:tc>
          <w:tcPr>
            <w:tcW w:w="3260" w:type="dxa"/>
            <w:vAlign w:val="center"/>
          </w:tcPr>
          <w:p>
            <w:pPr>
              <w:spacing w:line="240" w:lineRule="exact"/>
              <w:ind w:firstLine="400" w:firstLineChars="200"/>
              <w:rPr>
                <w:rFonts w:ascii="仿宋_GB2312" w:hAnsi="宋体" w:eastAsia="仿宋_GB2312" w:cs="宋体"/>
                <w:bCs/>
                <w:color w:val="auto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0"/>
                <w:szCs w:val="21"/>
              </w:rPr>
              <w:t>加强艺体教育，提高学生艺术体育素养，促进学生全面发展，积极培养多类型的艺体人才。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5</w:t>
            </w:r>
          </w:p>
        </w:tc>
        <w:tc>
          <w:tcPr>
            <w:tcW w:w="6378" w:type="dxa"/>
            <w:vAlign w:val="center"/>
          </w:tcPr>
          <w:p>
            <w:pPr>
              <w:ind w:firstLine="400"/>
              <w:rPr>
                <w:rFonts w:ascii="仿宋_GB2312" w:hAnsi="宋体" w:eastAsia="仿宋_GB2312"/>
                <w:color w:val="auto"/>
                <w:w w:val="8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w w:val="80"/>
                <w:szCs w:val="21"/>
              </w:rPr>
              <w:t>艺体类上线为“文化+专业”双上线，按全县艺体类上线人数除以艺体类参考人数，按45%为基数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每</w:t>
            </w:r>
            <w:r>
              <w:rPr>
                <w:rFonts w:ascii="仿宋_GB2312" w:hAnsi="宋体" w:eastAsia="仿宋_GB2312" w:cs="宋体"/>
                <w:bCs/>
                <w:color w:val="auto"/>
                <w:szCs w:val="21"/>
              </w:rPr>
              <w:t>低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color w:val="auto"/>
                <w:szCs w:val="21"/>
              </w:rPr>
              <w:t>个百分点扣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690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</w:p>
        </w:tc>
        <w:tc>
          <w:tcPr>
            <w:tcW w:w="41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auto"/>
                <w:szCs w:val="21"/>
              </w:rPr>
              <w:t>录取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</w:rPr>
              <w:t>1.本科录取数</w:t>
            </w:r>
          </w:p>
          <w:p>
            <w:pPr>
              <w:spacing w:line="240" w:lineRule="exact"/>
              <w:rPr>
                <w:rFonts w:ascii="仿宋_GB2312" w:hAnsi="宋体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</w:rPr>
              <w:t>2.专科录取数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</w:rPr>
              <w:t>3.双一流大学录取数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10</w:t>
            </w:r>
          </w:p>
        </w:tc>
        <w:tc>
          <w:tcPr>
            <w:tcW w:w="6378" w:type="dxa"/>
            <w:vAlign w:val="center"/>
          </w:tcPr>
          <w:p>
            <w:pPr>
              <w:spacing w:line="240" w:lineRule="exact"/>
              <w:ind w:firstLine="336" w:firstLineChars="200"/>
              <w:rPr>
                <w:rFonts w:ascii="仿宋_GB2312" w:hAnsi="宋体" w:eastAsia="仿宋_GB2312"/>
                <w:color w:val="auto"/>
                <w:w w:val="8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w w:val="80"/>
                <w:szCs w:val="21"/>
              </w:rPr>
              <w:t>基数按各校本科上线人数的100%录取计3分，专科按统招上线人数的80%录取计2分，双一流大学录取参照特殊类招生分数线上线人数的13%录取计算计5分。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每</w:t>
            </w:r>
            <w:r>
              <w:rPr>
                <w:rFonts w:ascii="仿宋_GB2312" w:hAnsi="宋体" w:eastAsia="仿宋_GB2312" w:cs="宋体"/>
                <w:bCs/>
                <w:color w:val="auto"/>
                <w:szCs w:val="21"/>
              </w:rPr>
              <w:t>低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color w:val="auto"/>
                <w:szCs w:val="21"/>
              </w:rPr>
              <w:t>个百分点扣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奖励加分</w:t>
            </w:r>
          </w:p>
        </w:tc>
        <w:tc>
          <w:tcPr>
            <w:tcW w:w="13407" w:type="dxa"/>
            <w:gridSpan w:val="6"/>
            <w:vAlign w:val="center"/>
          </w:tcPr>
          <w:p>
            <w:pPr>
              <w:pStyle w:val="6"/>
              <w:spacing w:line="240" w:lineRule="exact"/>
              <w:ind w:firstLine="0" w:firstLineChars="0"/>
              <w:rPr>
                <w:rFonts w:ascii="仿宋_GB2312" w:hAnsi="宋体" w:eastAsia="仿宋_GB2312" w:cs="宋体"/>
                <w:bCs/>
                <w:color w:val="auto"/>
                <w:sz w:val="20"/>
                <w:szCs w:val="16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①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 w:val="20"/>
                <w:szCs w:val="16"/>
              </w:rPr>
              <w:t>学生个人竞赛：国家、省、州一、二、三等奖分别按1.5、1.2、1；0.8、0.6、0.4；0.5、0.3、0.1计分。②学生团体竞赛：国家、省、州一、二、三等奖分别按3、2、1.5；2、1.5、1；1.5、1、0.5计分。</w:t>
            </w:r>
            <w:r>
              <w:rPr>
                <w:rFonts w:ascii="Calibri" w:hAnsi="Calibri" w:eastAsia="仿宋_GB2312" w:cs="Calibri"/>
                <w:bCs/>
                <w:color w:val="auto"/>
                <w:sz w:val="20"/>
                <w:szCs w:val="16"/>
              </w:rPr>
              <w:fldChar w:fldCharType="begin"/>
            </w:r>
            <w:r>
              <w:rPr>
                <w:rFonts w:hint="eastAsia" w:ascii="Calibri" w:hAnsi="Calibri" w:eastAsia="仿宋_GB2312" w:cs="Calibri"/>
                <w:bCs/>
                <w:color w:val="auto"/>
                <w:sz w:val="20"/>
                <w:szCs w:val="16"/>
              </w:rPr>
              <w:instrText xml:space="preserve">= 3 \* GB3</w:instrText>
            </w:r>
            <w:r>
              <w:rPr>
                <w:rFonts w:ascii="Calibri" w:hAnsi="Calibri" w:eastAsia="仿宋_GB2312" w:cs="Calibri"/>
                <w:bCs/>
                <w:color w:val="auto"/>
                <w:sz w:val="20"/>
                <w:szCs w:val="16"/>
              </w:rPr>
              <w:fldChar w:fldCharType="separate"/>
            </w:r>
            <w:r>
              <w:rPr>
                <w:rFonts w:hint="eastAsia" w:ascii="Calibri" w:hAnsi="Calibri" w:eastAsia="仿宋_GB2312" w:cs="Calibri"/>
                <w:bCs/>
                <w:color w:val="auto"/>
                <w:sz w:val="20"/>
                <w:szCs w:val="16"/>
              </w:rPr>
              <w:t>③</w:t>
            </w:r>
            <w:r>
              <w:rPr>
                <w:rFonts w:ascii="Calibri" w:hAnsi="Calibri" w:eastAsia="仿宋_GB2312" w:cs="Calibri"/>
                <w:bCs/>
                <w:color w:val="auto"/>
                <w:sz w:val="20"/>
                <w:szCs w:val="16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bCs/>
                <w:color w:val="auto"/>
                <w:sz w:val="20"/>
                <w:szCs w:val="16"/>
              </w:rPr>
              <w:t>获优秀组织奖分别按相应级别三等奖计分。(竞赛限指官方组织的各类学生竞赛，三项加分5分封顶。)</w:t>
            </w:r>
          </w:p>
        </w:tc>
      </w:tr>
    </w:tbl>
    <w:p>
      <w:pPr>
        <w:rPr>
          <w:rFonts w:ascii="仿宋_GB2312" w:hAnsi="仿宋_GB2312" w:eastAsia="仿宋_GB2312" w:cs="仿宋_GB2312"/>
          <w:bCs/>
          <w:color w:val="auto"/>
          <w:sz w:val="28"/>
          <w:szCs w:val="32"/>
        </w:rPr>
        <w:sectPr>
          <w:pgSz w:w="16838" w:h="11906" w:orient="landscape"/>
          <w:pgMar w:top="1440" w:right="1800" w:bottom="1440" w:left="1800" w:header="851" w:footer="992" w:gutter="0"/>
          <w:cols w:space="0" w:num="1"/>
          <w:docGrid w:type="linesAndChars" w:linePitch="319" w:charSpace="204"/>
        </w:sect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br w:type="page"/>
      </w:r>
    </w:p>
    <w:p>
      <w:pPr>
        <w:rPr>
          <w:rFonts w:ascii="仿宋_GB2312" w:hAnsi="Times New Roman" w:eastAsia="仿宋_GB2312"/>
          <w:color w:val="auto"/>
          <w:sz w:val="32"/>
          <w:szCs w:val="32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altName w:val="PMingLiU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0650" cy="15494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9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lX4/fRAAAAAwEAAA8AAAAAAAAAAQAgAAAAIgAA&#10;AGRycy9kb3ducmV2LnhtbFBLAQIUABQAAAAIAIdO4kCyXbxfDwIAAAU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D6222"/>
    <w:rsid w:val="0DD843AC"/>
    <w:rsid w:val="1EB23B88"/>
    <w:rsid w:val="21EE0959"/>
    <w:rsid w:val="628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2023-03-21T07:57:00Z</dcterms:created>
  <dc:creator>y</dc:creator>
  <cp:lastModifiedBy>y</cp:lastModifiedBy>
  <dcterms:modified xsi:type="dcterms:W3CDTF">2023-03-21T08:01:56Z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