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龙山县中小学信息技术和实验教学工作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质量评价细则</w:t>
      </w:r>
    </w:p>
    <w:bookmarkEnd w:id="0"/>
    <w:p>
      <w:pPr>
        <w:spacing w:line="24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84"/>
        <w:tblOverlap w:val="never"/>
        <w:tblW w:w="8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80"/>
        <w:gridCol w:w="1300"/>
        <w:gridCol w:w="760"/>
        <w:gridCol w:w="4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权重分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高中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年末监测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实验50分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均分÷100×40＋合格率×6＋优秀率×4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信息50分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均分÷100×40＋合格率×6＋优秀率×4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初中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实践能力操作考试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60分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物理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科均分÷10×10＋合格率×3＋优秀率×2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化学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科均分÷10×10＋合格率×3＋优秀率×2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生物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科均分÷10×10＋合格率×3＋优秀率×2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信息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科均分÷30×10＋合格率×3＋优秀率×2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年末监测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实验20分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均分÷100×15＋合格率×3＋优秀率×2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信息20分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均分÷100×15＋合格率×3＋优秀率×2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小学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年末监测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实验50分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均分÷100×40＋合格率×6＋优秀率×4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信息50分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均分÷100×40＋合格率×6＋优秀率×4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九年制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综合质量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100分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（按初中计算的质量+按小学计算的质量）÷2</w:t>
            </w:r>
          </w:p>
        </w:tc>
      </w:tr>
    </w:tbl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说明：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1.初中实验、信息技术实践能力操作考试，以基教股报名缴费人数计算均分、合格率、优秀率。</w:t>
      </w:r>
    </w:p>
    <w:p>
      <w:pPr>
        <w:spacing w:line="360" w:lineRule="exact"/>
        <w:rPr>
          <w:rFonts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   2.合格率：百分制以60分为合格，末按百分制计算的科目，按权重分乘以60%计算。</w:t>
      </w:r>
    </w:p>
    <w:p>
      <w:pPr>
        <w:spacing w:line="360" w:lineRule="exact"/>
        <w:rPr>
          <w:rFonts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   3.优秀率：百分制以90分为优秀，末按百分制计算的科目，按权重分乘以90%计算。</w:t>
      </w:r>
    </w:p>
    <w:p>
      <w:pPr>
        <w:spacing w:line="360" w:lineRule="exact"/>
        <w:rPr>
          <w:rFonts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   4.下列情况，相应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</w:rPr>
        <w:t>年末监测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成绩作0分处理：</w:t>
      </w:r>
    </w:p>
    <w:p>
      <w:pPr>
        <w:spacing w:line="360" w:lineRule="exact"/>
        <w:rPr>
          <w:rFonts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   (1)实验：高中、初中实验无学生实验报告单，小学无实验登记册，且调查学生分组实验未做。</w:t>
      </w:r>
    </w:p>
    <w:p>
      <w:pPr>
        <w:spacing w:line="360" w:lineRule="exact"/>
        <w:rPr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   (2)信息技术：操作题学生无上机登记且实际未上机操作。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PMingLiU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EB23B88"/>
    <w:rsid w:val="21EE0959"/>
    <w:rsid w:val="628D6222"/>
    <w:rsid w:val="7F9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