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附件9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龙山县中等职业学校教学质量评价细则</w:t>
      </w:r>
    </w:p>
    <w:bookmarkEnd w:id="0"/>
    <w:p>
      <w:pPr>
        <w:spacing w:line="240" w:lineRule="exact"/>
        <w:ind w:firstLine="643" w:firstLineChars="200"/>
        <w:rPr>
          <w:rFonts w:ascii="仿宋" w:hAnsi="仿宋" w:eastAsia="仿宋"/>
          <w:b/>
          <w:color w:val="auto"/>
          <w:sz w:val="32"/>
          <w:szCs w:val="30"/>
        </w:rPr>
      </w:pPr>
    </w:p>
    <w:tbl>
      <w:tblPr>
        <w:tblStyle w:val="4"/>
        <w:tblpPr w:leftFromText="180" w:rightFromText="180" w:vertAnchor="text" w:horzAnchor="page" w:tblpXSpec="center" w:tblpY="181"/>
        <w:tblOverlap w:val="never"/>
        <w:tblW w:w="13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4160"/>
        <w:gridCol w:w="4480"/>
        <w:gridCol w:w="127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1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要    点</w:t>
            </w:r>
          </w:p>
        </w:tc>
        <w:tc>
          <w:tcPr>
            <w:tcW w:w="44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评  分  标  准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考评形式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权重分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专业设置</w:t>
            </w:r>
          </w:p>
        </w:tc>
        <w:tc>
          <w:tcPr>
            <w:tcW w:w="4160" w:type="dxa"/>
            <w:vAlign w:val="center"/>
          </w:tcPr>
          <w:p>
            <w:pPr>
              <w:pStyle w:val="6"/>
              <w:adjustRightInd w:val="0"/>
              <w:spacing w:line="360" w:lineRule="exact"/>
              <w:ind w:firstLine="426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重点考察专业设置、培养定位与经济社会需求的吻合度与对接机制，专业运行的组织构架与运行的协调性、经费投入与使用等。</w:t>
            </w:r>
          </w:p>
        </w:tc>
        <w:tc>
          <w:tcPr>
            <w:tcW w:w="4480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学校开设课程是否与省州要求一致；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培养定位与经济社会需求的相吻合；专业运行的组织构架与运行的协调性、经费投入与使用是否有保障。（根据情况酌情扣分）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现场查看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30分×得分系数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文化普测</w:t>
            </w:r>
          </w:p>
        </w:tc>
        <w:tc>
          <w:tcPr>
            <w:tcW w:w="4160" w:type="dxa"/>
            <w:vAlign w:val="center"/>
          </w:tcPr>
          <w:p>
            <w:pPr>
              <w:adjustRightInd w:val="0"/>
              <w:spacing w:line="360" w:lineRule="exact"/>
              <w:ind w:firstLine="420" w:firstLineChars="20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重点考察教育教学管理和质量监控情况、专业文化建设、档案管理等。</w:t>
            </w:r>
          </w:p>
        </w:tc>
        <w:tc>
          <w:tcPr>
            <w:tcW w:w="4480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全省统考</w:t>
            </w:r>
            <w:r>
              <w:rPr>
                <w:rFonts w:ascii="仿宋" w:hAnsi="仿宋" w:eastAsia="仿宋"/>
                <w:color w:val="auto"/>
                <w:szCs w:val="21"/>
              </w:rPr>
              <w:t>高二年级文化课普测合格率居全州中职（公办）学校前三名记满分，每降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1名减去2个百分点。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现场查看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网络查询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30分×得分系数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升学就业</w:t>
            </w:r>
          </w:p>
        </w:tc>
        <w:tc>
          <w:tcPr>
            <w:tcW w:w="4160" w:type="dxa"/>
            <w:vAlign w:val="center"/>
          </w:tcPr>
          <w:p>
            <w:pPr>
              <w:adjustRightInd w:val="0"/>
              <w:spacing w:line="360" w:lineRule="exact"/>
              <w:ind w:firstLine="420" w:firstLineChars="20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重点考察：就业率、升学率、经济贡献率等指标。</w:t>
            </w:r>
          </w:p>
        </w:tc>
        <w:tc>
          <w:tcPr>
            <w:tcW w:w="4480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高三对口升学学生升学率达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96％以上记20分，</w:t>
            </w:r>
            <w:r>
              <w:rPr>
                <w:rFonts w:ascii="仿宋" w:hAnsi="仿宋" w:eastAsia="仿宋"/>
                <w:color w:val="auto"/>
                <w:szCs w:val="21"/>
              </w:rPr>
              <w:t>每降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1个百分点减去1分；</w:t>
            </w:r>
            <w:r>
              <w:rPr>
                <w:rFonts w:ascii="仿宋" w:hAnsi="仿宋" w:eastAsia="仿宋"/>
                <w:color w:val="auto"/>
                <w:szCs w:val="21"/>
              </w:rPr>
              <w:t>高三就业学生就业率达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96％以上记20分，</w:t>
            </w:r>
            <w:r>
              <w:rPr>
                <w:rFonts w:ascii="仿宋" w:hAnsi="仿宋" w:eastAsia="仿宋"/>
                <w:color w:val="auto"/>
                <w:szCs w:val="21"/>
              </w:rPr>
              <w:t>每降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1个百分点减去1分。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现场查看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网络查询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40分×得分系数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奖励加分</w:t>
            </w:r>
          </w:p>
        </w:tc>
        <w:tc>
          <w:tcPr>
            <w:tcW w:w="4160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丰富校园生活，促进师生综合素质培养，鼓励学校特色发展。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6"/>
              <w:spacing w:line="360" w:lineRule="exact"/>
              <w:ind w:firstLine="426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Calibri" w:hAnsi="Calibri" w:eastAsia="仿宋" w:cs="Calibri"/>
                <w:bCs/>
                <w:color w:val="auto"/>
                <w:szCs w:val="21"/>
              </w:rPr>
              <w:t>①</w:t>
            </w: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各类教师、学生个人竞赛：国家、省、州一、二、三等奖分别按3、2.5、2；2、1.5、1；1、0.6、0.2计分。</w:t>
            </w:r>
            <w:r>
              <w:rPr>
                <w:rFonts w:ascii="Calibri" w:hAnsi="Calibri" w:eastAsia="仿宋" w:cs="Calibri"/>
                <w:bCs/>
                <w:color w:val="auto"/>
                <w:szCs w:val="21"/>
              </w:rPr>
              <w:t>②</w:t>
            </w: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各类学生团体竞赛：国家、省、州一、二、三等奖分别按5、4、3；4、3、2；3、2、1计分。</w:t>
            </w:r>
            <w:r>
              <w:rPr>
                <w:rFonts w:ascii="Calibri" w:hAnsi="Calibri" w:eastAsia="仿宋" w:cs="Calibri"/>
                <w:bCs/>
                <w:color w:val="auto"/>
                <w:szCs w:val="21"/>
              </w:rPr>
              <w:t>③</w:t>
            </w:r>
            <w:r>
              <w:rPr>
                <w:rFonts w:hint="eastAsia" w:ascii="仿宋" w:hAnsi="仿宋" w:eastAsia="仿宋" w:cs="宋体"/>
                <w:bCs/>
                <w:color w:val="auto"/>
                <w:szCs w:val="21"/>
              </w:rPr>
              <w:t>各类获优秀组织奖分别按相应级别三等奖计分。(竞赛限指官方组织的各类学生竞赛，三项加分20分封顶。)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7821B51"/>
    <w:rsid w:val="187649F8"/>
    <w:rsid w:val="1EB23B88"/>
    <w:rsid w:val="21EE0959"/>
    <w:rsid w:val="30862C8C"/>
    <w:rsid w:val="3D0A0A51"/>
    <w:rsid w:val="628D6222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