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仿宋_GB2312" w:eastAsia="黑体" w:cs="仿宋_GB2312"/>
          <w:b w:val="0"/>
          <w:bCs w:val="0"/>
          <w:sz w:val="48"/>
          <w:szCs w:val="48"/>
        </w:rPr>
      </w:pPr>
    </w:p>
    <w:p>
      <w:pPr>
        <w:spacing w:line="420" w:lineRule="exact"/>
        <w:jc w:val="right"/>
        <w:rPr>
          <w:rFonts w:hint="eastAsia" w:ascii="仿宋_GB2312" w:hAnsi="仿宋_GB2312" w:eastAsia="仿宋_GB2312" w:cs="仿宋_GB2312"/>
          <w:b w:val="0"/>
          <w:bCs w:val="0"/>
          <w:kern w:val="2"/>
          <w:sz w:val="32"/>
          <w:szCs w:val="32"/>
          <w:lang w:eastAsia="zh-CN"/>
        </w:rPr>
      </w:pPr>
    </w:p>
    <w:p>
      <w:pPr>
        <w:spacing w:line="420" w:lineRule="exact"/>
        <w:jc w:val="right"/>
        <w:rPr>
          <w:rFonts w:hint="eastAsia" w:ascii="仿宋_GB2312" w:hAnsi="仿宋_GB2312" w:eastAsia="仿宋_GB2312" w:cs="仿宋_GB2312"/>
          <w:b w:val="0"/>
          <w:bCs w:val="0"/>
          <w:kern w:val="2"/>
          <w:sz w:val="32"/>
          <w:szCs w:val="32"/>
        </w:rPr>
      </w:pPr>
    </w:p>
    <w:p>
      <w:pPr>
        <w:spacing w:line="420" w:lineRule="exact"/>
        <w:jc w:val="right"/>
        <w:rPr>
          <w:rFonts w:hint="eastAsia" w:ascii="仿宋_GB2312" w:hAnsi="仿宋_GB2312" w:eastAsia="仿宋_GB2312" w:cs="仿宋_GB2312"/>
          <w:b w:val="0"/>
          <w:bCs w:val="0"/>
          <w:kern w:val="2"/>
          <w:sz w:val="32"/>
          <w:szCs w:val="32"/>
        </w:rPr>
      </w:pPr>
    </w:p>
    <w:p>
      <w:pPr>
        <w:spacing w:line="420" w:lineRule="exact"/>
        <w:jc w:val="right"/>
        <w:rPr>
          <w:rFonts w:hint="eastAsia" w:ascii="仿宋_GB2312" w:hAnsi="仿宋_GB2312" w:eastAsia="仿宋_GB2312" w:cs="仿宋_GB2312"/>
          <w:b w:val="0"/>
          <w:bCs w:val="0"/>
          <w:kern w:val="2"/>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_GB2312" w:hAnsi="仿宋_GB2312" w:eastAsia="仿宋_GB2312" w:cs="仿宋_GB2312"/>
          <w:b w:val="0"/>
          <w:bCs w:val="0"/>
          <w:kern w:val="2"/>
          <w:sz w:val="32"/>
          <w:szCs w:val="32"/>
        </w:rPr>
      </w:pPr>
    </w:p>
    <w:p>
      <w:pPr>
        <w:wordWrap w:val="0"/>
        <w:spacing w:line="420" w:lineRule="exact"/>
        <w:jc w:val="right"/>
        <w:rPr>
          <w:rFonts w:hint="eastAsia" w:ascii="仿宋_GB2312" w:hAnsi="仿宋_GB2312" w:eastAsia="仿宋_GB2312" w:cs="仿宋_GB2312"/>
          <w:b w:val="0"/>
          <w:bCs w:val="0"/>
          <w:kern w:val="2"/>
          <w:sz w:val="32"/>
          <w:szCs w:val="32"/>
        </w:rPr>
      </w:pPr>
    </w:p>
    <w:p>
      <w:pPr>
        <w:keepNext w:val="0"/>
        <w:keepLines w:val="0"/>
        <w:pageBreakBefore w:val="0"/>
        <w:widowControl w:val="0"/>
        <w:kinsoku/>
        <w:wordWrap w:val="0"/>
        <w:overflowPunct/>
        <w:topLinePunct w:val="0"/>
        <w:autoSpaceDE/>
        <w:autoSpaceDN/>
        <w:bidi w:val="0"/>
        <w:adjustRightInd/>
        <w:snapToGrid/>
        <w:spacing w:line="220" w:lineRule="exact"/>
        <w:jc w:val="right"/>
        <w:textAlignment w:val="auto"/>
        <w:rPr>
          <w:rFonts w:hint="eastAsia" w:ascii="仿宋_GB2312" w:hAnsi="仿宋_GB2312" w:eastAsia="仿宋_GB2312" w:cs="仿宋_GB2312"/>
          <w:b w:val="0"/>
          <w:bCs w:val="0"/>
          <w:kern w:val="2"/>
          <w:sz w:val="32"/>
          <w:szCs w:val="32"/>
        </w:rPr>
      </w:pPr>
    </w:p>
    <w:p>
      <w:pPr>
        <w:wordWrap w:val="0"/>
        <w:spacing w:line="420" w:lineRule="exact"/>
        <w:jc w:val="right"/>
        <w:rPr>
          <w:rFonts w:hint="default"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rPr>
        <w:t>龙民政函〔202</w:t>
      </w:r>
      <w:r>
        <w:rPr>
          <w:rFonts w:hint="eastAsia" w:ascii="仿宋_GB2312" w:hAnsi="仿宋_GB2312" w:eastAsia="仿宋_GB2312" w:cs="仿宋_GB2312"/>
          <w:b w:val="0"/>
          <w:bCs w:val="0"/>
          <w:kern w:val="2"/>
          <w:sz w:val="32"/>
          <w:szCs w:val="32"/>
          <w:lang w:val="en-US" w:eastAsia="zh-CN"/>
        </w:rPr>
        <w:t>5</w:t>
      </w:r>
      <w:r>
        <w:rPr>
          <w:rFonts w:hint="eastAsia" w:ascii="仿宋_GB2312" w:hAnsi="仿宋_GB2312" w:eastAsia="仿宋_GB2312" w:cs="仿宋_GB2312"/>
          <w:b w:val="0"/>
          <w:bCs w:val="0"/>
          <w:kern w:val="2"/>
          <w:sz w:val="32"/>
          <w:szCs w:val="32"/>
        </w:rPr>
        <w:t>〕</w:t>
      </w:r>
      <w:r>
        <w:rPr>
          <w:rFonts w:hint="eastAsia" w:ascii="仿宋_GB2312" w:hAnsi="仿宋_GB2312" w:eastAsia="仿宋_GB2312" w:cs="仿宋_GB2312"/>
          <w:b w:val="0"/>
          <w:bCs w:val="0"/>
          <w:color w:val="auto"/>
          <w:kern w:val="2"/>
          <w:sz w:val="32"/>
          <w:szCs w:val="32"/>
          <w:lang w:val="en-US" w:eastAsia="zh-CN"/>
        </w:rPr>
        <w:t>4</w:t>
      </w:r>
      <w:r>
        <w:rPr>
          <w:rFonts w:hint="eastAsia" w:ascii="仿宋_GB2312" w:hAnsi="仿宋_GB2312" w:eastAsia="仿宋_GB2312" w:cs="仿宋_GB2312"/>
          <w:b w:val="0"/>
          <w:bCs w:val="0"/>
          <w:kern w:val="2"/>
          <w:sz w:val="32"/>
          <w:szCs w:val="32"/>
        </w:rPr>
        <w:t>号</w:t>
      </w:r>
      <w:r>
        <w:rPr>
          <w:rFonts w:hint="eastAsia" w:ascii="仿宋_GB2312" w:hAnsi="仿宋_GB2312" w:eastAsia="仿宋_GB2312" w:cs="仿宋_GB2312"/>
          <w:b w:val="0"/>
          <w:bCs w:val="0"/>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40" w:lineRule="exact"/>
        <w:jc w:val="center"/>
        <w:textAlignment w:val="auto"/>
        <w:rPr>
          <w:rFonts w:hint="eastAsia" w:ascii="黑体" w:hAnsi="仿宋_GB2312" w:eastAsia="黑体" w:cs="仿宋_GB2312"/>
          <w:b w:val="0"/>
          <w:bCs w:val="0"/>
          <w:sz w:val="84"/>
          <w:szCs w:val="8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大标宋简体" w:hAnsi="方正大标宋简体" w:eastAsia="方正大标宋简体" w:cs="方正大标宋简体"/>
          <w:b w:val="0"/>
          <w:bCs w:val="0"/>
          <w:snapToGrid/>
          <w:color w:val="000000"/>
          <w:spacing w:val="0"/>
          <w:w w:val="100"/>
          <w:kern w:val="2"/>
          <w:sz w:val="44"/>
          <w:szCs w:val="44"/>
          <w:lang w:val="en-US" w:eastAsia="zh-CN" w:bidi="ar-SA"/>
        </w:rPr>
      </w:pPr>
      <w:r>
        <w:rPr>
          <w:rFonts w:hint="eastAsia" w:ascii="方正大标宋简体" w:hAnsi="方正大标宋简体" w:eastAsia="方正大标宋简体" w:cs="方正大标宋简体"/>
          <w:b w:val="0"/>
          <w:bCs w:val="0"/>
          <w:snapToGrid/>
          <w:color w:val="000000"/>
          <w:spacing w:val="0"/>
          <w:w w:val="100"/>
          <w:kern w:val="2"/>
          <w:sz w:val="44"/>
          <w:szCs w:val="44"/>
          <w:lang w:val="en-US" w:eastAsia="zh-CN" w:bidi="ar-SA"/>
        </w:rPr>
        <w:t>龙山县民政局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大标宋简体" w:hAnsi="方正大标宋简体" w:eastAsia="方正大标宋简体" w:cs="方正大标宋简体"/>
          <w:b w:val="0"/>
          <w:bCs w:val="0"/>
          <w:snapToGrid/>
          <w:color w:val="000000"/>
          <w:spacing w:val="-6"/>
          <w:w w:val="95"/>
          <w:kern w:val="2"/>
          <w:sz w:val="44"/>
          <w:szCs w:val="44"/>
          <w:lang w:val="en-US" w:eastAsia="zh-CN" w:bidi="ar-SA"/>
        </w:rPr>
      </w:pPr>
      <w:r>
        <w:rPr>
          <w:rFonts w:hint="eastAsia" w:ascii="方正大标宋简体" w:hAnsi="方正大标宋简体" w:eastAsia="方正大标宋简体" w:cs="方正大标宋简体"/>
          <w:b w:val="0"/>
          <w:bCs w:val="0"/>
          <w:snapToGrid/>
          <w:color w:val="000000"/>
          <w:spacing w:val="0"/>
          <w:w w:val="100"/>
          <w:kern w:val="2"/>
          <w:sz w:val="44"/>
          <w:szCs w:val="44"/>
          <w:lang w:val="en-US" w:eastAsia="zh-CN" w:bidi="ar-SA"/>
        </w:rPr>
        <w:t>关于开展县本级社会组织2024年度检查工作的通        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sz w:val="44"/>
          <w:szCs w:val="44"/>
        </w:rPr>
      </w:pPr>
    </w:p>
    <w:p>
      <w:pPr>
        <w:keepNext w:val="0"/>
        <w:keepLines w:val="0"/>
        <w:pageBreakBefore w:val="0"/>
        <w:widowControl w:val="0"/>
        <w:kinsoku/>
        <w:wordWrap/>
        <w:overflowPunct/>
        <w:topLinePunct/>
        <w:autoSpaceDE/>
        <w:autoSpaceDN/>
        <w:bidi w:val="0"/>
        <w:adjustRightInd w:val="0"/>
        <w:snapToGrid w:val="0"/>
        <w:spacing w:line="600" w:lineRule="exact"/>
        <w:ind w:firstLine="0" w:firstLineChars="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县本级各社会组织业务主管单位，县本级各社会组织：</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default"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根据《社会团体登记管理条例》《民办非企业单位登记管</w:t>
      </w:r>
      <w:bookmarkStart w:id="0" w:name="_GoBack"/>
      <w:bookmarkEnd w:id="0"/>
      <w:r>
        <w:rPr>
          <w:rFonts w:hint="eastAsia" w:ascii="仿宋_GB2312" w:hAnsi="仿宋_GB2312" w:eastAsia="仿宋_GB2312" w:cs="仿宋_GB2312"/>
          <w:b w:val="0"/>
          <w:bCs w:val="0"/>
          <w:snapToGrid/>
          <w:color w:val="000000"/>
          <w:kern w:val="2"/>
          <w:sz w:val="32"/>
          <w:szCs w:val="32"/>
          <w:lang w:val="en-US" w:eastAsia="zh-CN" w:bidi="ar-SA"/>
        </w:rPr>
        <w:t>理暂行条例》《民办非企业单位年度检查办法》和《湖南省社会组织综合监管办法》等有关法规政策规定，将开展县本级社会组织2024年年度检查（以下简称年检）。请各业务主管单位及时通知并指导、督促主管的县本级社会组织按规定要求填报年检材料和领导干部兼职情况，对相关材料内容和领导干部兼职情况进行认真审查，于2025年5月31日前出具初审结论。各县本级社会组织要如实填报年检材料，确保所提交材料信息真实、准确、完整，并于2025年5月31日前将经业务主管单位出具初审意见的年检纸质材料报送我局（已脱钩和直接登记的县本级行业协会商会请直接将年检材料报送我局）。对虚假填报及未按期报送年检材料的社会组织，将依规予以严肃处理（具体年检事项须知见附件）。</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我局将通过实地检查等方式，按一定比例对年检所涉事项进行抽查核实，根据相关规定，并结合日常管理中发现的问题的核查情况，综合研究确定年检结论。</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default" w:ascii="仿宋_GB2312" w:hAnsi="仿宋_GB2312" w:eastAsia="仿宋_GB2312" w:cs="仿宋_GB2312"/>
          <w:b w:val="0"/>
          <w:bCs w:val="0"/>
          <w:snapToGrid/>
          <w:color w:val="000000"/>
          <w:kern w:val="2"/>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附件：</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1、县本级社会组织2024年年度检查事项须知</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2、年检相关表格</w:t>
      </w:r>
    </w:p>
    <w:p>
      <w:pPr>
        <w:keepNext w:val="0"/>
        <w:keepLines w:val="0"/>
        <w:pageBreakBefore w:val="0"/>
        <w:widowControl w:val="0"/>
        <w:kinsoku/>
        <w:wordWrap/>
        <w:overflowPunct/>
        <w:topLinePunct/>
        <w:autoSpaceDE/>
        <w:autoSpaceDN/>
        <w:bidi w:val="0"/>
        <w:adjustRightInd/>
        <w:snapToGrid/>
        <w:spacing w:line="580" w:lineRule="exact"/>
        <w:ind w:left="0" w:leftChars="0" w:firstLine="5920" w:firstLineChars="1850"/>
        <w:jc w:val="both"/>
        <w:textAlignment w:val="auto"/>
        <w:rPr>
          <w:rFonts w:hint="eastAsia" w:ascii="仿宋_GB2312" w:hAnsi="仿宋_GB2312" w:eastAsia="仿宋_GB2312" w:cs="仿宋_GB2312"/>
          <w:b w:val="0"/>
          <w:bCs w:val="0"/>
          <w:color w:val="auto"/>
          <w:kern w:val="2"/>
          <w:sz w:val="32"/>
          <w:szCs w:val="32"/>
          <w:lang w:val="en-US" w:eastAsia="zh-CN" w:bidi="ar"/>
        </w:rPr>
      </w:pPr>
    </w:p>
    <w:p>
      <w:pPr>
        <w:keepNext w:val="0"/>
        <w:keepLines w:val="0"/>
        <w:pageBreakBefore w:val="0"/>
        <w:widowControl w:val="0"/>
        <w:kinsoku/>
        <w:wordWrap/>
        <w:overflowPunct/>
        <w:topLinePunct/>
        <w:autoSpaceDE/>
        <w:autoSpaceDN/>
        <w:bidi w:val="0"/>
        <w:adjustRightInd/>
        <w:snapToGrid/>
        <w:spacing w:line="580" w:lineRule="exact"/>
        <w:ind w:left="0" w:leftChars="0" w:firstLine="5920" w:firstLineChars="1850"/>
        <w:jc w:val="both"/>
        <w:textAlignment w:val="auto"/>
        <w:rPr>
          <w:rFonts w:hint="eastAsia" w:ascii="仿宋_GB2312" w:hAnsi="仿宋_GB2312" w:eastAsia="仿宋_GB2312" w:cs="仿宋_GB2312"/>
          <w:b w:val="0"/>
          <w:bCs w:val="0"/>
          <w:color w:val="auto"/>
          <w:kern w:val="2"/>
          <w:sz w:val="32"/>
          <w:szCs w:val="32"/>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Autospacing="0" w:after="0" w:afterAutospacing="0" w:line="580" w:lineRule="exact"/>
        <w:ind w:left="0" w:right="0" w:firstLine="640" w:firstLineChars="200"/>
        <w:jc w:val="right"/>
        <w:textAlignment w:val="auto"/>
        <w:rPr>
          <w:rFonts w:hint="default" w:ascii="仿宋_GB2312" w:hAnsi="仿宋_GB2312" w:eastAsia="仿宋_GB2312" w:cs="仿宋_GB2312"/>
          <w:b w:val="0"/>
          <w:bCs w:val="0"/>
          <w:color w:val="auto"/>
          <w:kern w:val="2"/>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
        </w:rPr>
        <w:t xml:space="preserve">龙山县民政局     </w:t>
      </w:r>
    </w:p>
    <w:p>
      <w:pPr>
        <w:keepNext w:val="0"/>
        <w:keepLines w:val="0"/>
        <w:pageBreakBefore w:val="0"/>
        <w:widowControl w:val="0"/>
        <w:kinsoku/>
        <w:wordWrap/>
        <w:overflowPunct/>
        <w:topLinePunct/>
        <w:autoSpaceDE/>
        <w:autoSpaceDN/>
        <w:bidi w:val="0"/>
        <w:adjustRightInd/>
        <w:snapToGrid/>
        <w:spacing w:line="580" w:lineRule="exact"/>
        <w:ind w:left="0" w:leftChars="0" w:firstLine="6057" w:firstLineChars="1893"/>
        <w:jc w:val="both"/>
        <w:textAlignment w:val="auto"/>
        <w:rPr>
          <w:rFonts w:hint="eastAsia" w:ascii="仿宋_GB2312" w:hAnsi="仿宋_GB2312" w:eastAsia="仿宋_GB2312" w:cs="仿宋_GB2312"/>
          <w:b w:val="0"/>
          <w:bCs w:val="0"/>
          <w:color w:val="auto"/>
          <w:kern w:val="2"/>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
        </w:rPr>
        <w:t xml:space="preserve">2025年3月27日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大标宋简体" w:hAnsi="方正大标宋简体" w:eastAsia="方正大标宋简体" w:cs="方正大标宋简体"/>
          <w:b w:val="0"/>
          <w:bCs w:val="0"/>
          <w:snapToGrid/>
          <w:color w:val="000000"/>
          <w:kern w:val="2"/>
          <w:sz w:val="44"/>
          <w:szCs w:val="44"/>
          <w:lang w:val="en-US" w:eastAsia="zh-CN" w:bidi="ar-SA"/>
        </w:rPr>
        <w:sectPr>
          <w:headerReference r:id="rId3" w:type="default"/>
          <w:footerReference r:id="rId4" w:type="default"/>
          <w:pgSz w:w="11906" w:h="16838"/>
          <w:pgMar w:top="1644" w:right="1417" w:bottom="1417" w:left="1417" w:header="851" w:footer="992" w:gutter="0"/>
          <w:pgNumType w:fmt="decimal" w:start="2"/>
          <w:cols w:space="720" w:num="1"/>
          <w:docGrid w:type="lines" w:linePitch="599" w:charSpace="0"/>
        </w:sectPr>
      </w:pPr>
    </w:p>
    <w:p>
      <w:pPr>
        <w:keepNext w:val="0"/>
        <w:keepLines w:val="0"/>
        <w:pageBreakBefore w:val="0"/>
        <w:widowControl w:val="0"/>
        <w:kinsoku/>
        <w:wordWrap/>
        <w:overflowPunct/>
        <w:topLinePunct/>
        <w:autoSpaceDE/>
        <w:autoSpaceDN/>
        <w:bidi w:val="0"/>
        <w:adjustRightInd w:val="0"/>
        <w:snapToGrid w:val="0"/>
        <w:spacing w:line="600" w:lineRule="exact"/>
        <w:ind w:firstLine="0" w:firstLineChars="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大标宋简体" w:hAnsi="方正大标宋简体" w:eastAsia="方正大标宋简体" w:cs="方正大标宋简体"/>
          <w:b w:val="0"/>
          <w:bCs w:val="0"/>
          <w:snapToGrid/>
          <w:color w:val="0000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大标宋简体" w:hAnsi="方正大标宋简体" w:eastAsia="方正大标宋简体" w:cs="方正大标宋简体"/>
          <w:b w:val="0"/>
          <w:bCs w:val="0"/>
          <w:snapToGrid/>
          <w:color w:val="000000"/>
          <w:kern w:val="2"/>
          <w:sz w:val="44"/>
          <w:szCs w:val="44"/>
          <w:lang w:val="en-US" w:eastAsia="zh-CN" w:bidi="ar-SA"/>
        </w:rPr>
      </w:pPr>
      <w:r>
        <w:rPr>
          <w:rFonts w:hint="eastAsia" w:ascii="方正大标宋简体" w:hAnsi="方正大标宋简体" w:eastAsia="方正大标宋简体" w:cs="方正大标宋简体"/>
          <w:b w:val="0"/>
          <w:bCs w:val="0"/>
          <w:snapToGrid/>
          <w:color w:val="000000"/>
          <w:kern w:val="2"/>
          <w:sz w:val="44"/>
          <w:szCs w:val="44"/>
          <w:lang w:val="en-US" w:eastAsia="zh-CN" w:bidi="ar-SA"/>
        </w:rPr>
        <w:t>县本级社会组织2024年年度检查事项须知</w:t>
      </w:r>
    </w:p>
    <w:p>
      <w:pPr>
        <w:spacing w:line="580" w:lineRule="exact"/>
        <w:rPr>
          <w:rFonts w:ascii="Times New Roman" w:hAnsi="Times New Roman" w:eastAsia="方正小标宋简体"/>
          <w:color w:val="000000"/>
          <w:sz w:val="44"/>
          <w:szCs w:val="44"/>
        </w:rPr>
      </w:pP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黑体" w:hAnsi="黑体" w:eastAsia="黑体" w:cs="黑体"/>
          <w:b w:val="0"/>
          <w:bCs w:val="0"/>
          <w:snapToGrid/>
          <w:color w:val="000000"/>
          <w:kern w:val="2"/>
          <w:sz w:val="32"/>
          <w:szCs w:val="32"/>
          <w:lang w:val="en-US" w:eastAsia="zh-CN" w:bidi="ar-SA"/>
        </w:rPr>
      </w:pPr>
      <w:r>
        <w:rPr>
          <w:rFonts w:hint="eastAsia" w:ascii="黑体" w:hAnsi="黑体" w:eastAsia="黑体" w:cs="黑体"/>
          <w:b w:val="0"/>
          <w:bCs w:val="0"/>
          <w:snapToGrid/>
          <w:color w:val="000000"/>
          <w:kern w:val="2"/>
          <w:sz w:val="32"/>
          <w:szCs w:val="32"/>
          <w:lang w:val="en-US" w:eastAsia="zh-CN" w:bidi="ar-SA"/>
        </w:rPr>
        <w:t>一、年检范围</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凡在2024年6月30日以前经县民政局批准登记成立的非慈善组织的社会团体和民办非企业单位，均应当参加年检。</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黑体" w:hAnsi="黑体" w:eastAsia="黑体" w:cs="黑体"/>
          <w:b w:val="0"/>
          <w:bCs w:val="0"/>
          <w:snapToGrid/>
          <w:color w:val="000000"/>
          <w:kern w:val="2"/>
          <w:sz w:val="32"/>
          <w:szCs w:val="32"/>
          <w:lang w:val="en-US" w:eastAsia="zh-CN" w:bidi="ar-SA"/>
        </w:rPr>
      </w:pPr>
      <w:r>
        <w:rPr>
          <w:rFonts w:hint="eastAsia" w:ascii="黑体" w:hAnsi="黑体" w:eastAsia="黑体" w:cs="黑体"/>
          <w:b w:val="0"/>
          <w:bCs w:val="0"/>
          <w:snapToGrid/>
          <w:color w:val="000000"/>
          <w:kern w:val="2"/>
          <w:sz w:val="32"/>
          <w:szCs w:val="32"/>
          <w:lang w:val="en-US" w:eastAsia="zh-CN" w:bidi="ar-SA"/>
        </w:rPr>
        <w:t>二、年检时间</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参检社会组织应当于2025年5月31日前按要求报送纸质材料至县民政局社会组织管理股，对逾期未报送年检纸质材料的，按照未参加年检处理。</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黑体" w:hAnsi="黑体" w:eastAsia="黑体" w:cs="黑体"/>
          <w:b w:val="0"/>
          <w:bCs w:val="0"/>
          <w:snapToGrid/>
          <w:color w:val="000000"/>
          <w:kern w:val="2"/>
          <w:sz w:val="32"/>
          <w:szCs w:val="32"/>
          <w:lang w:val="en-US" w:eastAsia="zh-CN" w:bidi="ar-SA"/>
        </w:rPr>
      </w:pPr>
      <w:r>
        <w:rPr>
          <w:rFonts w:hint="eastAsia" w:ascii="黑体" w:hAnsi="黑体" w:eastAsia="黑体" w:cs="黑体"/>
          <w:b w:val="0"/>
          <w:bCs w:val="0"/>
          <w:snapToGrid/>
          <w:color w:val="000000"/>
          <w:kern w:val="2"/>
          <w:sz w:val="32"/>
          <w:szCs w:val="32"/>
          <w:lang w:val="en-US" w:eastAsia="zh-CN" w:bidi="ar-SA"/>
        </w:rPr>
        <w:t>三、年检材料</w:t>
      </w:r>
    </w:p>
    <w:p>
      <w:pPr>
        <w:keepNext w:val="0"/>
        <w:keepLines w:val="0"/>
        <w:pageBreakBefore w:val="0"/>
        <w:widowControl w:val="0"/>
        <w:kinsoku/>
        <w:wordWrap/>
        <w:overflowPunct/>
        <w:topLinePunct/>
        <w:autoSpaceDE/>
        <w:autoSpaceDN/>
        <w:bidi w:val="0"/>
        <w:adjustRightInd w:val="0"/>
        <w:snapToGrid w:val="0"/>
        <w:spacing w:line="600" w:lineRule="exact"/>
        <w:ind w:firstLine="642"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楷体_GB2312" w:hAnsi="楷体_GB2312" w:eastAsia="楷体_GB2312" w:cs="楷体_GB2312"/>
          <w:b/>
          <w:bCs/>
          <w:snapToGrid/>
          <w:color w:val="000000"/>
          <w:kern w:val="2"/>
          <w:sz w:val="32"/>
          <w:szCs w:val="32"/>
          <w:lang w:val="en-US" w:eastAsia="zh-CN" w:bidi="ar-SA"/>
        </w:rPr>
        <w:t>（一）</w:t>
      </w:r>
      <w:r>
        <w:rPr>
          <w:rFonts w:hint="eastAsia" w:ascii="仿宋_GB2312" w:hAnsi="仿宋_GB2312" w:eastAsia="仿宋_GB2312" w:cs="仿宋_GB2312"/>
          <w:b w:val="0"/>
          <w:bCs w:val="0"/>
          <w:snapToGrid/>
          <w:color w:val="000000"/>
          <w:kern w:val="2"/>
          <w:sz w:val="32"/>
          <w:szCs w:val="32"/>
          <w:lang w:val="en-US" w:eastAsia="zh-CN" w:bidi="ar-SA"/>
        </w:rPr>
        <w:t>经法定代表人签字并加盖社会组织印章的《2024年度工作报告》一式三份，A4大小，均需原件。</w:t>
      </w:r>
    </w:p>
    <w:p>
      <w:pPr>
        <w:keepNext w:val="0"/>
        <w:keepLines w:val="0"/>
        <w:pageBreakBefore w:val="0"/>
        <w:widowControl w:val="0"/>
        <w:kinsoku/>
        <w:wordWrap/>
        <w:overflowPunct/>
        <w:topLinePunct/>
        <w:autoSpaceDE/>
        <w:autoSpaceDN/>
        <w:bidi w:val="0"/>
        <w:adjustRightInd w:val="0"/>
        <w:snapToGrid w:val="0"/>
        <w:spacing w:line="600" w:lineRule="exact"/>
        <w:ind w:firstLine="642"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楷体_GB2312" w:hAnsi="楷体_GB2312" w:eastAsia="楷体_GB2312" w:cs="楷体_GB2312"/>
          <w:b/>
          <w:bCs/>
          <w:snapToGrid/>
          <w:color w:val="000000"/>
          <w:kern w:val="2"/>
          <w:sz w:val="32"/>
          <w:szCs w:val="32"/>
          <w:lang w:val="en-US" w:eastAsia="zh-CN" w:bidi="ar-SA"/>
        </w:rPr>
        <w:t>（二）</w:t>
      </w:r>
      <w:r>
        <w:rPr>
          <w:rFonts w:hint="eastAsia" w:ascii="仿宋_GB2312" w:hAnsi="仿宋_GB2312" w:eastAsia="仿宋_GB2312" w:cs="仿宋_GB2312"/>
          <w:b w:val="0"/>
          <w:bCs w:val="0"/>
          <w:snapToGrid/>
          <w:color w:val="000000"/>
          <w:kern w:val="2"/>
          <w:sz w:val="32"/>
          <w:szCs w:val="32"/>
          <w:lang w:val="en-US" w:eastAsia="zh-CN" w:bidi="ar-SA"/>
        </w:rPr>
        <w:t>2024年度财务审计报告原件一份。</w:t>
      </w:r>
    </w:p>
    <w:p>
      <w:pPr>
        <w:keepNext w:val="0"/>
        <w:keepLines w:val="0"/>
        <w:pageBreakBefore w:val="0"/>
        <w:widowControl w:val="0"/>
        <w:kinsoku/>
        <w:wordWrap/>
        <w:overflowPunct/>
        <w:topLinePunct/>
        <w:autoSpaceDE/>
        <w:autoSpaceDN/>
        <w:bidi w:val="0"/>
        <w:adjustRightInd w:val="0"/>
        <w:snapToGrid w:val="0"/>
        <w:spacing w:line="600" w:lineRule="exact"/>
        <w:ind w:firstLine="642"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楷体_GB2312" w:hAnsi="楷体_GB2312" w:eastAsia="楷体_GB2312" w:cs="楷体_GB2312"/>
          <w:b/>
          <w:bCs/>
          <w:snapToGrid/>
          <w:color w:val="000000"/>
          <w:kern w:val="2"/>
          <w:sz w:val="32"/>
          <w:szCs w:val="32"/>
          <w:lang w:val="en-US" w:eastAsia="zh-CN" w:bidi="ar-SA"/>
        </w:rPr>
        <w:t>（三）</w:t>
      </w:r>
      <w:r>
        <w:rPr>
          <w:rFonts w:hint="eastAsia" w:ascii="仿宋_GB2312" w:hAnsi="仿宋_GB2312" w:eastAsia="仿宋_GB2312" w:cs="仿宋_GB2312"/>
          <w:b w:val="0"/>
          <w:bCs w:val="0"/>
          <w:snapToGrid/>
          <w:color w:val="000000"/>
          <w:kern w:val="2"/>
          <w:sz w:val="32"/>
          <w:szCs w:val="32"/>
          <w:lang w:val="en-US" w:eastAsia="zh-CN" w:bidi="ar-SA"/>
        </w:rPr>
        <w:t>领导干部在社会组织兼职情况统计表一式两份，A4大小，均需原件。</w:t>
      </w:r>
    </w:p>
    <w:p>
      <w:pPr>
        <w:keepNext w:val="0"/>
        <w:keepLines w:val="0"/>
        <w:pageBreakBefore w:val="0"/>
        <w:widowControl w:val="0"/>
        <w:kinsoku/>
        <w:wordWrap/>
        <w:overflowPunct/>
        <w:topLinePunct/>
        <w:autoSpaceDE/>
        <w:autoSpaceDN/>
        <w:bidi w:val="0"/>
        <w:adjustRightInd w:val="0"/>
        <w:snapToGrid w:val="0"/>
        <w:spacing w:line="600" w:lineRule="exact"/>
        <w:ind w:firstLine="642"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楷体_GB2312" w:hAnsi="楷体_GB2312" w:eastAsia="楷体_GB2312" w:cs="楷体_GB2312"/>
          <w:b/>
          <w:bCs/>
          <w:snapToGrid/>
          <w:color w:val="000000"/>
          <w:kern w:val="2"/>
          <w:sz w:val="32"/>
          <w:szCs w:val="32"/>
          <w:lang w:val="en-US" w:eastAsia="zh-CN" w:bidi="ar-SA"/>
        </w:rPr>
        <w:t>（四）</w:t>
      </w:r>
      <w:r>
        <w:rPr>
          <w:rFonts w:hint="eastAsia" w:ascii="仿宋_GB2312" w:hAnsi="仿宋_GB2312" w:eastAsia="仿宋_GB2312" w:cs="仿宋_GB2312"/>
          <w:b w:val="0"/>
          <w:bCs w:val="0"/>
          <w:snapToGrid/>
          <w:color w:val="000000"/>
          <w:kern w:val="2"/>
          <w:sz w:val="32"/>
          <w:szCs w:val="32"/>
          <w:lang w:val="en-US" w:eastAsia="zh-CN" w:bidi="ar-SA"/>
        </w:rPr>
        <w:t>经法定代表人签字并加盖社会组织印章的《社会组织参与乡村振兴统计表》。</w:t>
      </w:r>
    </w:p>
    <w:p>
      <w:pPr>
        <w:keepNext w:val="0"/>
        <w:keepLines w:val="0"/>
        <w:pageBreakBefore w:val="0"/>
        <w:widowControl w:val="0"/>
        <w:kinsoku/>
        <w:wordWrap/>
        <w:overflowPunct/>
        <w:topLinePunct/>
        <w:autoSpaceDE/>
        <w:autoSpaceDN/>
        <w:bidi w:val="0"/>
        <w:adjustRightInd w:val="0"/>
        <w:snapToGrid w:val="0"/>
        <w:spacing w:line="600" w:lineRule="exact"/>
        <w:ind w:firstLine="642"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楷体_GB2312" w:hAnsi="楷体_GB2312" w:eastAsia="楷体_GB2312" w:cs="楷体_GB2312"/>
          <w:b/>
          <w:bCs/>
          <w:snapToGrid/>
          <w:color w:val="000000"/>
          <w:kern w:val="2"/>
          <w:sz w:val="32"/>
          <w:szCs w:val="32"/>
          <w:lang w:val="en-US" w:eastAsia="zh-CN" w:bidi="ar-SA"/>
        </w:rPr>
        <w:t>（五）</w:t>
      </w:r>
      <w:r>
        <w:rPr>
          <w:rFonts w:hint="eastAsia" w:ascii="仿宋_GB2312" w:hAnsi="仿宋_GB2312" w:eastAsia="仿宋_GB2312" w:cs="仿宋_GB2312"/>
          <w:b w:val="0"/>
          <w:bCs w:val="0"/>
          <w:snapToGrid/>
          <w:color w:val="000000"/>
          <w:kern w:val="2"/>
          <w:sz w:val="32"/>
          <w:szCs w:val="32"/>
          <w:lang w:val="en-US" w:eastAsia="zh-CN" w:bidi="ar-SA"/>
        </w:rPr>
        <w:t>行业协会商会还需报送经法定代表人签字并加盖社会组织印章的《县本级行业协会商会服务高质量发展专项行动进展情况统计表》《龙山县行业协会商会认证、评比、达标、表彰行为摸底表》《行业协会商会收费自查自纠表》，每种表格一式两份，A4大小，均需原件。</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黑体" w:hAnsi="黑体" w:eastAsia="黑体" w:cs="黑体"/>
          <w:b w:val="0"/>
          <w:bCs w:val="0"/>
          <w:snapToGrid/>
          <w:color w:val="000000"/>
          <w:kern w:val="2"/>
          <w:sz w:val="32"/>
          <w:szCs w:val="32"/>
          <w:lang w:val="en-US" w:eastAsia="zh-CN" w:bidi="ar-SA"/>
        </w:rPr>
      </w:pPr>
      <w:r>
        <w:rPr>
          <w:rFonts w:hint="eastAsia" w:ascii="黑体" w:hAnsi="黑体" w:eastAsia="黑体" w:cs="黑体"/>
          <w:b w:val="0"/>
          <w:bCs w:val="0"/>
          <w:snapToGrid/>
          <w:color w:val="000000"/>
          <w:kern w:val="2"/>
          <w:sz w:val="32"/>
          <w:szCs w:val="32"/>
          <w:lang w:val="en-US" w:eastAsia="zh-CN" w:bidi="ar-SA"/>
        </w:rPr>
        <w:t>四、程序</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参检社会组织应当于2025年5月31日前按如下程序和要求完成年检材料的准备和报送工作。</w:t>
      </w:r>
    </w:p>
    <w:p>
      <w:pPr>
        <w:keepNext w:val="0"/>
        <w:keepLines w:val="0"/>
        <w:pageBreakBefore w:val="0"/>
        <w:widowControl w:val="0"/>
        <w:kinsoku/>
        <w:wordWrap/>
        <w:overflowPunct/>
        <w:topLinePunct/>
        <w:autoSpaceDE/>
        <w:autoSpaceDN/>
        <w:bidi w:val="0"/>
        <w:adjustRightInd w:val="0"/>
        <w:snapToGrid w:val="0"/>
        <w:spacing w:line="600" w:lineRule="exact"/>
        <w:ind w:firstLine="642" w:firstLineChars="200"/>
        <w:jc w:val="both"/>
        <w:textAlignment w:val="baseline"/>
        <w:rPr>
          <w:rFonts w:hint="eastAsia" w:ascii="楷体_GB2312" w:hAnsi="楷体_GB2312" w:eastAsia="楷体_GB2312" w:cs="楷体_GB2312"/>
          <w:b/>
          <w:bCs/>
          <w:snapToGrid/>
          <w:color w:val="000000"/>
          <w:kern w:val="2"/>
          <w:sz w:val="32"/>
          <w:szCs w:val="32"/>
          <w:lang w:val="en-US" w:eastAsia="zh-CN" w:bidi="ar-SA"/>
        </w:rPr>
      </w:pPr>
      <w:r>
        <w:rPr>
          <w:rFonts w:hint="eastAsia" w:ascii="楷体_GB2312" w:hAnsi="楷体_GB2312" w:eastAsia="楷体_GB2312" w:cs="楷体_GB2312"/>
          <w:b/>
          <w:bCs/>
          <w:snapToGrid/>
          <w:color w:val="000000"/>
          <w:kern w:val="2"/>
          <w:sz w:val="32"/>
          <w:szCs w:val="32"/>
          <w:lang w:val="en-US" w:eastAsia="zh-CN" w:bidi="ar-SA"/>
        </w:rPr>
        <w:t>（一）开展年度财务审计</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社会组织应当委托有资质的审计机构按照《民间非营利组织会计制度》的要求，对本单位2024年度财务收支情况进行审计，由审计机构出具2024年度财务审计报告。</w:t>
      </w:r>
    </w:p>
    <w:p>
      <w:pPr>
        <w:keepNext w:val="0"/>
        <w:keepLines w:val="0"/>
        <w:pageBreakBefore w:val="0"/>
        <w:widowControl w:val="0"/>
        <w:kinsoku/>
        <w:wordWrap/>
        <w:overflowPunct/>
        <w:topLinePunct/>
        <w:autoSpaceDE/>
        <w:autoSpaceDN/>
        <w:bidi w:val="0"/>
        <w:adjustRightInd w:val="0"/>
        <w:snapToGrid w:val="0"/>
        <w:spacing w:line="600" w:lineRule="exact"/>
        <w:ind w:firstLine="642" w:firstLineChars="200"/>
        <w:jc w:val="both"/>
        <w:textAlignment w:val="baseline"/>
        <w:rPr>
          <w:rFonts w:hint="eastAsia" w:ascii="楷体_GB2312" w:hAnsi="楷体_GB2312" w:eastAsia="楷体_GB2312" w:cs="楷体_GB2312"/>
          <w:b/>
          <w:bCs/>
          <w:snapToGrid/>
          <w:color w:val="000000"/>
          <w:kern w:val="2"/>
          <w:sz w:val="32"/>
          <w:szCs w:val="32"/>
          <w:lang w:val="en-US" w:eastAsia="zh-CN" w:bidi="ar-SA"/>
        </w:rPr>
      </w:pPr>
      <w:r>
        <w:rPr>
          <w:rFonts w:hint="eastAsia" w:ascii="楷体_GB2312" w:hAnsi="楷体_GB2312" w:eastAsia="楷体_GB2312" w:cs="楷体_GB2312"/>
          <w:b/>
          <w:bCs/>
          <w:snapToGrid/>
          <w:color w:val="000000"/>
          <w:kern w:val="2"/>
          <w:sz w:val="32"/>
          <w:szCs w:val="32"/>
          <w:lang w:val="en-US" w:eastAsia="zh-CN" w:bidi="ar-SA"/>
        </w:rPr>
        <w:t>（二）网上填报《2024年度工作报告书》</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3月11日起可登录湖南省社会组织登记管理网上填报系统（</w:t>
      </w:r>
      <w:r>
        <w:rPr>
          <w:rFonts w:hint="default" w:ascii="仿宋_GB2312" w:hAnsi="仿宋_GB2312" w:eastAsia="仿宋_GB2312" w:cs="仿宋_GB2312"/>
          <w:b w:val="0"/>
          <w:bCs w:val="0"/>
          <w:snapToGrid/>
          <w:color w:val="000000"/>
          <w:kern w:val="2"/>
          <w:sz w:val="32"/>
          <w:szCs w:val="32"/>
          <w:lang w:val="en-US" w:eastAsia="zh-CN" w:bidi="ar-SA"/>
        </w:rPr>
        <w:t>https://113.246.57.67:10100/hnshzz_wt/template/homeShzz.html</w:t>
      </w:r>
      <w:r>
        <w:rPr>
          <w:rFonts w:hint="eastAsia" w:ascii="仿宋_GB2312" w:hAnsi="仿宋_GB2312" w:eastAsia="仿宋_GB2312" w:cs="仿宋_GB2312"/>
          <w:b w:val="0"/>
          <w:bCs w:val="0"/>
          <w:snapToGrid/>
          <w:color w:val="000000"/>
          <w:kern w:val="2"/>
          <w:sz w:val="32"/>
          <w:szCs w:val="32"/>
          <w:lang w:val="en-US" w:eastAsia="zh-CN" w:bidi="ar-SA"/>
        </w:rPr>
        <w:t>），输入用户名和密码登录，选择菜单栏中“年检”业务，选中年检年份为2024年的年检通知，点击右上角“填写年检信息”按钮进行填报并提交。社会组织应当认真填写《2024年度工作报告书》和《领导干部在社会组织兼职情况统计表》，保证填报信息的真实性、准确性和完整性，并按要求打印纸质文本，理事情况表、台账信息表无需打印纸质文本。2025年6月1日起网上填报系统通道关闭。</w:t>
      </w:r>
    </w:p>
    <w:p>
      <w:pPr>
        <w:keepNext w:val="0"/>
        <w:keepLines w:val="0"/>
        <w:pageBreakBefore w:val="0"/>
        <w:widowControl w:val="0"/>
        <w:kinsoku/>
        <w:wordWrap/>
        <w:overflowPunct/>
        <w:topLinePunct/>
        <w:autoSpaceDE/>
        <w:autoSpaceDN/>
        <w:bidi w:val="0"/>
        <w:adjustRightInd w:val="0"/>
        <w:snapToGrid w:val="0"/>
        <w:spacing w:line="600" w:lineRule="exact"/>
        <w:ind w:firstLine="642" w:firstLineChars="200"/>
        <w:jc w:val="both"/>
        <w:textAlignment w:val="baseline"/>
        <w:rPr>
          <w:rFonts w:hint="eastAsia" w:ascii="楷体_GB2312" w:hAnsi="楷体_GB2312" w:eastAsia="楷体_GB2312" w:cs="楷体_GB2312"/>
          <w:b/>
          <w:bCs/>
          <w:snapToGrid/>
          <w:color w:val="000000"/>
          <w:kern w:val="2"/>
          <w:sz w:val="32"/>
          <w:szCs w:val="32"/>
          <w:lang w:val="en-US" w:eastAsia="zh-CN" w:bidi="ar-SA"/>
        </w:rPr>
      </w:pPr>
      <w:r>
        <w:rPr>
          <w:rFonts w:hint="eastAsia" w:ascii="楷体_GB2312" w:hAnsi="楷体_GB2312" w:eastAsia="楷体_GB2312" w:cs="楷体_GB2312"/>
          <w:b/>
          <w:bCs/>
          <w:snapToGrid/>
          <w:color w:val="000000"/>
          <w:kern w:val="2"/>
          <w:sz w:val="32"/>
          <w:szCs w:val="32"/>
          <w:lang w:val="en-US" w:eastAsia="zh-CN" w:bidi="ar-SA"/>
        </w:rPr>
        <w:t>（三）报送纸质材料</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实行双重管理的社会组织应当及时向业务主管单位报送2024年度检查相关资料，由业务主管单位进行初审（已脱钩和直接登记的全省性社会组织直接报送省民政厅社会组织管理局）。5月31日前，将业务主管单位出具了初审意见并加盖单位公章的《2024年度工作报告书》（一式三份，原件）《2024年度财务审计报告》（一份，原件）和《领导干部在社会组织兼职情况统计表》（一式两份，原件）送交县民政局社会组织管理股。2023年度年检结果为“基本合格”和“不合格”的社会组织，同时还要提交整改情况报告（一式两份，原件）。根据工作需要，县民政局社会组织管理股可要求社会组织提交有关事项的情况说明和其他必要的补充材料，社会组织应当在10个工作日内予以补正。</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黑体" w:hAnsi="黑体" w:eastAsia="黑体" w:cs="黑体"/>
          <w:b w:val="0"/>
          <w:bCs w:val="0"/>
          <w:snapToGrid/>
          <w:color w:val="000000"/>
          <w:kern w:val="2"/>
          <w:sz w:val="32"/>
          <w:szCs w:val="32"/>
          <w:lang w:val="en-US" w:eastAsia="zh-CN" w:bidi="ar-SA"/>
        </w:rPr>
      </w:pPr>
      <w:r>
        <w:rPr>
          <w:rFonts w:hint="eastAsia" w:ascii="黑体" w:hAnsi="黑体" w:eastAsia="黑体" w:cs="黑体"/>
          <w:b w:val="0"/>
          <w:bCs w:val="0"/>
          <w:snapToGrid/>
          <w:color w:val="000000"/>
          <w:kern w:val="2"/>
          <w:sz w:val="32"/>
          <w:szCs w:val="32"/>
          <w:lang w:val="en-US" w:eastAsia="zh-CN" w:bidi="ar-SA"/>
        </w:rPr>
        <w:t>五、年检的审查形式、结论和标准</w:t>
      </w:r>
    </w:p>
    <w:p>
      <w:pPr>
        <w:keepNext w:val="0"/>
        <w:keepLines w:val="0"/>
        <w:pageBreakBefore w:val="0"/>
        <w:widowControl w:val="0"/>
        <w:kinsoku/>
        <w:wordWrap/>
        <w:overflowPunct/>
        <w:topLinePunct/>
        <w:autoSpaceDE/>
        <w:autoSpaceDN/>
        <w:bidi w:val="0"/>
        <w:adjustRightInd w:val="0"/>
        <w:snapToGrid w:val="0"/>
        <w:spacing w:line="600" w:lineRule="exact"/>
        <w:ind w:firstLine="642"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楷体_GB2312" w:hAnsi="楷体_GB2312" w:eastAsia="楷体_GB2312" w:cs="楷体_GB2312"/>
          <w:b/>
          <w:bCs/>
          <w:snapToGrid/>
          <w:color w:val="000000"/>
          <w:kern w:val="2"/>
          <w:sz w:val="32"/>
          <w:szCs w:val="32"/>
          <w:lang w:val="en-US" w:eastAsia="zh-CN" w:bidi="ar-SA"/>
        </w:rPr>
        <w:t>（一）</w:t>
      </w:r>
      <w:r>
        <w:rPr>
          <w:rFonts w:hint="eastAsia" w:ascii="仿宋_GB2312" w:hAnsi="仿宋_GB2312" w:eastAsia="仿宋_GB2312" w:cs="仿宋_GB2312"/>
          <w:b w:val="0"/>
          <w:bCs w:val="0"/>
          <w:snapToGrid/>
          <w:color w:val="000000"/>
          <w:kern w:val="2"/>
          <w:sz w:val="32"/>
          <w:szCs w:val="32"/>
          <w:lang w:val="en-US" w:eastAsia="zh-CN" w:bidi="ar-SA"/>
        </w:rPr>
        <w:t>县民政局依据《社会团体登记管理条例》《民办非企业单位登记管理暂行条例》《民办非企业单位年度检查办法》和《湖南省社会组织综合监管办法》等法规政策对社会组织报送的年检材料进行审核。年检以书面检查为主，我局将按比例抽查社会组织年检材料所涉事项，并结合抽查审计、实地检查和其它问题线索核实情况，综合研究确定社会组织2024年度年检结论。社会组织年检结论公布后，如发现存在影响当年年检结论情形的，年检结论将予以重新确定。</w:t>
      </w:r>
    </w:p>
    <w:p>
      <w:pPr>
        <w:keepNext w:val="0"/>
        <w:keepLines w:val="0"/>
        <w:pageBreakBefore w:val="0"/>
        <w:widowControl w:val="0"/>
        <w:kinsoku/>
        <w:wordWrap/>
        <w:overflowPunct/>
        <w:topLinePunct/>
        <w:autoSpaceDE/>
        <w:autoSpaceDN/>
        <w:bidi w:val="0"/>
        <w:adjustRightInd w:val="0"/>
        <w:snapToGrid w:val="0"/>
        <w:spacing w:line="600" w:lineRule="exact"/>
        <w:ind w:firstLine="642"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楷体_GB2312" w:hAnsi="楷体_GB2312" w:eastAsia="楷体_GB2312" w:cs="楷体_GB2312"/>
          <w:b/>
          <w:bCs/>
          <w:snapToGrid/>
          <w:color w:val="000000"/>
          <w:kern w:val="2"/>
          <w:sz w:val="32"/>
          <w:szCs w:val="32"/>
          <w:lang w:val="en-US" w:eastAsia="zh-CN" w:bidi="ar-SA"/>
        </w:rPr>
        <w:t>（二）</w:t>
      </w:r>
      <w:r>
        <w:rPr>
          <w:rFonts w:hint="eastAsia" w:ascii="仿宋_GB2312" w:hAnsi="仿宋_GB2312" w:eastAsia="仿宋_GB2312" w:cs="仿宋_GB2312"/>
          <w:b w:val="0"/>
          <w:bCs w:val="0"/>
          <w:snapToGrid/>
          <w:color w:val="000000"/>
          <w:kern w:val="2"/>
          <w:sz w:val="32"/>
          <w:szCs w:val="32"/>
          <w:lang w:val="en-US" w:eastAsia="zh-CN" w:bidi="ar-SA"/>
        </w:rPr>
        <w:t>年检结论分为“合格”、“基本合格”和“不合格”。</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1、社会组织内部管理规范，严格按照章程进行内部治理和开展活动，未发现存在违反社会组织登记管理有关法规政策规定和自身章程的行为或情节轻微已及时纠正的，年度检查结论确定为“合格”。</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2、社会组织有下列情形，情节较轻的，年度检查结论确定为“基本合格”；情节严重，影响恶劣的，年度检查结论确定为“不合格”：</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（1）未按规定建立党组织或开展党建工作的；</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（2）未将党的建设、社会主义核心价值观和筑牢中华民族共同体意识写入章程的；</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（3）未按照章程规定召开会员（代表）大会、理事会、常务理事会；</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（4）未按照章程规定按期进行换届的；或者主要负责人违反规定超龄、超届任职的；或者未按照规定办理负责人备案的；</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（5）现职国家工作人员、现职党政领导干部、离退休领导干部在社会组织中任职，未按规定报批报备的；</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（6）未按照规定办理变更登记、修改章程未按规定核准备案的；</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（7）不按照章程规定进行活动的，包括超出章程规定的宗旨和业务范围开展活动，或者未开展业务活动的；</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（8）社会团体违规设置分支机构、代表机构、办事机构、实体机构的，民办非企业单位设立分支机构的；</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（9）社会团体未按规定制定、修改会费标准的；</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（10）开展非法集资，或违规收取费用、筹集资金、接受使用捐赠和资助的；</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（11）财务管理不健全，资金来源、使用违反有关规定的，或者净资产低于国家有关规定最低标准的，或者侵占、私分、挪用资产或者所接受的捐赠、资助的；</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（12）违规开展评比达标表彰活动的，或者违规举办论坛、研讨会的；</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（13）社会组织从事违法活动、参与涉黑恶势力活动，或牵头成立非法社会组织；或与非法社会组织合作开展活动经警告仍不改正的；</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（14）不具备法律法规规定社会组织法人基本条件的，包括没有相适应的从业人员、场所、资金、民办非企业单位年末净资产为负数等情形；</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（15）年度工作报告书与实际不符的，或不符合要求且未及时补正的，或弄虚作假的；</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（16）不按规定接受、配合登记管理机关监督检查或者年检的；</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（17）2024年度因违法违规事项受到相关部门行政处罚的，或被管理职能部门列入活动异常名录和严重违法失信名单的；</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（18）未遵守非营利活动准则的；</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（19）违反规定使用登记证书、印章或者财务凭证的；</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（20）社会组织涉嫌洗钱行为，或参与恐怖活动融资的；</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（21）未按规定报告社会组织重大事项的；</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（22）其他违反国家法律法规政策规定和社会组织章程行为的。</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社会组织不得反对宪法确定的基本原则，不得危害国家的统一、安全和民族的团结；不得损害国家利益、社会公共利益；不得开展、参与涉黑涉恶、非法集资、洗钱、恐怖等违法犯罪活动；民办非企业单位不得从事营利性经营活动。如发现社会组织存在以上行为或者其他违法犯罪行为，以及年检材料弄虚作假的，年检结论确定为“不合格”；构成犯罪的，依法追究刑事责任。</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黑体" w:hAnsi="黑体" w:eastAsia="黑体" w:cs="黑体"/>
          <w:b w:val="0"/>
          <w:bCs w:val="0"/>
          <w:snapToGrid/>
          <w:color w:val="000000"/>
          <w:kern w:val="2"/>
          <w:sz w:val="32"/>
          <w:szCs w:val="32"/>
          <w:lang w:val="en-US" w:eastAsia="zh-CN" w:bidi="ar-SA"/>
        </w:rPr>
      </w:pPr>
      <w:r>
        <w:rPr>
          <w:rFonts w:hint="eastAsia" w:ascii="黑体" w:hAnsi="黑体" w:eastAsia="黑体" w:cs="黑体"/>
          <w:b w:val="0"/>
          <w:bCs w:val="0"/>
          <w:snapToGrid/>
          <w:color w:val="000000"/>
          <w:kern w:val="2"/>
          <w:sz w:val="32"/>
          <w:szCs w:val="32"/>
          <w:lang w:val="en-US" w:eastAsia="zh-CN" w:bidi="ar-SA"/>
        </w:rPr>
        <w:t>六、年检结果公告</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社会组织年检结论将在龙山县民政局官网公告。年检结论为“基本合格”和“不合格”的社会组织应当进行整改。对于年检中存在违反《社会团体登记管理条例》《民办非企业单位登记管理暂行条例》有关罚则情形的，县民政局将依法给予行政处罚；对未按要求进行整改或整改不到位的，县民政局将依据有关规定予以处理。</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黑体" w:hAnsi="黑体" w:eastAsia="黑体" w:cs="黑体"/>
          <w:b w:val="0"/>
          <w:bCs w:val="0"/>
          <w:snapToGrid/>
          <w:color w:val="000000"/>
          <w:kern w:val="2"/>
          <w:sz w:val="32"/>
          <w:szCs w:val="32"/>
          <w:lang w:val="en-US" w:eastAsia="zh-CN" w:bidi="ar-SA"/>
        </w:rPr>
      </w:pPr>
      <w:r>
        <w:rPr>
          <w:rFonts w:hint="eastAsia" w:ascii="黑体" w:hAnsi="黑体" w:eastAsia="黑体" w:cs="黑体"/>
          <w:b w:val="0"/>
          <w:bCs w:val="0"/>
          <w:snapToGrid/>
          <w:color w:val="000000"/>
          <w:kern w:val="2"/>
          <w:sz w:val="32"/>
          <w:szCs w:val="32"/>
          <w:lang w:val="en-US" w:eastAsia="zh-CN" w:bidi="ar-SA"/>
        </w:rPr>
        <w:t>七、联系方式</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年检联系人：张艳平，0743-6236834</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地  址：龙山县民政局办公楼4楼社会组织管理股（404室）</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default"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邮  编：416800</w:t>
      </w:r>
    </w:p>
    <w:p>
      <w:pPr>
        <w:rPr>
          <w:rFonts w:hint="eastAsia" w:ascii="方正大标宋简体" w:hAnsi="方正大标宋简体" w:eastAsia="方正大标宋简体" w:cs="方正大标宋简体"/>
          <w:b w:val="0"/>
          <w:bCs w:val="0"/>
          <w:snapToGrid/>
          <w:color w:val="000000"/>
          <w:kern w:val="2"/>
          <w:sz w:val="44"/>
          <w:szCs w:val="44"/>
          <w:lang w:val="en-US" w:eastAsia="zh-CN" w:bidi="ar-SA"/>
        </w:rPr>
      </w:pPr>
      <w:r>
        <w:rPr>
          <w:rFonts w:hint="eastAsia" w:ascii="方正大标宋简体" w:hAnsi="方正大标宋简体" w:eastAsia="方正大标宋简体" w:cs="方正大标宋简体"/>
          <w:b w:val="0"/>
          <w:bCs w:val="0"/>
          <w:snapToGrid/>
          <w:color w:val="000000"/>
          <w:kern w:val="2"/>
          <w:sz w:val="44"/>
          <w:szCs w:val="44"/>
          <w:lang w:val="en-US" w:eastAsia="zh-CN" w:bidi="ar-SA"/>
        </w:rPr>
        <w:br w:type="page"/>
      </w:r>
    </w:p>
    <w:p>
      <w:pPr>
        <w:keepNext w:val="0"/>
        <w:keepLines w:val="0"/>
        <w:pageBreakBefore w:val="0"/>
        <w:widowControl w:val="0"/>
        <w:kinsoku/>
        <w:wordWrap/>
        <w:overflowPunct/>
        <w:topLinePunct/>
        <w:autoSpaceDE/>
        <w:autoSpaceDN/>
        <w:bidi w:val="0"/>
        <w:adjustRightInd w:val="0"/>
        <w:snapToGrid w:val="0"/>
        <w:spacing w:line="600" w:lineRule="exact"/>
        <w:ind w:firstLine="0" w:firstLineChars="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302" w:beforeLines="50" w:after="302" w:afterLines="50" w:line="600" w:lineRule="exact"/>
        <w:ind w:firstLine="0" w:firstLineChars="0"/>
        <w:jc w:val="center"/>
        <w:textAlignment w:val="auto"/>
        <w:rPr>
          <w:rFonts w:hint="eastAsia" w:ascii="方正大标宋简体" w:hAnsi="方正大标宋简体" w:eastAsia="方正大标宋简体" w:cs="方正大标宋简体"/>
          <w:b w:val="0"/>
          <w:bCs w:val="0"/>
          <w:kern w:val="2"/>
          <w:sz w:val="44"/>
          <w:szCs w:val="44"/>
        </w:rPr>
      </w:pPr>
      <w:r>
        <w:rPr>
          <w:rFonts w:hint="eastAsia" w:ascii="方正大标宋简体" w:hAnsi="方正大标宋简体" w:eastAsia="方正大标宋简体" w:cs="方正大标宋简体"/>
          <w:b w:val="0"/>
          <w:bCs w:val="0"/>
          <w:snapToGrid/>
          <w:color w:val="000000"/>
          <w:spacing w:val="0"/>
          <w:w w:val="100"/>
          <w:kern w:val="2"/>
          <w:sz w:val="44"/>
          <w:szCs w:val="44"/>
          <w:lang w:val="en-US" w:eastAsia="zh-CN" w:bidi="ar-SA"/>
        </w:rPr>
        <w:t>引导县本级社会组织参与乡村振兴情况统计表</w:t>
      </w:r>
    </w:p>
    <w:p>
      <w:pPr>
        <w:jc w:val="left"/>
        <w:rPr>
          <w:rFonts w:ascii="Calibri" w:hAnsi="Calibri" w:cs="Times New Roman"/>
          <w:b w:val="0"/>
          <w:bCs w:val="0"/>
          <w:kern w:val="2"/>
          <w:sz w:val="24"/>
          <w:szCs w:val="24"/>
        </w:rPr>
      </w:pPr>
      <w:r>
        <w:rPr>
          <w:rFonts w:hint="eastAsia" w:ascii="仿宋_GB2312" w:hAnsi="仿宋_GB2312" w:eastAsia="仿宋_GB2312" w:cs="仿宋_GB2312"/>
          <w:b w:val="0"/>
          <w:bCs w:val="0"/>
          <w:snapToGrid/>
          <w:color w:val="000000"/>
          <w:kern w:val="2"/>
          <w:sz w:val="24"/>
          <w:szCs w:val="24"/>
          <w:lang w:val="en-US" w:eastAsia="zh-CN" w:bidi="ar-SA"/>
        </w:rPr>
        <w:t xml:space="preserve">填报社会组织名称（盖章）：     </w:t>
      </w:r>
      <w:r>
        <w:rPr>
          <w:rFonts w:hint="eastAsia" w:ascii="Calibri" w:hAnsi="Calibri" w:cs="Times New Roman"/>
          <w:b w:val="0"/>
          <w:bCs w:val="0"/>
          <w:kern w:val="2"/>
          <w:sz w:val="24"/>
          <w:szCs w:val="24"/>
        </w:rPr>
        <w:t xml:space="preserve">                             </w:t>
      </w:r>
    </w:p>
    <w:tbl>
      <w:tblPr>
        <w:tblStyle w:val="8"/>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7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2100"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2024年以来，为我县脱贫地区捐资、捐物情况</w:t>
            </w:r>
          </w:p>
        </w:tc>
        <w:tc>
          <w:tcPr>
            <w:tcW w:w="7388"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物资规模：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资金数量：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捐助地点（精确到村）：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捐助时间：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(有多个项目请依次列举，可另附纸张）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3" w:hRule="atLeast"/>
          <w:jc w:val="center"/>
        </w:trPr>
        <w:tc>
          <w:tcPr>
            <w:tcW w:w="2100"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2024年以来，在结对帮扶村以外参与乡村振兴工作情况</w:t>
            </w:r>
          </w:p>
        </w:tc>
        <w:tc>
          <w:tcPr>
            <w:tcW w:w="7388"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 xml:space="preserve">项目名称：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项目支出：人民币         元；受益范围：    户       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 xml:space="preserve">项目受益地点： </w:t>
            </w:r>
            <w:r>
              <w:rPr>
                <w:rFonts w:hint="eastAsia" w:ascii="仿宋_GB2312" w:hAnsi="仿宋_GB2312" w:eastAsia="仿宋_GB2312" w:cs="仿宋_GB2312"/>
                <w:b w:val="0"/>
                <w:bCs w:val="0"/>
                <w:kern w:val="0"/>
                <w:sz w:val="24"/>
                <w:szCs w:val="24"/>
                <w:u w:val="single"/>
              </w:rPr>
              <w:t xml:space="preserve">    县    乡（镇）   村（社区）（可多个地点）；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 xml:space="preserve">项目成效（可多选）：产业兴旺( </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 xml:space="preserve">生态宜居( </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 xml:space="preserve">乡风文明（ </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 xml:space="preserve">） </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 xml:space="preserve">治理有效（ </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 xml:space="preserve">生活富裕（ </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 xml:space="preserve">其他( </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0"/>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项目内容和效果简述：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2100"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与乡村振兴任务重点村结对帮扶工作开展情况</w:t>
            </w:r>
          </w:p>
        </w:tc>
        <w:tc>
          <w:tcPr>
            <w:tcW w:w="738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10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其他</w:t>
            </w:r>
            <w:r>
              <w:rPr>
                <w:rFonts w:hint="eastAsia" w:ascii="仿宋_GB2312" w:hAnsi="仿宋_GB2312" w:eastAsia="仿宋_GB2312" w:cs="仿宋_GB2312"/>
                <w:b w:val="0"/>
                <w:bCs w:val="0"/>
                <w:kern w:val="0"/>
                <w:sz w:val="24"/>
                <w:szCs w:val="24"/>
                <w:lang w:eastAsia="zh-CN"/>
              </w:rPr>
              <w:t>需要补充</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说明事项</w:t>
            </w:r>
          </w:p>
        </w:tc>
        <w:tc>
          <w:tcPr>
            <w:tcW w:w="73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48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备注：以上各项数据请社会组织根据本机构情况如实填写，务必填写真实数据并附上项目实施及捐资捐物证明材料。</w:t>
            </w:r>
          </w:p>
        </w:tc>
      </w:tr>
    </w:tbl>
    <w:p>
      <w:pPr>
        <w:rPr>
          <w:rFonts w:hint="default" w:ascii="CESI仿宋-GB2312" w:hAnsi="CESI仿宋-GB2312" w:eastAsia="CESI仿宋-GB2312" w:cs="CESI仿宋-GB2312"/>
          <w:b w:val="0"/>
          <w:bCs w:val="0"/>
          <w:kern w:val="2"/>
          <w:sz w:val="24"/>
          <w:szCs w:val="24"/>
          <w:lang w:val="en-US" w:eastAsia="zh-CN"/>
        </w:rPr>
      </w:pPr>
      <w:r>
        <w:rPr>
          <w:rFonts w:hint="eastAsia" w:ascii="CESI仿宋-GB2312" w:hAnsi="CESI仿宋-GB2312" w:eastAsia="CESI仿宋-GB2312" w:cs="CESI仿宋-GB2312"/>
          <w:b w:val="0"/>
          <w:bCs w:val="0"/>
          <w:kern w:val="2"/>
          <w:sz w:val="24"/>
          <w:szCs w:val="24"/>
        </w:rPr>
        <w:t>填表人：                联系电话：               填表日期：</w:t>
      </w:r>
      <w:r>
        <w:rPr>
          <w:rFonts w:hint="eastAsia" w:ascii="CESI仿宋-GB2312" w:hAnsi="CESI仿宋-GB2312" w:eastAsia="CESI仿宋-GB2312" w:cs="CESI仿宋-GB2312"/>
          <w:b w:val="0"/>
          <w:bCs w:val="0"/>
          <w:kern w:val="2"/>
          <w:sz w:val="24"/>
          <w:szCs w:val="24"/>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s="宋体"/>
          <w:b w:val="0"/>
          <w:bCs/>
          <w:color w:val="000000"/>
          <w:kern w:val="0"/>
          <w:sz w:val="44"/>
          <w:szCs w:val="44"/>
        </w:rPr>
      </w:pPr>
      <w:r>
        <w:rPr>
          <w:rFonts w:hint="eastAsia" w:ascii="方正大标宋简体" w:hAnsi="方正大标宋简体" w:eastAsia="方正大标宋简体" w:cs="方正大标宋简体"/>
          <w:b w:val="0"/>
          <w:bCs w:val="0"/>
          <w:snapToGrid/>
          <w:color w:val="000000"/>
          <w:spacing w:val="0"/>
          <w:w w:val="100"/>
          <w:kern w:val="2"/>
          <w:sz w:val="44"/>
          <w:szCs w:val="44"/>
          <w:lang w:val="en-US" w:eastAsia="zh-CN" w:bidi="ar-SA"/>
        </w:rPr>
        <w:t>协会（商会）收费自查自纠表</w:t>
      </w:r>
    </w:p>
    <w:p>
      <w:pPr>
        <w:jc w:val="left"/>
        <w:rPr>
          <w:rFonts w:hint="eastAsia" w:ascii="仿宋_GB2312" w:hAnsi="仿宋_GB2312" w:eastAsia="仿宋_GB2312" w:cs="仿宋_GB2312"/>
          <w:b w:val="0"/>
          <w:bCs w:val="0"/>
          <w:snapToGrid/>
          <w:color w:val="000000"/>
          <w:kern w:val="2"/>
          <w:sz w:val="24"/>
          <w:szCs w:val="24"/>
          <w:lang w:val="en-US" w:eastAsia="zh-CN" w:bidi="ar-SA"/>
        </w:rPr>
      </w:pPr>
      <w:r>
        <w:rPr>
          <w:rFonts w:hint="eastAsia" w:ascii="仿宋_GB2312" w:hAnsi="仿宋_GB2312" w:eastAsia="仿宋_GB2312" w:cs="仿宋_GB2312"/>
          <w:b w:val="0"/>
          <w:bCs w:val="0"/>
          <w:snapToGrid/>
          <w:color w:val="000000"/>
          <w:kern w:val="2"/>
          <w:sz w:val="24"/>
          <w:szCs w:val="24"/>
          <w:lang w:val="en-US" w:eastAsia="zh-CN" w:bidi="ar-SA"/>
        </w:rPr>
        <w:t>社会组织名称（盖章）：         联系人：        联系电话：        填报时间：</w:t>
      </w:r>
    </w:p>
    <w:tbl>
      <w:tblPr>
        <w:tblStyle w:val="7"/>
        <w:tblW w:w="10157" w:type="dxa"/>
        <w:tblInd w:w="-368" w:type="dxa"/>
        <w:tblLayout w:type="fixed"/>
        <w:tblCellMar>
          <w:top w:w="0" w:type="dxa"/>
          <w:left w:w="108" w:type="dxa"/>
          <w:bottom w:w="0" w:type="dxa"/>
          <w:right w:w="108" w:type="dxa"/>
        </w:tblCellMar>
      </w:tblPr>
      <w:tblGrid>
        <w:gridCol w:w="457"/>
        <w:gridCol w:w="713"/>
        <w:gridCol w:w="4609"/>
        <w:gridCol w:w="3524"/>
        <w:gridCol w:w="854"/>
      </w:tblGrid>
      <w:tr>
        <w:tblPrEx>
          <w:tblCellMar>
            <w:top w:w="0" w:type="dxa"/>
            <w:left w:w="108" w:type="dxa"/>
            <w:bottom w:w="0" w:type="dxa"/>
            <w:right w:w="108" w:type="dxa"/>
          </w:tblCellMar>
        </w:tblPrEx>
        <w:trPr>
          <w:trHeight w:val="464"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5322"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自查内容</w:t>
            </w:r>
          </w:p>
        </w:tc>
        <w:tc>
          <w:tcPr>
            <w:tcW w:w="352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自查情况</w:t>
            </w:r>
          </w:p>
        </w:tc>
        <w:tc>
          <w:tcPr>
            <w:tcW w:w="85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整改</w:t>
            </w:r>
          </w:p>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情况</w:t>
            </w:r>
          </w:p>
        </w:tc>
      </w:tr>
      <w:tr>
        <w:tblPrEx>
          <w:tblCellMar>
            <w:top w:w="0" w:type="dxa"/>
            <w:left w:w="108" w:type="dxa"/>
            <w:bottom w:w="0" w:type="dxa"/>
            <w:right w:w="108" w:type="dxa"/>
          </w:tblCellMar>
        </w:tblPrEx>
        <w:trPr>
          <w:trHeight w:val="351" w:hRule="atLeast"/>
        </w:trPr>
        <w:tc>
          <w:tcPr>
            <w:tcW w:w="457"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p>
        </w:tc>
        <w:tc>
          <w:tcPr>
            <w:tcW w:w="71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会费收取情况</w:t>
            </w:r>
          </w:p>
        </w:tc>
        <w:tc>
          <w:tcPr>
            <w:tcW w:w="460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会费档次和标准（万元/年）</w:t>
            </w:r>
          </w:p>
        </w:tc>
        <w:tc>
          <w:tcPr>
            <w:tcW w:w="352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c>
          <w:tcPr>
            <w:tcW w:w="85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r>
        <w:tblPrEx>
          <w:tblCellMar>
            <w:top w:w="0" w:type="dxa"/>
            <w:left w:w="108" w:type="dxa"/>
            <w:bottom w:w="0" w:type="dxa"/>
            <w:right w:w="108" w:type="dxa"/>
          </w:tblCellMar>
        </w:tblPrEx>
        <w:trPr>
          <w:trHeight w:val="364" w:hRule="atLeast"/>
        </w:trPr>
        <w:tc>
          <w:tcPr>
            <w:tcW w:w="45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7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460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202</w:t>
            </w:r>
            <w:r>
              <w:rPr>
                <w:rFonts w:hint="eastAsia" w:ascii="仿宋_GB2312" w:hAnsi="仿宋_GB2312" w:eastAsia="仿宋_GB2312" w:cs="仿宋_GB2312"/>
                <w:b w:val="0"/>
                <w:bCs w:val="0"/>
                <w:color w:val="000000"/>
                <w:kern w:val="0"/>
                <w:sz w:val="24"/>
                <w:szCs w:val="24"/>
                <w:lang w:val="en-US" w:eastAsia="zh-CN"/>
              </w:rPr>
              <w:t>4</w:t>
            </w:r>
            <w:r>
              <w:rPr>
                <w:rFonts w:hint="eastAsia" w:ascii="仿宋_GB2312" w:hAnsi="仿宋_GB2312" w:eastAsia="仿宋_GB2312" w:cs="仿宋_GB2312"/>
                <w:b w:val="0"/>
                <w:bCs w:val="0"/>
                <w:color w:val="000000"/>
                <w:kern w:val="0"/>
                <w:sz w:val="24"/>
                <w:szCs w:val="24"/>
              </w:rPr>
              <w:t>年与202</w:t>
            </w:r>
            <w:r>
              <w:rPr>
                <w:rFonts w:hint="eastAsia" w:ascii="仿宋_GB2312" w:hAnsi="仿宋_GB2312" w:eastAsia="仿宋_GB2312" w:cs="仿宋_GB2312"/>
                <w:b w:val="0"/>
                <w:bCs w:val="0"/>
                <w:color w:val="000000"/>
                <w:kern w:val="0"/>
                <w:sz w:val="24"/>
                <w:szCs w:val="24"/>
                <w:lang w:val="en-US" w:eastAsia="zh-CN"/>
              </w:rPr>
              <w:t>3</w:t>
            </w:r>
            <w:r>
              <w:rPr>
                <w:rFonts w:hint="eastAsia" w:ascii="仿宋_GB2312" w:hAnsi="仿宋_GB2312" w:eastAsia="仿宋_GB2312" w:cs="仿宋_GB2312"/>
                <w:b w:val="0"/>
                <w:bCs w:val="0"/>
                <w:color w:val="000000"/>
                <w:kern w:val="0"/>
                <w:sz w:val="24"/>
                <w:szCs w:val="24"/>
              </w:rPr>
              <w:t>年相比会费降幅金额（万元）</w:t>
            </w:r>
          </w:p>
        </w:tc>
        <w:tc>
          <w:tcPr>
            <w:tcW w:w="352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c>
          <w:tcPr>
            <w:tcW w:w="85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r>
        <w:tblPrEx>
          <w:tblCellMar>
            <w:top w:w="0" w:type="dxa"/>
            <w:left w:w="108" w:type="dxa"/>
            <w:bottom w:w="0" w:type="dxa"/>
            <w:right w:w="108" w:type="dxa"/>
          </w:tblCellMar>
        </w:tblPrEx>
        <w:trPr>
          <w:trHeight w:val="365" w:hRule="atLeast"/>
        </w:trPr>
        <w:tc>
          <w:tcPr>
            <w:tcW w:w="45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7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460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会费标准制定时间</w:t>
            </w:r>
          </w:p>
        </w:tc>
        <w:tc>
          <w:tcPr>
            <w:tcW w:w="352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c>
          <w:tcPr>
            <w:tcW w:w="85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r>
        <w:tblPrEx>
          <w:tblCellMar>
            <w:top w:w="0" w:type="dxa"/>
            <w:left w:w="108" w:type="dxa"/>
            <w:bottom w:w="0" w:type="dxa"/>
            <w:right w:w="108" w:type="dxa"/>
          </w:tblCellMar>
        </w:tblPrEx>
        <w:trPr>
          <w:trHeight w:val="365" w:hRule="atLeast"/>
        </w:trPr>
        <w:tc>
          <w:tcPr>
            <w:tcW w:w="45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7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460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是否依法向全体会员公开</w:t>
            </w:r>
          </w:p>
        </w:tc>
        <w:tc>
          <w:tcPr>
            <w:tcW w:w="352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否□；是□；</w:t>
            </w:r>
          </w:p>
        </w:tc>
        <w:tc>
          <w:tcPr>
            <w:tcW w:w="85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r>
        <w:tblPrEx>
          <w:tblCellMar>
            <w:top w:w="0" w:type="dxa"/>
            <w:left w:w="108" w:type="dxa"/>
            <w:bottom w:w="0" w:type="dxa"/>
            <w:right w:w="108" w:type="dxa"/>
          </w:tblCellMar>
        </w:tblPrEx>
        <w:trPr>
          <w:trHeight w:val="600" w:hRule="atLeast"/>
        </w:trPr>
        <w:tc>
          <w:tcPr>
            <w:tcW w:w="45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7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460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是否经过会员（代表）大会无记名投票方式表决，并获得2/3以上到会会员（代表）通过</w:t>
            </w:r>
          </w:p>
        </w:tc>
        <w:tc>
          <w:tcPr>
            <w:tcW w:w="352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否□；是□；</w:t>
            </w:r>
          </w:p>
        </w:tc>
        <w:tc>
          <w:tcPr>
            <w:tcW w:w="85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r>
        <w:tblPrEx>
          <w:tblCellMar>
            <w:top w:w="0" w:type="dxa"/>
            <w:left w:w="108" w:type="dxa"/>
            <w:bottom w:w="0" w:type="dxa"/>
            <w:right w:w="108" w:type="dxa"/>
          </w:tblCellMar>
        </w:tblPrEx>
        <w:trPr>
          <w:trHeight w:val="421" w:hRule="atLeast"/>
        </w:trPr>
        <w:tc>
          <w:tcPr>
            <w:tcW w:w="457"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w:t>
            </w:r>
          </w:p>
        </w:tc>
        <w:tc>
          <w:tcPr>
            <w:tcW w:w="71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经营服务性收费情况</w:t>
            </w:r>
          </w:p>
        </w:tc>
        <w:tc>
          <w:tcPr>
            <w:tcW w:w="460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是否符合章程规定的宗旨和业务范围</w:t>
            </w:r>
          </w:p>
        </w:tc>
        <w:tc>
          <w:tcPr>
            <w:tcW w:w="352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否□；是□；</w:t>
            </w:r>
          </w:p>
        </w:tc>
        <w:tc>
          <w:tcPr>
            <w:tcW w:w="85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r>
        <w:tblPrEx>
          <w:tblCellMar>
            <w:top w:w="0" w:type="dxa"/>
            <w:left w:w="108" w:type="dxa"/>
            <w:bottom w:w="0" w:type="dxa"/>
            <w:right w:w="108" w:type="dxa"/>
          </w:tblCellMar>
        </w:tblPrEx>
        <w:trPr>
          <w:trHeight w:val="547" w:hRule="atLeast"/>
        </w:trPr>
        <w:tc>
          <w:tcPr>
            <w:tcW w:w="45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7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both"/>
              <w:textAlignment w:val="auto"/>
              <w:rPr>
                <w:rFonts w:hint="eastAsia" w:ascii="仿宋_GB2312" w:hAnsi="仿宋_GB2312" w:eastAsia="仿宋_GB2312" w:cs="仿宋_GB2312"/>
                <w:b w:val="0"/>
                <w:bCs w:val="0"/>
                <w:color w:val="000000"/>
                <w:kern w:val="0"/>
                <w:sz w:val="24"/>
                <w:szCs w:val="24"/>
              </w:rPr>
            </w:pPr>
          </w:p>
        </w:tc>
        <w:tc>
          <w:tcPr>
            <w:tcW w:w="460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是否遵循公平、合法、诚实守信的原则，公允确定收费标准</w:t>
            </w:r>
          </w:p>
        </w:tc>
        <w:tc>
          <w:tcPr>
            <w:tcW w:w="352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否</w:t>
            </w:r>
            <w:r>
              <w:rPr>
                <w:rFonts w:hint="eastAsia" w:ascii="仿宋_GB2312" w:hAnsi="仿宋_GB2312" w:eastAsia="仿宋_GB2312" w:cs="仿宋_GB2312"/>
                <w:b w:val="0"/>
                <w:bCs w:val="0"/>
                <w:color w:val="000000"/>
                <w:kern w:val="0"/>
                <w:sz w:val="24"/>
                <w:szCs w:val="24"/>
              </w:rPr>
              <w:sym w:font="Wingdings 2" w:char="00A3"/>
            </w:r>
            <w:r>
              <w:rPr>
                <w:rFonts w:hint="eastAsia" w:ascii="仿宋_GB2312" w:hAnsi="仿宋_GB2312" w:eastAsia="仿宋_GB2312" w:cs="仿宋_GB2312"/>
                <w:b w:val="0"/>
                <w:bCs w:val="0"/>
                <w:color w:val="000000"/>
                <w:kern w:val="0"/>
                <w:sz w:val="24"/>
                <w:szCs w:val="24"/>
              </w:rPr>
              <w:t>；是□；</w:t>
            </w:r>
          </w:p>
        </w:tc>
        <w:tc>
          <w:tcPr>
            <w:tcW w:w="85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r>
        <w:tblPrEx>
          <w:tblCellMar>
            <w:top w:w="0" w:type="dxa"/>
            <w:left w:w="108" w:type="dxa"/>
            <w:bottom w:w="0" w:type="dxa"/>
            <w:right w:w="108" w:type="dxa"/>
          </w:tblCellMar>
        </w:tblPrEx>
        <w:trPr>
          <w:trHeight w:val="407" w:hRule="atLeast"/>
        </w:trPr>
        <w:tc>
          <w:tcPr>
            <w:tcW w:w="45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7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both"/>
              <w:textAlignment w:val="auto"/>
              <w:rPr>
                <w:rFonts w:hint="eastAsia" w:ascii="仿宋_GB2312" w:hAnsi="仿宋_GB2312" w:eastAsia="仿宋_GB2312" w:cs="仿宋_GB2312"/>
                <w:b w:val="0"/>
                <w:bCs w:val="0"/>
                <w:color w:val="000000"/>
                <w:kern w:val="0"/>
                <w:sz w:val="24"/>
                <w:szCs w:val="24"/>
              </w:rPr>
            </w:pPr>
          </w:p>
        </w:tc>
        <w:tc>
          <w:tcPr>
            <w:tcW w:w="460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是否签订相关服务协议</w:t>
            </w:r>
          </w:p>
        </w:tc>
        <w:tc>
          <w:tcPr>
            <w:tcW w:w="352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否□；是□（提供相关服务协议）</w:t>
            </w:r>
          </w:p>
        </w:tc>
        <w:tc>
          <w:tcPr>
            <w:tcW w:w="85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r>
        <w:tblPrEx>
          <w:tblCellMar>
            <w:top w:w="0" w:type="dxa"/>
            <w:left w:w="108" w:type="dxa"/>
            <w:bottom w:w="0" w:type="dxa"/>
            <w:right w:w="108" w:type="dxa"/>
          </w:tblCellMar>
        </w:tblPrEx>
        <w:trPr>
          <w:trHeight w:val="392" w:hRule="atLeast"/>
        </w:trPr>
        <w:tc>
          <w:tcPr>
            <w:tcW w:w="45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7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both"/>
              <w:textAlignment w:val="auto"/>
              <w:rPr>
                <w:rFonts w:hint="eastAsia" w:ascii="仿宋_GB2312" w:hAnsi="仿宋_GB2312" w:eastAsia="仿宋_GB2312" w:cs="仿宋_GB2312"/>
                <w:b w:val="0"/>
                <w:bCs w:val="0"/>
                <w:color w:val="000000"/>
                <w:kern w:val="0"/>
                <w:sz w:val="24"/>
                <w:szCs w:val="24"/>
              </w:rPr>
            </w:pPr>
          </w:p>
        </w:tc>
        <w:tc>
          <w:tcPr>
            <w:tcW w:w="460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是否公开服务性收费标准</w:t>
            </w:r>
          </w:p>
        </w:tc>
        <w:tc>
          <w:tcPr>
            <w:tcW w:w="352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否□；是□（提供收费依据和标准）</w:t>
            </w:r>
          </w:p>
        </w:tc>
        <w:tc>
          <w:tcPr>
            <w:tcW w:w="85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r>
        <w:tblPrEx>
          <w:tblCellMar>
            <w:top w:w="0" w:type="dxa"/>
            <w:left w:w="108" w:type="dxa"/>
            <w:bottom w:w="0" w:type="dxa"/>
            <w:right w:w="108" w:type="dxa"/>
          </w:tblCellMar>
        </w:tblPrEx>
        <w:trPr>
          <w:trHeight w:val="600" w:hRule="atLeast"/>
        </w:trPr>
        <w:tc>
          <w:tcPr>
            <w:tcW w:w="45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7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both"/>
              <w:textAlignment w:val="auto"/>
              <w:rPr>
                <w:rFonts w:hint="eastAsia" w:ascii="仿宋_GB2312" w:hAnsi="仿宋_GB2312" w:eastAsia="仿宋_GB2312" w:cs="仿宋_GB2312"/>
                <w:b w:val="0"/>
                <w:bCs w:val="0"/>
                <w:color w:val="000000"/>
                <w:kern w:val="0"/>
                <w:sz w:val="24"/>
                <w:szCs w:val="24"/>
              </w:rPr>
            </w:pPr>
          </w:p>
        </w:tc>
        <w:tc>
          <w:tcPr>
            <w:tcW w:w="460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是否存在强制会员付费参加各类会议、培训、展览等活动及出国考察情况</w:t>
            </w:r>
          </w:p>
        </w:tc>
        <w:tc>
          <w:tcPr>
            <w:tcW w:w="352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否□；是□；</w:t>
            </w:r>
          </w:p>
        </w:tc>
        <w:tc>
          <w:tcPr>
            <w:tcW w:w="85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r>
        <w:tblPrEx>
          <w:tblCellMar>
            <w:top w:w="0" w:type="dxa"/>
            <w:left w:w="108" w:type="dxa"/>
            <w:bottom w:w="0" w:type="dxa"/>
            <w:right w:w="108" w:type="dxa"/>
          </w:tblCellMar>
        </w:tblPrEx>
        <w:trPr>
          <w:trHeight w:val="518" w:hRule="atLeast"/>
        </w:trPr>
        <w:tc>
          <w:tcPr>
            <w:tcW w:w="457"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w:t>
            </w:r>
          </w:p>
        </w:tc>
        <w:tc>
          <w:tcPr>
            <w:tcW w:w="71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行政事业性收费情况</w:t>
            </w:r>
          </w:p>
        </w:tc>
        <w:tc>
          <w:tcPr>
            <w:tcW w:w="460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是否有法律、行政法规规定或代行政府职能的依据</w:t>
            </w:r>
          </w:p>
        </w:tc>
        <w:tc>
          <w:tcPr>
            <w:tcW w:w="352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否□；是□（提供相关文件依据）</w:t>
            </w:r>
          </w:p>
        </w:tc>
        <w:tc>
          <w:tcPr>
            <w:tcW w:w="85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r>
        <w:tblPrEx>
          <w:tblCellMar>
            <w:top w:w="0" w:type="dxa"/>
            <w:left w:w="108" w:type="dxa"/>
            <w:bottom w:w="0" w:type="dxa"/>
            <w:right w:w="108" w:type="dxa"/>
          </w:tblCellMar>
        </w:tblPrEx>
        <w:trPr>
          <w:trHeight w:val="406" w:hRule="atLeast"/>
        </w:trPr>
        <w:tc>
          <w:tcPr>
            <w:tcW w:w="45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7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460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是否经财政、价格主管部门批准</w:t>
            </w:r>
          </w:p>
        </w:tc>
        <w:tc>
          <w:tcPr>
            <w:tcW w:w="352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否□；是□（提供批准文件依据）</w:t>
            </w:r>
          </w:p>
        </w:tc>
        <w:tc>
          <w:tcPr>
            <w:tcW w:w="85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r>
        <w:tblPrEx>
          <w:tblCellMar>
            <w:top w:w="0" w:type="dxa"/>
            <w:left w:w="108" w:type="dxa"/>
            <w:bottom w:w="0" w:type="dxa"/>
            <w:right w:w="108" w:type="dxa"/>
          </w:tblCellMar>
        </w:tblPrEx>
        <w:trPr>
          <w:trHeight w:val="407" w:hRule="atLeast"/>
        </w:trPr>
        <w:tc>
          <w:tcPr>
            <w:tcW w:w="45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7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460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是否将收费标准向社会公开</w:t>
            </w:r>
          </w:p>
        </w:tc>
        <w:tc>
          <w:tcPr>
            <w:tcW w:w="352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否□；是□；</w:t>
            </w:r>
          </w:p>
        </w:tc>
        <w:tc>
          <w:tcPr>
            <w:tcW w:w="85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r>
        <w:tblPrEx>
          <w:tblCellMar>
            <w:top w:w="0" w:type="dxa"/>
            <w:left w:w="108" w:type="dxa"/>
            <w:bottom w:w="0" w:type="dxa"/>
            <w:right w:w="108" w:type="dxa"/>
          </w:tblCellMar>
        </w:tblPrEx>
        <w:trPr>
          <w:trHeight w:val="533" w:hRule="atLeast"/>
        </w:trPr>
        <w:tc>
          <w:tcPr>
            <w:tcW w:w="457"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w:t>
            </w:r>
          </w:p>
        </w:tc>
        <w:tc>
          <w:tcPr>
            <w:tcW w:w="71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开展评比达标表彰发证收费情况</w:t>
            </w:r>
          </w:p>
        </w:tc>
        <w:tc>
          <w:tcPr>
            <w:tcW w:w="460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评比达标表彰活动是否经省评比达标表彰领导小组审核立项</w:t>
            </w:r>
          </w:p>
        </w:tc>
        <w:tc>
          <w:tcPr>
            <w:tcW w:w="352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否□；是□；</w:t>
            </w:r>
          </w:p>
        </w:tc>
        <w:tc>
          <w:tcPr>
            <w:tcW w:w="85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r>
        <w:tblPrEx>
          <w:tblCellMar>
            <w:top w:w="0" w:type="dxa"/>
            <w:left w:w="108" w:type="dxa"/>
            <w:bottom w:w="0" w:type="dxa"/>
            <w:right w:w="108" w:type="dxa"/>
          </w:tblCellMar>
        </w:tblPrEx>
        <w:trPr>
          <w:trHeight w:val="379" w:hRule="atLeast"/>
        </w:trPr>
        <w:tc>
          <w:tcPr>
            <w:tcW w:w="45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7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460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评比达标表彰活动是否收取相关费用</w:t>
            </w:r>
          </w:p>
        </w:tc>
        <w:tc>
          <w:tcPr>
            <w:tcW w:w="352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否□；是□（提供收费依据）</w:t>
            </w:r>
          </w:p>
        </w:tc>
        <w:tc>
          <w:tcPr>
            <w:tcW w:w="85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r>
        <w:tblPrEx>
          <w:tblCellMar>
            <w:top w:w="0" w:type="dxa"/>
            <w:left w:w="108" w:type="dxa"/>
            <w:bottom w:w="0" w:type="dxa"/>
            <w:right w:w="108" w:type="dxa"/>
          </w:tblCellMar>
        </w:tblPrEx>
        <w:trPr>
          <w:trHeight w:val="600" w:hRule="atLeast"/>
        </w:trPr>
        <w:tc>
          <w:tcPr>
            <w:tcW w:w="45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7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460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发的各种职业资格证书证是否属于国家公布的“专业技术人员和技能人员职业资格目录”</w:t>
            </w:r>
          </w:p>
        </w:tc>
        <w:tc>
          <w:tcPr>
            <w:tcW w:w="352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否□；是□；</w:t>
            </w:r>
          </w:p>
        </w:tc>
        <w:tc>
          <w:tcPr>
            <w:tcW w:w="85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r>
        <w:tblPrEx>
          <w:tblCellMar>
            <w:top w:w="0" w:type="dxa"/>
            <w:left w:w="108" w:type="dxa"/>
            <w:bottom w:w="0" w:type="dxa"/>
            <w:right w:w="108" w:type="dxa"/>
          </w:tblCellMar>
        </w:tblPrEx>
        <w:trPr>
          <w:trHeight w:val="600" w:hRule="atLeast"/>
        </w:trPr>
        <w:tc>
          <w:tcPr>
            <w:tcW w:w="45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7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460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是否有法律、行政法规规定或经政府职能部门委托</w:t>
            </w:r>
          </w:p>
        </w:tc>
        <w:tc>
          <w:tcPr>
            <w:tcW w:w="352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否□；是□（提供文件依据）</w:t>
            </w:r>
          </w:p>
        </w:tc>
        <w:tc>
          <w:tcPr>
            <w:tcW w:w="85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r>
        <w:tblPrEx>
          <w:tblCellMar>
            <w:top w:w="0" w:type="dxa"/>
            <w:left w:w="108" w:type="dxa"/>
            <w:bottom w:w="0" w:type="dxa"/>
            <w:right w:w="108" w:type="dxa"/>
          </w:tblCellMar>
        </w:tblPrEx>
        <w:trPr>
          <w:trHeight w:val="364" w:hRule="atLeast"/>
        </w:trPr>
        <w:tc>
          <w:tcPr>
            <w:tcW w:w="45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7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460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收费标准（元）</w:t>
            </w:r>
          </w:p>
        </w:tc>
        <w:tc>
          <w:tcPr>
            <w:tcW w:w="352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c>
          <w:tcPr>
            <w:tcW w:w="85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r>
        <w:tblPrEx>
          <w:tblCellMar>
            <w:top w:w="0" w:type="dxa"/>
            <w:left w:w="108" w:type="dxa"/>
            <w:bottom w:w="0" w:type="dxa"/>
            <w:right w:w="108" w:type="dxa"/>
          </w:tblCellMar>
        </w:tblPrEx>
        <w:trPr>
          <w:trHeight w:val="600" w:hRule="atLeast"/>
        </w:trPr>
        <w:tc>
          <w:tcPr>
            <w:tcW w:w="457"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w:t>
            </w:r>
          </w:p>
        </w:tc>
        <w:tc>
          <w:tcPr>
            <w:tcW w:w="71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总计</w:t>
            </w:r>
          </w:p>
        </w:tc>
        <w:tc>
          <w:tcPr>
            <w:tcW w:w="460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202</w:t>
            </w:r>
            <w:r>
              <w:rPr>
                <w:rFonts w:hint="eastAsia" w:ascii="仿宋_GB2312" w:hAnsi="仿宋_GB2312" w:eastAsia="仿宋_GB2312" w:cs="仿宋_GB2312"/>
                <w:b w:val="0"/>
                <w:bCs w:val="0"/>
                <w:color w:val="000000"/>
                <w:kern w:val="0"/>
                <w:sz w:val="24"/>
                <w:szCs w:val="24"/>
                <w:lang w:val="en-US" w:eastAsia="zh-CN"/>
              </w:rPr>
              <w:t>4</w:t>
            </w:r>
            <w:r>
              <w:rPr>
                <w:rFonts w:hint="eastAsia" w:ascii="仿宋_GB2312" w:hAnsi="仿宋_GB2312" w:eastAsia="仿宋_GB2312" w:cs="仿宋_GB2312"/>
                <w:b w:val="0"/>
                <w:bCs w:val="0"/>
                <w:color w:val="000000"/>
                <w:kern w:val="0"/>
                <w:sz w:val="24"/>
                <w:szCs w:val="24"/>
              </w:rPr>
              <w:t>年减免和降低收费减轻企业负担金额（万元）</w:t>
            </w:r>
          </w:p>
        </w:tc>
        <w:tc>
          <w:tcPr>
            <w:tcW w:w="4378"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r>
        <w:tblPrEx>
          <w:tblCellMar>
            <w:top w:w="0" w:type="dxa"/>
            <w:left w:w="108" w:type="dxa"/>
            <w:bottom w:w="0" w:type="dxa"/>
            <w:right w:w="108" w:type="dxa"/>
          </w:tblCellMar>
        </w:tblPrEx>
        <w:trPr>
          <w:trHeight w:val="392" w:hRule="atLeast"/>
        </w:trPr>
        <w:tc>
          <w:tcPr>
            <w:tcW w:w="45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7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460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减轻企业负担惠及企业个数（个）</w:t>
            </w:r>
          </w:p>
        </w:tc>
        <w:tc>
          <w:tcPr>
            <w:tcW w:w="4378"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r>
        <w:tblPrEx>
          <w:tblCellMar>
            <w:top w:w="0" w:type="dxa"/>
            <w:left w:w="108" w:type="dxa"/>
            <w:bottom w:w="0" w:type="dxa"/>
            <w:right w:w="108" w:type="dxa"/>
          </w:tblCellMar>
        </w:tblPrEx>
        <w:trPr>
          <w:trHeight w:val="392" w:hRule="atLeast"/>
        </w:trPr>
        <w:tc>
          <w:tcPr>
            <w:tcW w:w="45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7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460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lang w:eastAsia="zh-CN"/>
              </w:rPr>
              <w:t>推出的降低收费举措（项）</w:t>
            </w:r>
          </w:p>
        </w:tc>
        <w:tc>
          <w:tcPr>
            <w:tcW w:w="4378"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kern w:val="0"/>
                <w:sz w:val="24"/>
                <w:szCs w:val="24"/>
              </w:rPr>
            </w:pPr>
          </w:p>
        </w:tc>
      </w:tr>
      <w:tr>
        <w:tblPrEx>
          <w:tblCellMar>
            <w:top w:w="0" w:type="dxa"/>
            <w:left w:w="108" w:type="dxa"/>
            <w:bottom w:w="0" w:type="dxa"/>
            <w:right w:w="108" w:type="dxa"/>
          </w:tblCellMar>
        </w:tblPrEx>
        <w:trPr>
          <w:trHeight w:val="364" w:hRule="atLeast"/>
        </w:trPr>
        <w:tc>
          <w:tcPr>
            <w:tcW w:w="45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7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p>
        </w:tc>
        <w:tc>
          <w:tcPr>
            <w:tcW w:w="460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降低偏高收费项目数（个）</w:t>
            </w:r>
          </w:p>
        </w:tc>
        <w:tc>
          <w:tcPr>
            <w:tcW w:w="4378"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bl>
    <w:p>
      <w:pPr>
        <w:spacing w:line="320" w:lineRule="exac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备注：1、会费档次和标准、会费降幅按实际情况填写；</w:t>
      </w:r>
      <w:r>
        <w:rPr>
          <w:rFonts w:hint="eastAsia" w:ascii="仿宋_GB2312" w:hAnsi="仿宋_GB2312" w:eastAsia="仿宋_GB2312" w:cs="仿宋_GB2312"/>
          <w:b w:val="0"/>
          <w:bCs w:val="0"/>
          <w:color w:val="000000"/>
          <w:kern w:val="0"/>
          <w:sz w:val="24"/>
          <w:szCs w:val="24"/>
        </w:rPr>
        <w:br w:type="textWrapping"/>
      </w:r>
      <w:r>
        <w:rPr>
          <w:rFonts w:hint="eastAsia" w:ascii="仿宋_GB2312" w:hAnsi="仿宋_GB2312" w:eastAsia="仿宋_GB2312" w:cs="仿宋_GB2312"/>
          <w:b w:val="0"/>
          <w:bCs w:val="0"/>
          <w:color w:val="000000"/>
          <w:kern w:val="0"/>
          <w:sz w:val="24"/>
          <w:szCs w:val="24"/>
        </w:rPr>
        <w:t xml:space="preserve">      2、在“是”或“否”栏中打“√”即可，如两者都不存在可填写“无此情况”；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大标宋简体" w:hAnsi="方正大标宋简体" w:eastAsia="方正大标宋简体" w:cs="方正大标宋简体"/>
          <w:b w:val="0"/>
          <w:bCs w:val="0"/>
          <w:snapToGrid/>
          <w:color w:val="000000"/>
          <w:spacing w:val="0"/>
          <w:w w:val="100"/>
          <w:kern w:val="2"/>
          <w:sz w:val="44"/>
          <w:szCs w:val="44"/>
          <w:lang w:val="en-US" w:eastAsia="zh-CN" w:bidi="ar-SA"/>
        </w:rPr>
      </w:pPr>
      <w:r>
        <w:rPr>
          <w:rFonts w:hint="eastAsia" w:ascii="方正大标宋简体" w:hAnsi="方正大标宋简体" w:eastAsia="方正大标宋简体" w:cs="方正大标宋简体"/>
          <w:b w:val="0"/>
          <w:bCs w:val="0"/>
          <w:snapToGrid/>
          <w:color w:val="000000"/>
          <w:spacing w:val="0"/>
          <w:w w:val="100"/>
          <w:kern w:val="2"/>
          <w:sz w:val="44"/>
          <w:szCs w:val="44"/>
          <w:lang w:val="en-US" w:eastAsia="zh-CN" w:bidi="ar-SA"/>
        </w:rPr>
        <w:t>县本级</w:t>
      </w:r>
      <w:r>
        <w:rPr>
          <w:rFonts w:hint="default" w:ascii="方正大标宋简体" w:hAnsi="方正大标宋简体" w:eastAsia="方正大标宋简体" w:cs="方正大标宋简体"/>
          <w:b w:val="0"/>
          <w:bCs w:val="0"/>
          <w:snapToGrid/>
          <w:color w:val="000000"/>
          <w:spacing w:val="0"/>
          <w:w w:val="100"/>
          <w:kern w:val="2"/>
          <w:sz w:val="44"/>
          <w:szCs w:val="44"/>
          <w:lang w:val="en-US" w:eastAsia="zh-CN" w:bidi="ar-SA"/>
        </w:rPr>
        <w:t>行业协会商会服务高质量发展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大标宋简体" w:hAnsi="方正大标宋简体" w:eastAsia="方正大标宋简体" w:cs="方正大标宋简体"/>
          <w:b w:val="0"/>
          <w:bCs w:val="0"/>
          <w:snapToGrid/>
          <w:color w:val="000000"/>
          <w:spacing w:val="0"/>
          <w:w w:val="100"/>
          <w:kern w:val="2"/>
          <w:sz w:val="44"/>
          <w:szCs w:val="44"/>
          <w:lang w:val="en-US" w:eastAsia="zh-CN" w:bidi="ar-SA"/>
        </w:rPr>
      </w:pPr>
      <w:r>
        <w:rPr>
          <w:rFonts w:hint="default" w:ascii="方正大标宋简体" w:hAnsi="方正大标宋简体" w:eastAsia="方正大标宋简体" w:cs="方正大标宋简体"/>
          <w:b w:val="0"/>
          <w:bCs w:val="0"/>
          <w:snapToGrid/>
          <w:color w:val="000000"/>
          <w:spacing w:val="0"/>
          <w:w w:val="100"/>
          <w:kern w:val="2"/>
          <w:sz w:val="44"/>
          <w:szCs w:val="44"/>
          <w:lang w:val="en-US" w:eastAsia="zh-CN" w:bidi="ar-SA"/>
        </w:rPr>
        <w:t>专项行动进展情况统计表</w:t>
      </w:r>
    </w:p>
    <w:p>
      <w:pPr>
        <w:jc w:val="left"/>
        <w:rPr>
          <w:rFonts w:hint="default" w:ascii="仿宋_GB2312" w:hAnsi="仿宋_GB2312" w:eastAsia="仿宋_GB2312" w:cs="仿宋_GB2312"/>
          <w:b w:val="0"/>
          <w:bCs w:val="0"/>
          <w:snapToGrid/>
          <w:color w:val="000000"/>
          <w:kern w:val="2"/>
          <w:sz w:val="24"/>
          <w:szCs w:val="24"/>
          <w:lang w:val="en-US" w:eastAsia="zh-CN" w:bidi="ar-SA"/>
        </w:rPr>
      </w:pPr>
      <w:r>
        <w:rPr>
          <w:rFonts w:hint="default" w:ascii="仿宋_GB2312" w:hAnsi="仿宋_GB2312" w:eastAsia="仿宋_GB2312" w:cs="仿宋_GB2312"/>
          <w:b w:val="0"/>
          <w:bCs w:val="0"/>
          <w:snapToGrid/>
          <w:color w:val="000000"/>
          <w:kern w:val="2"/>
          <w:sz w:val="24"/>
          <w:szCs w:val="24"/>
          <w:lang w:val="en-US" w:eastAsia="zh-CN" w:bidi="ar-SA"/>
        </w:rPr>
        <w:t>填报单位：</w:t>
      </w:r>
      <w:r>
        <w:rPr>
          <w:rFonts w:hint="eastAsia" w:ascii="仿宋_GB2312" w:hAnsi="仿宋_GB2312" w:eastAsia="仿宋_GB2312" w:cs="仿宋_GB2312"/>
          <w:b w:val="0"/>
          <w:bCs w:val="0"/>
          <w:snapToGrid/>
          <w:color w:val="000000"/>
          <w:kern w:val="2"/>
          <w:sz w:val="24"/>
          <w:szCs w:val="24"/>
          <w:lang w:val="en-US" w:eastAsia="zh-CN" w:bidi="ar-SA"/>
        </w:rPr>
        <w:t xml:space="preserve">      </w:t>
      </w:r>
      <w:r>
        <w:rPr>
          <w:rFonts w:hint="default" w:ascii="仿宋_GB2312" w:hAnsi="仿宋_GB2312" w:eastAsia="仿宋_GB2312" w:cs="仿宋_GB2312"/>
          <w:b w:val="0"/>
          <w:bCs w:val="0"/>
          <w:snapToGrid/>
          <w:color w:val="000000"/>
          <w:kern w:val="2"/>
          <w:sz w:val="24"/>
          <w:szCs w:val="24"/>
          <w:lang w:val="en-US" w:eastAsia="zh-CN" w:bidi="ar-SA"/>
        </w:rPr>
        <w:t xml:space="preserve"> 填报人：</w:t>
      </w:r>
      <w:r>
        <w:rPr>
          <w:rFonts w:hint="eastAsia" w:ascii="仿宋_GB2312" w:hAnsi="仿宋_GB2312" w:eastAsia="仿宋_GB2312" w:cs="仿宋_GB2312"/>
          <w:b w:val="0"/>
          <w:bCs w:val="0"/>
          <w:snapToGrid/>
          <w:color w:val="000000"/>
          <w:kern w:val="2"/>
          <w:sz w:val="24"/>
          <w:szCs w:val="24"/>
          <w:lang w:val="en-US" w:eastAsia="zh-CN" w:bidi="ar-SA"/>
        </w:rPr>
        <w:t xml:space="preserve">       </w:t>
      </w:r>
      <w:r>
        <w:rPr>
          <w:rFonts w:hint="default" w:ascii="仿宋_GB2312" w:hAnsi="仿宋_GB2312" w:eastAsia="仿宋_GB2312" w:cs="仿宋_GB2312"/>
          <w:b w:val="0"/>
          <w:bCs w:val="0"/>
          <w:snapToGrid/>
          <w:color w:val="000000"/>
          <w:kern w:val="2"/>
          <w:sz w:val="24"/>
          <w:szCs w:val="24"/>
          <w:lang w:val="en-US" w:eastAsia="zh-CN" w:bidi="ar-SA"/>
        </w:rPr>
        <w:t xml:space="preserve">手机： </w:t>
      </w:r>
      <w:r>
        <w:rPr>
          <w:rFonts w:hint="eastAsia" w:ascii="仿宋_GB2312" w:hAnsi="仿宋_GB2312" w:eastAsia="仿宋_GB2312" w:cs="仿宋_GB2312"/>
          <w:b w:val="0"/>
          <w:bCs w:val="0"/>
          <w:snapToGrid/>
          <w:color w:val="000000"/>
          <w:kern w:val="2"/>
          <w:sz w:val="24"/>
          <w:szCs w:val="24"/>
          <w:lang w:val="en-US" w:eastAsia="zh-CN" w:bidi="ar-SA"/>
        </w:rPr>
        <w:t xml:space="preserve">           </w:t>
      </w:r>
      <w:r>
        <w:rPr>
          <w:rFonts w:hint="default" w:ascii="仿宋_GB2312" w:hAnsi="仿宋_GB2312" w:eastAsia="仿宋_GB2312" w:cs="仿宋_GB2312"/>
          <w:b w:val="0"/>
          <w:bCs w:val="0"/>
          <w:snapToGrid/>
          <w:color w:val="000000"/>
          <w:kern w:val="2"/>
          <w:sz w:val="24"/>
          <w:szCs w:val="24"/>
          <w:lang w:val="en-US" w:eastAsia="zh-CN" w:bidi="ar-SA"/>
        </w:rPr>
        <w:t>填报时间：</w:t>
      </w:r>
      <w:r>
        <w:rPr>
          <w:rFonts w:hint="eastAsia" w:ascii="仿宋_GB2312" w:hAnsi="仿宋_GB2312" w:eastAsia="仿宋_GB2312" w:cs="仿宋_GB2312"/>
          <w:b w:val="0"/>
          <w:bCs w:val="0"/>
          <w:snapToGrid/>
          <w:color w:val="000000"/>
          <w:kern w:val="2"/>
          <w:sz w:val="24"/>
          <w:szCs w:val="24"/>
          <w:lang w:val="en-US" w:eastAsia="zh-CN" w:bidi="ar-SA"/>
        </w:rPr>
        <w:t xml:space="preserve">    </w:t>
      </w:r>
      <w:r>
        <w:rPr>
          <w:rFonts w:hint="default" w:ascii="仿宋_GB2312" w:hAnsi="仿宋_GB2312" w:eastAsia="仿宋_GB2312" w:cs="仿宋_GB2312"/>
          <w:b w:val="0"/>
          <w:bCs w:val="0"/>
          <w:snapToGrid/>
          <w:color w:val="000000"/>
          <w:kern w:val="2"/>
          <w:sz w:val="24"/>
          <w:szCs w:val="24"/>
          <w:lang w:val="en-US" w:eastAsia="zh-CN" w:bidi="ar-SA"/>
        </w:rPr>
        <w:t>年</w:t>
      </w:r>
      <w:r>
        <w:rPr>
          <w:rFonts w:hint="eastAsia" w:ascii="仿宋_GB2312" w:hAnsi="仿宋_GB2312" w:eastAsia="仿宋_GB2312" w:cs="仿宋_GB2312"/>
          <w:b w:val="0"/>
          <w:bCs w:val="0"/>
          <w:snapToGrid/>
          <w:color w:val="000000"/>
          <w:kern w:val="2"/>
          <w:sz w:val="24"/>
          <w:szCs w:val="24"/>
          <w:lang w:val="en-US" w:eastAsia="zh-CN" w:bidi="ar-SA"/>
        </w:rPr>
        <w:t xml:space="preserve">  </w:t>
      </w:r>
      <w:r>
        <w:rPr>
          <w:rFonts w:hint="default" w:ascii="仿宋_GB2312" w:hAnsi="仿宋_GB2312" w:eastAsia="仿宋_GB2312" w:cs="仿宋_GB2312"/>
          <w:b w:val="0"/>
          <w:bCs w:val="0"/>
          <w:snapToGrid/>
          <w:color w:val="000000"/>
          <w:kern w:val="2"/>
          <w:sz w:val="24"/>
          <w:szCs w:val="24"/>
          <w:lang w:val="en-US" w:eastAsia="zh-CN" w:bidi="ar-SA"/>
        </w:rPr>
        <w:t>月</w:t>
      </w:r>
      <w:r>
        <w:rPr>
          <w:rFonts w:hint="eastAsia" w:ascii="仿宋_GB2312" w:hAnsi="仿宋_GB2312" w:eastAsia="仿宋_GB2312" w:cs="仿宋_GB2312"/>
          <w:b w:val="0"/>
          <w:bCs w:val="0"/>
          <w:snapToGrid/>
          <w:color w:val="000000"/>
          <w:kern w:val="2"/>
          <w:sz w:val="24"/>
          <w:szCs w:val="24"/>
          <w:lang w:val="en-US" w:eastAsia="zh-CN" w:bidi="ar-SA"/>
        </w:rPr>
        <w:t xml:space="preserve">  </w:t>
      </w:r>
      <w:r>
        <w:rPr>
          <w:rFonts w:hint="default" w:ascii="仿宋_GB2312" w:hAnsi="仿宋_GB2312" w:eastAsia="仿宋_GB2312" w:cs="仿宋_GB2312"/>
          <w:b w:val="0"/>
          <w:bCs w:val="0"/>
          <w:snapToGrid/>
          <w:color w:val="000000"/>
          <w:kern w:val="2"/>
          <w:sz w:val="24"/>
          <w:szCs w:val="24"/>
          <w:lang w:val="en-US" w:eastAsia="zh-CN" w:bidi="ar-SA"/>
        </w:rPr>
        <w:t>日</w:t>
      </w:r>
    </w:p>
    <w:tbl>
      <w:tblPr>
        <w:tblStyle w:val="7"/>
        <w:tblW w:w="9439" w:type="dxa"/>
        <w:jc w:val="center"/>
        <w:tblLayout w:type="fixed"/>
        <w:tblCellMar>
          <w:top w:w="0" w:type="dxa"/>
          <w:left w:w="108" w:type="dxa"/>
          <w:bottom w:w="0" w:type="dxa"/>
          <w:right w:w="108" w:type="dxa"/>
        </w:tblCellMar>
      </w:tblPr>
      <w:tblGrid>
        <w:gridCol w:w="779"/>
        <w:gridCol w:w="7278"/>
        <w:gridCol w:w="1382"/>
      </w:tblGrid>
      <w:tr>
        <w:tblPrEx>
          <w:tblCellMar>
            <w:top w:w="0" w:type="dxa"/>
            <w:left w:w="108" w:type="dxa"/>
            <w:bottom w:w="0" w:type="dxa"/>
            <w:right w:w="108" w:type="dxa"/>
          </w:tblCellMar>
        </w:tblPrEx>
        <w:trPr>
          <w:trHeight w:val="337"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color w:val="000000"/>
                <w:kern w:val="2"/>
                <w:sz w:val="24"/>
                <w:szCs w:val="24"/>
              </w:rPr>
            </w:pPr>
            <w:r>
              <w:rPr>
                <w:rFonts w:hint="eastAsia" w:ascii="仿宋_GB2312" w:hAnsi="仿宋_GB2312" w:eastAsia="仿宋_GB2312" w:cs="仿宋_GB2312"/>
                <w:b/>
                <w:bCs/>
                <w:color w:val="000000"/>
                <w:kern w:val="0"/>
                <w:sz w:val="24"/>
                <w:szCs w:val="24"/>
                <w:lang w:bidi="ar"/>
              </w:rPr>
              <w:t>序号</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color w:val="000000"/>
                <w:kern w:val="2"/>
                <w:sz w:val="24"/>
                <w:szCs w:val="24"/>
              </w:rPr>
            </w:pPr>
            <w:r>
              <w:rPr>
                <w:rFonts w:hint="eastAsia" w:ascii="仿宋_GB2312" w:hAnsi="仿宋_GB2312" w:eastAsia="仿宋_GB2312" w:cs="仿宋_GB2312"/>
                <w:b/>
                <w:bCs/>
                <w:color w:val="000000"/>
                <w:kern w:val="0"/>
                <w:sz w:val="24"/>
                <w:szCs w:val="24"/>
                <w:lang w:bidi="ar"/>
              </w:rPr>
              <w:t>重点任务</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color w:val="000000"/>
                <w:kern w:val="2"/>
                <w:sz w:val="24"/>
                <w:szCs w:val="24"/>
              </w:rPr>
            </w:pPr>
            <w:r>
              <w:rPr>
                <w:rFonts w:hint="eastAsia" w:ascii="仿宋_GB2312" w:hAnsi="仿宋_GB2312" w:eastAsia="仿宋_GB2312" w:cs="仿宋_GB2312"/>
                <w:b/>
                <w:bCs/>
                <w:color w:val="000000"/>
                <w:kern w:val="0"/>
                <w:sz w:val="24"/>
                <w:szCs w:val="24"/>
                <w:lang w:bidi="ar"/>
              </w:rPr>
              <w:t>工作成果</w:t>
            </w:r>
          </w:p>
        </w:tc>
      </w:tr>
      <w:tr>
        <w:tblPrEx>
          <w:tblCellMar>
            <w:top w:w="0" w:type="dxa"/>
            <w:left w:w="108" w:type="dxa"/>
            <w:bottom w:w="0" w:type="dxa"/>
            <w:right w:w="108" w:type="dxa"/>
          </w:tblCellMar>
        </w:tblPrEx>
        <w:trPr>
          <w:trHeight w:val="280" w:hRule="atLeast"/>
          <w:jc w:val="center"/>
        </w:trPr>
        <w:tc>
          <w:tcPr>
            <w:tcW w:w="779"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1</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截至目前，企业会员数量（个）</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kern w:val="2"/>
                <w:sz w:val="24"/>
                <w:szCs w:val="24"/>
              </w:rPr>
            </w:pP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——其中，规模以上会员企业数量（个）</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2</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上年度期末资产总计（万元）</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3</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上年度期末净资产合计（万元）</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4</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上年度收入合计（万元）</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5</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上年度费用合计（万）</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6</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本年度形成行业发展研究报告（篇）</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7</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本年度向政府部门提出意见建议数（项）</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kern w:val="2"/>
                <w:sz w:val="24"/>
                <w:szCs w:val="24"/>
              </w:rPr>
            </w:pP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——其中，被采纳数（项）</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8</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本年度参与制定或者修改法律法规、发展规划、政策文件数（件）</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9</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本年度通过宣讲、咨询和培训等工作在本行业落实政策文件数（件）</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10</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本年度举办行业考试次数（次）</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kern w:val="2"/>
                <w:sz w:val="24"/>
                <w:szCs w:val="24"/>
              </w:rPr>
            </w:pP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——累计参加考试人次数（人次）</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11</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本年度举办行业培训次数（次）</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kern w:val="2"/>
                <w:sz w:val="24"/>
                <w:szCs w:val="24"/>
              </w:rPr>
            </w:pP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——累计培训人次数（人次）</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494"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12</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本年度通过招聘会、对接会等方式帮助行业企业吸纳就业人员数（人）</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13</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本年度开展行业调查和统计数（次）</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kern w:val="2"/>
                <w:sz w:val="24"/>
                <w:szCs w:val="24"/>
              </w:rPr>
            </w:pP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——其中，编制和发布各类经济发展指数（个）</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14</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本年度搭建交流合作平台和供需对接平台数（个）</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15</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本年度组织评选科技奖励数（项）</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16</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本年度参与制订或者修改国家标准、行业标准和地方标准数（件）</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17</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本年度参与制订或者修改国际标准数（件）</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18</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本年度牵头制定团体标准数（件）</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19</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本年度指导行业企业制定企业标准数（件）</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20</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本年度举办讲座、研讨、论坛、座谈会、交流会数（次）</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kern w:val="2"/>
                <w:sz w:val="24"/>
                <w:szCs w:val="24"/>
              </w:rPr>
            </w:pP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——其中，累计参加人次数（人次）</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21</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本年度举办交易会、展览会、博览会、洽谈会数（项）</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kern w:val="2"/>
                <w:sz w:val="24"/>
                <w:szCs w:val="24"/>
              </w:rPr>
            </w:pP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——其中，累计达成意向金额（万元）</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22</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本年度开展认定、鉴定和新技术、新产品推广数（项）</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23</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本年度提供技术、经济、管理、法律、政策等咨询服务数（次）</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24</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截至目前，累计制定职业道德准则、自律宣言倡议等自律规约数（项）</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25</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本年度配合行业主管部门参加行业检查数（次）</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26</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本年度协调行业内外纠纷数（次 ）</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27</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截至目前，推动建立行业领域产业集群数（个）</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28</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本年度反倾销、反补贴和保障措施应诉、申诉数（项 ）</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29</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本年度组织国内外商务考察数（次）</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30</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截至目前，参加行业领域国际组织数（个）</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280"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31</w:t>
            </w: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本年度帮助招商引资落地项目数（个）</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r>
        <w:tblPrEx>
          <w:tblCellMar>
            <w:top w:w="0" w:type="dxa"/>
            <w:left w:w="108" w:type="dxa"/>
            <w:bottom w:w="0" w:type="dxa"/>
            <w:right w:w="108" w:type="dxa"/>
          </w:tblCellMar>
        </w:tblPrEx>
        <w:trPr>
          <w:trHeight w:val="326"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kern w:val="2"/>
                <w:sz w:val="24"/>
                <w:szCs w:val="24"/>
              </w:rPr>
            </w:pPr>
          </w:p>
        </w:tc>
        <w:tc>
          <w:tcPr>
            <w:tcW w:w="7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4"/>
                <w:szCs w:val="24"/>
              </w:rPr>
            </w:pPr>
            <w:r>
              <w:rPr>
                <w:rFonts w:hint="eastAsia" w:ascii="仿宋_GB2312" w:hAnsi="仿宋_GB2312" w:eastAsia="仿宋_GB2312" w:cs="仿宋_GB2312"/>
                <w:b w:val="0"/>
                <w:bCs w:val="0"/>
                <w:color w:val="000000"/>
                <w:kern w:val="0"/>
                <w:sz w:val="24"/>
                <w:szCs w:val="24"/>
                <w:lang w:bidi="ar"/>
              </w:rPr>
              <w:t>——其中，达成意向金额（万元）</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val="0"/>
                <w:color w:val="000000"/>
                <w:kern w:val="2"/>
                <w:sz w:val="24"/>
                <w:szCs w:val="24"/>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b w:val="0"/>
          <w:bCs w:val="0"/>
          <w:color w:val="000000"/>
          <w:spacing w:val="0"/>
          <w:w w:val="94"/>
          <w:kern w:val="0"/>
          <w:sz w:val="10"/>
          <w:szCs w:val="10"/>
        </w:rPr>
      </w:pPr>
    </w:p>
    <w:p>
      <w:pPr>
        <w:keepNext w:val="0"/>
        <w:keepLines w:val="0"/>
        <w:pageBreakBefore w:val="0"/>
        <w:widowControl w:val="0"/>
        <w:kinsoku/>
        <w:wordWrap/>
        <w:overflowPunct/>
        <w:topLinePunct w:val="0"/>
        <w:autoSpaceDE/>
        <w:autoSpaceDN/>
        <w:bidi w:val="0"/>
        <w:adjustRightInd/>
        <w:snapToGrid/>
        <w:spacing w:line="20" w:lineRule="exact"/>
        <w:ind w:firstLine="0" w:firstLineChars="0"/>
        <w:jc w:val="center"/>
        <w:textAlignment w:val="auto"/>
        <w:rPr>
          <w:rFonts w:hint="eastAsia" w:ascii="方正大标宋简体" w:hAnsi="方正大标宋简体" w:eastAsia="方正大标宋简体" w:cs="方正大标宋简体"/>
          <w:b w:val="0"/>
          <w:bCs w:val="0"/>
          <w:snapToGrid/>
          <w:color w:val="000000"/>
          <w:kern w:val="2"/>
          <w:sz w:val="10"/>
          <w:szCs w:val="10"/>
          <w:lang w:val="en-US" w:eastAsia="zh-CN" w:bidi="ar-SA"/>
        </w:rPr>
        <w:sectPr>
          <w:footerReference r:id="rId5" w:type="default"/>
          <w:pgSz w:w="11906" w:h="16838"/>
          <w:pgMar w:top="1644" w:right="1417" w:bottom="1417" w:left="1417" w:header="851" w:footer="992" w:gutter="0"/>
          <w:pgNumType w:fmt="decimal" w:start="1"/>
          <w:cols w:space="720" w:num="1"/>
          <w:docGrid w:type="lines" w:linePitch="599"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大标宋简体" w:hAnsi="方正大标宋简体" w:eastAsia="方正大标宋简体" w:cs="方正大标宋简体"/>
          <w:b w:val="0"/>
          <w:bCs w:val="0"/>
          <w:snapToGrid/>
          <w:color w:val="000000"/>
          <w:spacing w:val="0"/>
          <w:w w:val="100"/>
          <w:kern w:val="2"/>
          <w:sz w:val="44"/>
          <w:szCs w:val="44"/>
          <w:lang w:val="en-US" w:eastAsia="zh-CN" w:bidi="ar-SA"/>
        </w:rPr>
      </w:pPr>
      <w:r>
        <w:rPr>
          <w:rFonts w:hint="eastAsia" w:ascii="方正大标宋简体" w:hAnsi="方正大标宋简体" w:eastAsia="方正大标宋简体" w:cs="方正大标宋简体"/>
          <w:b w:val="0"/>
          <w:bCs w:val="0"/>
          <w:snapToGrid/>
          <w:color w:val="000000"/>
          <w:spacing w:val="0"/>
          <w:w w:val="100"/>
          <w:kern w:val="2"/>
          <w:sz w:val="44"/>
          <w:szCs w:val="44"/>
          <w:lang w:val="en-US" w:eastAsia="zh-CN" w:bidi="ar-SA"/>
        </w:rPr>
        <w:t>龙山县行业协会商会认证、评比、达标、表彰行为摸底表</w:t>
      </w:r>
    </w:p>
    <w:p>
      <w:pPr>
        <w:jc w:val="left"/>
        <w:rPr>
          <w:rFonts w:hint="default" w:ascii="仿宋_GB2312" w:hAnsi="仿宋_GB2312" w:eastAsia="仿宋_GB2312" w:cs="仿宋_GB2312"/>
          <w:b w:val="0"/>
          <w:bCs w:val="0"/>
          <w:snapToGrid/>
          <w:color w:val="000000"/>
          <w:kern w:val="2"/>
          <w:sz w:val="28"/>
          <w:szCs w:val="28"/>
          <w:lang w:val="en-US" w:eastAsia="zh-CN" w:bidi="ar-SA"/>
        </w:rPr>
      </w:pPr>
      <w:r>
        <w:rPr>
          <w:rFonts w:hint="eastAsia" w:ascii="仿宋_GB2312" w:hAnsi="仿宋_GB2312" w:eastAsia="仿宋_GB2312" w:cs="仿宋_GB2312"/>
          <w:b w:val="0"/>
          <w:bCs w:val="0"/>
          <w:snapToGrid/>
          <w:color w:val="000000"/>
          <w:kern w:val="2"/>
          <w:sz w:val="28"/>
          <w:szCs w:val="28"/>
          <w:lang w:val="en-US" w:eastAsia="zh-CN" w:bidi="ar-SA"/>
        </w:rPr>
        <w:t xml:space="preserve">填表单位：               填表人：            </w:t>
      </w:r>
      <w:r>
        <w:rPr>
          <w:rFonts w:hint="default" w:ascii="仿宋_GB2312" w:hAnsi="仿宋_GB2312" w:eastAsia="仿宋_GB2312" w:cs="仿宋_GB2312"/>
          <w:b w:val="0"/>
          <w:bCs w:val="0"/>
          <w:snapToGrid/>
          <w:color w:val="000000"/>
          <w:kern w:val="2"/>
          <w:sz w:val="28"/>
          <w:szCs w:val="28"/>
          <w:lang w:val="en-US" w:eastAsia="zh-CN" w:bidi="ar-SA"/>
        </w:rPr>
        <w:t xml:space="preserve">  </w:t>
      </w:r>
      <w:r>
        <w:rPr>
          <w:rFonts w:hint="eastAsia" w:ascii="仿宋_GB2312" w:hAnsi="仿宋_GB2312" w:eastAsia="仿宋_GB2312" w:cs="仿宋_GB2312"/>
          <w:b w:val="0"/>
          <w:bCs w:val="0"/>
          <w:snapToGrid/>
          <w:color w:val="000000"/>
          <w:kern w:val="2"/>
          <w:sz w:val="28"/>
          <w:szCs w:val="28"/>
          <w:lang w:val="en-US" w:eastAsia="zh-CN" w:bidi="ar-SA"/>
        </w:rPr>
        <w:t xml:space="preserve"> 联系电话：            </w:t>
      </w:r>
      <w:r>
        <w:rPr>
          <w:rFonts w:hint="default" w:ascii="仿宋_GB2312" w:hAnsi="仿宋_GB2312" w:eastAsia="仿宋_GB2312" w:cs="仿宋_GB2312"/>
          <w:b w:val="0"/>
          <w:bCs w:val="0"/>
          <w:snapToGrid/>
          <w:color w:val="000000"/>
          <w:kern w:val="2"/>
          <w:sz w:val="28"/>
          <w:szCs w:val="28"/>
          <w:lang w:val="en-US" w:eastAsia="zh-CN" w:bidi="ar-SA"/>
        </w:rPr>
        <w:t xml:space="preserve">    </w:t>
      </w:r>
      <w:r>
        <w:rPr>
          <w:rFonts w:hint="eastAsia" w:ascii="仿宋_GB2312" w:hAnsi="仿宋_GB2312" w:eastAsia="仿宋_GB2312" w:cs="仿宋_GB2312"/>
          <w:b w:val="0"/>
          <w:bCs w:val="0"/>
          <w:snapToGrid/>
          <w:color w:val="000000"/>
          <w:kern w:val="2"/>
          <w:sz w:val="28"/>
          <w:szCs w:val="28"/>
          <w:lang w:val="en-US" w:eastAsia="zh-CN" w:bidi="ar-SA"/>
        </w:rPr>
        <w:t xml:space="preserve">填表时间：           </w:t>
      </w:r>
    </w:p>
    <w:tbl>
      <w:tblPr>
        <w:tblStyle w:val="7"/>
        <w:tblW w:w="14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1407"/>
        <w:gridCol w:w="1265"/>
        <w:gridCol w:w="1421"/>
        <w:gridCol w:w="798"/>
        <w:gridCol w:w="1631"/>
        <w:gridCol w:w="1549"/>
        <w:gridCol w:w="1393"/>
        <w:gridCol w:w="1549"/>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14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社会组织名称</w:t>
            </w:r>
          </w:p>
        </w:tc>
        <w:tc>
          <w:tcPr>
            <w:tcW w:w="140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lang w:val="en-US" w:eastAsia="zh-CN" w:bidi="ar-SA"/>
              </w:rPr>
            </w:pPr>
            <w:r>
              <w:rPr>
                <w:rFonts w:hint="eastAsia" w:ascii="仿宋_GB2312" w:hAnsi="仿宋_GB2312" w:eastAsia="仿宋_GB2312" w:cs="仿宋_GB2312"/>
                <w:b/>
                <w:bCs/>
                <w:color w:val="000000"/>
                <w:kern w:val="0"/>
                <w:sz w:val="28"/>
                <w:szCs w:val="28"/>
              </w:rPr>
              <w:t>开展的认定、认证、评比活动名称</w:t>
            </w:r>
          </w:p>
        </w:tc>
        <w:tc>
          <w:tcPr>
            <w:tcW w:w="126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lang w:val="en-US" w:eastAsia="zh-CN" w:bidi="ar-SA"/>
              </w:rPr>
            </w:pPr>
            <w:r>
              <w:rPr>
                <w:rFonts w:hint="eastAsia" w:ascii="仿宋_GB2312" w:hAnsi="仿宋_GB2312" w:eastAsia="仿宋_GB2312" w:cs="仿宋_GB2312"/>
                <w:b/>
                <w:bCs/>
                <w:color w:val="000000"/>
                <w:kern w:val="0"/>
                <w:sz w:val="28"/>
                <w:szCs w:val="28"/>
              </w:rPr>
              <w:t>审批单位</w:t>
            </w:r>
          </w:p>
        </w:tc>
        <w:tc>
          <w:tcPr>
            <w:tcW w:w="142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lang w:val="en-US" w:eastAsia="zh-CN" w:bidi="ar-SA"/>
              </w:rPr>
            </w:pPr>
            <w:r>
              <w:rPr>
                <w:rFonts w:hint="eastAsia" w:ascii="仿宋_GB2312" w:hAnsi="仿宋_GB2312" w:eastAsia="仿宋_GB2312" w:cs="仿宋_GB2312"/>
                <w:b/>
                <w:bCs/>
                <w:color w:val="000000"/>
                <w:kern w:val="0"/>
                <w:sz w:val="28"/>
                <w:szCs w:val="28"/>
              </w:rPr>
              <w:t>法律政策依据</w:t>
            </w:r>
          </w:p>
        </w:tc>
        <w:tc>
          <w:tcPr>
            <w:tcW w:w="79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lang w:val="en-US" w:eastAsia="zh-CN" w:bidi="ar-SA"/>
              </w:rPr>
            </w:pPr>
            <w:r>
              <w:rPr>
                <w:rFonts w:hint="eastAsia" w:ascii="仿宋_GB2312" w:hAnsi="仿宋_GB2312" w:eastAsia="仿宋_GB2312" w:cs="仿宋_GB2312"/>
                <w:b/>
                <w:bCs/>
                <w:color w:val="000000"/>
                <w:kern w:val="0"/>
                <w:sz w:val="28"/>
                <w:szCs w:val="28"/>
              </w:rPr>
              <w:t>是否收费</w:t>
            </w:r>
          </w:p>
        </w:tc>
        <w:tc>
          <w:tcPr>
            <w:tcW w:w="16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lang w:val="en-US" w:eastAsia="zh-CN" w:bidi="ar-SA"/>
              </w:rPr>
            </w:pPr>
            <w:r>
              <w:rPr>
                <w:rFonts w:hint="eastAsia" w:ascii="仿宋_GB2312" w:hAnsi="仿宋_GB2312" w:eastAsia="仿宋_GB2312" w:cs="仿宋_GB2312"/>
                <w:b/>
                <w:bCs/>
                <w:color w:val="000000"/>
                <w:kern w:val="0"/>
                <w:sz w:val="28"/>
                <w:szCs w:val="28"/>
              </w:rPr>
              <w:t>内部程序</w:t>
            </w:r>
          </w:p>
        </w:tc>
        <w:tc>
          <w:tcPr>
            <w:tcW w:w="15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lang w:val="en-US" w:eastAsia="zh-CN" w:bidi="ar-SA"/>
              </w:rPr>
            </w:pPr>
            <w:r>
              <w:rPr>
                <w:rFonts w:hint="eastAsia" w:ascii="仿宋_GB2312" w:hAnsi="仿宋_GB2312" w:eastAsia="仿宋_GB2312" w:cs="仿宋_GB2312"/>
                <w:b/>
                <w:bCs/>
                <w:color w:val="000000"/>
                <w:kern w:val="0"/>
                <w:sz w:val="28"/>
                <w:szCs w:val="28"/>
              </w:rPr>
              <w:t>评选频次</w:t>
            </w:r>
          </w:p>
        </w:tc>
        <w:tc>
          <w:tcPr>
            <w:tcW w:w="139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lang w:val="en-US" w:eastAsia="zh-CN" w:bidi="ar-SA"/>
              </w:rPr>
            </w:pPr>
            <w:r>
              <w:rPr>
                <w:rFonts w:hint="eastAsia" w:ascii="仿宋_GB2312" w:hAnsi="仿宋_GB2312" w:eastAsia="仿宋_GB2312" w:cs="仿宋_GB2312"/>
                <w:b/>
                <w:bCs/>
                <w:color w:val="000000"/>
                <w:kern w:val="0"/>
                <w:sz w:val="28"/>
                <w:szCs w:val="28"/>
              </w:rPr>
              <w:t>最近一次评选时间</w:t>
            </w:r>
          </w:p>
        </w:tc>
        <w:tc>
          <w:tcPr>
            <w:tcW w:w="15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lang w:val="en-US" w:eastAsia="zh-CN" w:bidi="ar-SA"/>
              </w:rPr>
            </w:pPr>
            <w:r>
              <w:rPr>
                <w:rFonts w:hint="eastAsia" w:ascii="仿宋_GB2312" w:hAnsi="仿宋_GB2312" w:eastAsia="仿宋_GB2312" w:cs="仿宋_GB2312"/>
                <w:b/>
                <w:bCs/>
                <w:color w:val="000000"/>
                <w:kern w:val="0"/>
                <w:sz w:val="28"/>
                <w:szCs w:val="28"/>
              </w:rPr>
              <w:t>评选形式</w:t>
            </w:r>
          </w:p>
        </w:tc>
        <w:tc>
          <w:tcPr>
            <w:tcW w:w="15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lang w:eastAsia="zh-CN"/>
              </w:rPr>
            </w:pPr>
            <w:r>
              <w:rPr>
                <w:rFonts w:hint="eastAsia" w:ascii="仿宋_GB2312" w:hAnsi="仿宋_GB2312" w:eastAsia="仿宋_GB2312" w:cs="仿宋_GB2312"/>
                <w:b/>
                <w:bCs/>
                <w:color w:val="000000"/>
                <w:kern w:val="0"/>
                <w:sz w:val="28"/>
                <w:szCs w:val="28"/>
                <w:lang w:eastAsia="zh-CN"/>
              </w:rPr>
              <w:t>评选范围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92"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40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265"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42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798"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63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549"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393"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549"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549"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92"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40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265"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42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798"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63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549"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393"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549"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549"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92"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40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265"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42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798"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63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549"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393"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549"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549"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92"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40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265"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42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798"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63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549"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393"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549"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549"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92"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40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265"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42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798"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63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549"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393"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549"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549"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92"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40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265"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42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798"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63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549"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393"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549"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c>
          <w:tcPr>
            <w:tcW w:w="1549"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rPr>
            </w:pPr>
          </w:p>
        </w:tc>
      </w:tr>
    </w:tbl>
    <w:p>
      <w:pPr>
        <w:keepNext w:val="0"/>
        <w:keepLines w:val="0"/>
        <w:pageBreakBefore w:val="0"/>
        <w:widowControl w:val="0"/>
        <w:kinsoku/>
        <w:wordWrap/>
        <w:overflowPunct/>
        <w:topLinePunct/>
        <w:autoSpaceDE/>
        <w:autoSpaceDN/>
        <w:bidi w:val="0"/>
        <w:adjustRightInd/>
        <w:snapToGrid/>
        <w:spacing w:line="400" w:lineRule="exact"/>
        <w:ind w:left="0" w:leftChars="0" w:firstLine="1893" w:firstLineChars="1893"/>
        <w:jc w:val="both"/>
        <w:textAlignment w:val="auto"/>
        <w:rPr>
          <w:rFonts w:hint="default" w:ascii="仿宋_GB2312" w:hAnsi="仿宋_GB2312" w:eastAsia="仿宋_GB2312" w:cs="仿宋_GB2312"/>
          <w:b w:val="0"/>
          <w:bCs w:val="0"/>
          <w:color w:val="auto"/>
          <w:kern w:val="2"/>
          <w:sz w:val="10"/>
          <w:szCs w:val="10"/>
          <w:lang w:val="en-US" w:eastAsia="zh-CN" w:bidi="ar"/>
        </w:rPr>
      </w:pPr>
    </w:p>
    <w:sectPr>
      <w:footerReference r:id="rId6"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大标宋简体">
    <w:altName w:val="方正书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Wingdings 2">
    <w:altName w:val="阳光吾坚体"/>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阳光吾坚体">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kinsoku w:val="0"/>
      <w:autoSpaceDE w:val="0"/>
      <w:autoSpaceDN w:val="0"/>
      <w:adjustRightInd w:val="0"/>
      <w:snapToGrid w:val="0"/>
      <w:spacing w:line="1" w:lineRule="exact"/>
      <w:jc w:val="left"/>
      <w:textAlignment w:val="baseline"/>
      <w:rPr>
        <w:rFonts w:ascii="Arial" w:hAnsi="Arial" w:eastAsia="Arial" w:cs="Arial"/>
        <w:b w:val="0"/>
        <w:bCs w:val="0"/>
        <w:snapToGrid w:val="0"/>
        <w:color w:val="000000"/>
        <w:kern w:val="0"/>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Y2E0ODlkZTdjOWE4YTRkMDgwYTM5ZGM1NTU1YTQifQ=="/>
  </w:docVars>
  <w:rsids>
    <w:rsidRoot w:val="002D50E2"/>
    <w:rsid w:val="001E3567"/>
    <w:rsid w:val="001F2483"/>
    <w:rsid w:val="002D50E2"/>
    <w:rsid w:val="002F77B3"/>
    <w:rsid w:val="00404381"/>
    <w:rsid w:val="00B84A84"/>
    <w:rsid w:val="00E2052F"/>
    <w:rsid w:val="01145609"/>
    <w:rsid w:val="02315D47"/>
    <w:rsid w:val="02794B84"/>
    <w:rsid w:val="02A062E0"/>
    <w:rsid w:val="03AD0C74"/>
    <w:rsid w:val="03F439A1"/>
    <w:rsid w:val="041B7E7A"/>
    <w:rsid w:val="04BA63F7"/>
    <w:rsid w:val="05885BB6"/>
    <w:rsid w:val="05A7196B"/>
    <w:rsid w:val="05E27698"/>
    <w:rsid w:val="062F3250"/>
    <w:rsid w:val="0685283F"/>
    <w:rsid w:val="069968B3"/>
    <w:rsid w:val="07F22A25"/>
    <w:rsid w:val="07FC2DF4"/>
    <w:rsid w:val="09DC2A3C"/>
    <w:rsid w:val="0A1C108A"/>
    <w:rsid w:val="0A9F3FE3"/>
    <w:rsid w:val="0AE35B64"/>
    <w:rsid w:val="0BEB7EF3"/>
    <w:rsid w:val="0D877F8F"/>
    <w:rsid w:val="0F4360DD"/>
    <w:rsid w:val="0F8E2E4B"/>
    <w:rsid w:val="0FFF2ACC"/>
    <w:rsid w:val="11567578"/>
    <w:rsid w:val="118B3557"/>
    <w:rsid w:val="12515202"/>
    <w:rsid w:val="153667A8"/>
    <w:rsid w:val="15874A5E"/>
    <w:rsid w:val="15CA77AB"/>
    <w:rsid w:val="1625686C"/>
    <w:rsid w:val="163360DA"/>
    <w:rsid w:val="166E1EFC"/>
    <w:rsid w:val="16E01DBD"/>
    <w:rsid w:val="17681FB3"/>
    <w:rsid w:val="17BD625E"/>
    <w:rsid w:val="18C467BE"/>
    <w:rsid w:val="18F8374C"/>
    <w:rsid w:val="19A4787B"/>
    <w:rsid w:val="1A9A6727"/>
    <w:rsid w:val="1ADD41BF"/>
    <w:rsid w:val="1B642891"/>
    <w:rsid w:val="1B934905"/>
    <w:rsid w:val="1BAA7F71"/>
    <w:rsid w:val="1BDC68CC"/>
    <w:rsid w:val="1C2C4E5E"/>
    <w:rsid w:val="1CB74009"/>
    <w:rsid w:val="1D054AB6"/>
    <w:rsid w:val="1D641BF6"/>
    <w:rsid w:val="20B602CE"/>
    <w:rsid w:val="21E7297C"/>
    <w:rsid w:val="223056DC"/>
    <w:rsid w:val="226261EC"/>
    <w:rsid w:val="226D54C7"/>
    <w:rsid w:val="229261F6"/>
    <w:rsid w:val="22FF6A77"/>
    <w:rsid w:val="25EE6204"/>
    <w:rsid w:val="28017DE6"/>
    <w:rsid w:val="284622A3"/>
    <w:rsid w:val="29157ACC"/>
    <w:rsid w:val="29DC2793"/>
    <w:rsid w:val="2A0E432B"/>
    <w:rsid w:val="2B4D7651"/>
    <w:rsid w:val="2B6F2FCE"/>
    <w:rsid w:val="2BCE0BE6"/>
    <w:rsid w:val="2C347B62"/>
    <w:rsid w:val="2C714E0E"/>
    <w:rsid w:val="2D4E4218"/>
    <w:rsid w:val="2D9F5AB3"/>
    <w:rsid w:val="2E536EC1"/>
    <w:rsid w:val="2E8C558F"/>
    <w:rsid w:val="2F5E57C2"/>
    <w:rsid w:val="2FD03F9F"/>
    <w:rsid w:val="2FDE25DA"/>
    <w:rsid w:val="30660FFD"/>
    <w:rsid w:val="32815A16"/>
    <w:rsid w:val="340842AA"/>
    <w:rsid w:val="375F7F2C"/>
    <w:rsid w:val="37C4140A"/>
    <w:rsid w:val="38123CBA"/>
    <w:rsid w:val="399A5045"/>
    <w:rsid w:val="39B26F67"/>
    <w:rsid w:val="39D975E1"/>
    <w:rsid w:val="3B1B4B47"/>
    <w:rsid w:val="3B742D28"/>
    <w:rsid w:val="3C355E58"/>
    <w:rsid w:val="3DF57DC1"/>
    <w:rsid w:val="3E2F3F92"/>
    <w:rsid w:val="3E886713"/>
    <w:rsid w:val="3FFA2B57"/>
    <w:rsid w:val="3FFF71F2"/>
    <w:rsid w:val="41525EBB"/>
    <w:rsid w:val="41695E95"/>
    <w:rsid w:val="42084379"/>
    <w:rsid w:val="4215030D"/>
    <w:rsid w:val="42697AEF"/>
    <w:rsid w:val="43850816"/>
    <w:rsid w:val="43CC394C"/>
    <w:rsid w:val="44185E43"/>
    <w:rsid w:val="44A0273C"/>
    <w:rsid w:val="44FD328B"/>
    <w:rsid w:val="454D5FC1"/>
    <w:rsid w:val="455C7E9D"/>
    <w:rsid w:val="45E42DDE"/>
    <w:rsid w:val="46002400"/>
    <w:rsid w:val="4816682D"/>
    <w:rsid w:val="482105DC"/>
    <w:rsid w:val="48744F4E"/>
    <w:rsid w:val="48C14140"/>
    <w:rsid w:val="49227764"/>
    <w:rsid w:val="49CA6E91"/>
    <w:rsid w:val="4A715312"/>
    <w:rsid w:val="4BEA1905"/>
    <w:rsid w:val="4C443C69"/>
    <w:rsid w:val="4CA40DA1"/>
    <w:rsid w:val="4DAD1CF2"/>
    <w:rsid w:val="4E092CA1"/>
    <w:rsid w:val="4E5D2D7E"/>
    <w:rsid w:val="4E6879C7"/>
    <w:rsid w:val="4F495A4B"/>
    <w:rsid w:val="4F9359A5"/>
    <w:rsid w:val="51213BED"/>
    <w:rsid w:val="520A3EE5"/>
    <w:rsid w:val="53990623"/>
    <w:rsid w:val="54CE10FB"/>
    <w:rsid w:val="558C3B7A"/>
    <w:rsid w:val="55AE4859"/>
    <w:rsid w:val="56766566"/>
    <w:rsid w:val="56AF508E"/>
    <w:rsid w:val="56D0099F"/>
    <w:rsid w:val="57195100"/>
    <w:rsid w:val="57437EDC"/>
    <w:rsid w:val="593F6C46"/>
    <w:rsid w:val="59E377E7"/>
    <w:rsid w:val="59F74975"/>
    <w:rsid w:val="5A5D684E"/>
    <w:rsid w:val="5ABA1B81"/>
    <w:rsid w:val="5B6078C7"/>
    <w:rsid w:val="5DD978E6"/>
    <w:rsid w:val="5E5721B9"/>
    <w:rsid w:val="5E613138"/>
    <w:rsid w:val="5FBD7F53"/>
    <w:rsid w:val="617D26D6"/>
    <w:rsid w:val="61E11616"/>
    <w:rsid w:val="628C4DA7"/>
    <w:rsid w:val="632D4CF1"/>
    <w:rsid w:val="633F13EC"/>
    <w:rsid w:val="64975994"/>
    <w:rsid w:val="64AC073A"/>
    <w:rsid w:val="64C35AEB"/>
    <w:rsid w:val="665C007A"/>
    <w:rsid w:val="67175ECF"/>
    <w:rsid w:val="69283EB2"/>
    <w:rsid w:val="693555A5"/>
    <w:rsid w:val="69CA10DE"/>
    <w:rsid w:val="69CC4D48"/>
    <w:rsid w:val="6A5B6177"/>
    <w:rsid w:val="6AB9187F"/>
    <w:rsid w:val="6AFA1963"/>
    <w:rsid w:val="6B336D2C"/>
    <w:rsid w:val="6B4B40EF"/>
    <w:rsid w:val="6BAE2DF0"/>
    <w:rsid w:val="6CB05111"/>
    <w:rsid w:val="6CBC11B2"/>
    <w:rsid w:val="6CDF30F3"/>
    <w:rsid w:val="6D282CA2"/>
    <w:rsid w:val="6D404F77"/>
    <w:rsid w:val="6D7640A6"/>
    <w:rsid w:val="6E78319D"/>
    <w:rsid w:val="6F77059D"/>
    <w:rsid w:val="6F857F81"/>
    <w:rsid w:val="6FE27D3E"/>
    <w:rsid w:val="701845D9"/>
    <w:rsid w:val="7084521C"/>
    <w:rsid w:val="71AA63E3"/>
    <w:rsid w:val="72655100"/>
    <w:rsid w:val="74B56BD9"/>
    <w:rsid w:val="7504112E"/>
    <w:rsid w:val="75F50425"/>
    <w:rsid w:val="76646E5F"/>
    <w:rsid w:val="781A4329"/>
    <w:rsid w:val="79084FAF"/>
    <w:rsid w:val="7A7817D5"/>
    <w:rsid w:val="7C586FD5"/>
    <w:rsid w:val="7C6E246B"/>
    <w:rsid w:val="7D195AC8"/>
    <w:rsid w:val="7DB84184"/>
    <w:rsid w:val="7E1967C5"/>
    <w:rsid w:val="7E2D6D32"/>
    <w:rsid w:val="7E511018"/>
    <w:rsid w:val="7F0F3F82"/>
    <w:rsid w:val="7F3B240A"/>
    <w:rsid w:val="7FB599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b/>
      <w:bCs/>
      <w:sz w:val="44"/>
      <w:szCs w:val="4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0"/>
    <w:pPr>
      <w:keepNext w:val="0"/>
      <w:keepLines w:val="0"/>
      <w:widowControl w:val="0"/>
      <w:suppressLineNumbers w:val="0"/>
      <w:kinsoku w:val="0"/>
      <w:autoSpaceDE w:val="0"/>
      <w:autoSpaceDN w:val="0"/>
      <w:adjustRightInd w:val="0"/>
      <w:snapToGrid w:val="0"/>
      <w:spacing w:before="0" w:beforeAutospacing="0" w:after="0" w:afterAutospacing="0" w:line="240" w:lineRule="auto"/>
      <w:ind w:left="0" w:right="0"/>
      <w:jc w:val="left"/>
      <w:textAlignment w:val="baseline"/>
    </w:pPr>
    <w:rPr>
      <w:rFonts w:hint="default" w:ascii="Calibri" w:hAnsi="Calibri" w:eastAsia="宋体" w:cs="Times New Roman"/>
      <w:snapToGrid w:val="0"/>
      <w:color w:val="000000"/>
      <w:kern w:val="0"/>
      <w:sz w:val="24"/>
      <w:szCs w:val="24"/>
      <w:lang w:val="en-US" w:eastAsia="zh-CN" w:bidi="ar"/>
    </w:rPr>
  </w:style>
  <w:style w:type="paragraph" w:styleId="5">
    <w:name w:val="Body Text First Indent"/>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6">
    <w:name w:val="Body Text First Indent 2"/>
    <w:qFormat/>
    <w:uiPriority w:val="0"/>
    <w:pPr>
      <w:widowControl w:val="0"/>
      <w:autoSpaceDE w:val="0"/>
      <w:autoSpaceDN w:val="0"/>
      <w:adjustRightInd w:val="0"/>
      <w:spacing w:after="120"/>
      <w:ind w:left="420" w:leftChars="200" w:firstLine="420"/>
      <w:jc w:val="left"/>
    </w:pPr>
    <w:rPr>
      <w:rFonts w:ascii="Calibri" w:hAnsi="Calibri" w:eastAsia="宋体" w:cs="Calibri"/>
      <w:b/>
      <w:bCs/>
      <w:sz w:val="44"/>
      <w:szCs w:val="4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列出段落1"/>
    <w:qFormat/>
    <w:uiPriority w:val="0"/>
    <w:pPr>
      <w:keepNext w:val="0"/>
      <w:keepLines w:val="0"/>
      <w:widowControl w:val="0"/>
      <w:suppressLineNumbers w:val="0"/>
      <w:kinsoku w:val="0"/>
      <w:autoSpaceDE w:val="0"/>
      <w:autoSpaceDN w:val="0"/>
      <w:adjustRightInd w:val="0"/>
      <w:snapToGrid w:val="0"/>
      <w:spacing w:before="0" w:beforeAutospacing="0" w:after="0" w:afterAutospacing="0" w:line="240" w:lineRule="auto"/>
      <w:ind w:left="0" w:right="0" w:firstLine="200" w:firstLineChars="200"/>
      <w:jc w:val="both"/>
      <w:textAlignment w:val="baseline"/>
    </w:pPr>
    <w:rPr>
      <w:rFonts w:hint="default" w:ascii="Calibri" w:hAnsi="Calibri" w:eastAsia="宋体" w:cs="Times New Roman"/>
      <w:snapToGrid w:val="0"/>
      <w:color w:val="000000"/>
      <w:kern w:val="2"/>
      <w:sz w:val="21"/>
      <w:szCs w:val="22"/>
      <w:lang w:val="en-US" w:eastAsia="zh-CN" w:bidi="ar"/>
    </w:rPr>
  </w:style>
  <w:style w:type="paragraph" w:customStyle="1" w:styleId="12">
    <w:name w:val="Body text|6"/>
    <w:qFormat/>
    <w:uiPriority w:val="0"/>
    <w:pPr>
      <w:widowControl w:val="0"/>
      <w:shd w:val="clear" w:color="auto" w:fill="auto"/>
      <w:kinsoku w:val="0"/>
      <w:autoSpaceDE w:val="0"/>
      <w:autoSpaceDN w:val="0"/>
      <w:adjustRightInd w:val="0"/>
      <w:snapToGrid w:val="0"/>
      <w:spacing w:after="620" w:line="240" w:lineRule="auto"/>
      <w:jc w:val="center"/>
      <w:textAlignment w:val="baseline"/>
    </w:pPr>
    <w:rPr>
      <w:rFonts w:ascii="宋体" w:hAnsi="宋体" w:eastAsia="宋体" w:cs="宋体"/>
      <w:snapToGrid w:val="0"/>
      <w:color w:val="000000"/>
      <w:kern w:val="0"/>
      <w:sz w:val="34"/>
      <w:szCs w:val="34"/>
      <w:u w:val="none"/>
      <w:shd w:val="clear" w:color="auto" w:fill="auto"/>
      <w:lang w:val="zh-TW" w:eastAsia="zh-TW" w:bidi="zh-TW"/>
    </w:rPr>
  </w:style>
  <w:style w:type="paragraph" w:customStyle="1" w:styleId="13">
    <w:name w:val="Other|1"/>
    <w:qFormat/>
    <w:uiPriority w:val="0"/>
    <w:pPr>
      <w:widowControl w:val="0"/>
      <w:shd w:val="clear" w:color="auto" w:fill="auto"/>
      <w:kinsoku w:val="0"/>
      <w:autoSpaceDE w:val="0"/>
      <w:autoSpaceDN w:val="0"/>
      <w:adjustRightInd w:val="0"/>
      <w:snapToGrid w:val="0"/>
      <w:spacing w:line="394" w:lineRule="auto"/>
      <w:ind w:firstLine="400"/>
      <w:jc w:val="left"/>
      <w:textAlignment w:val="baseline"/>
    </w:pPr>
    <w:rPr>
      <w:rFonts w:ascii="宋体" w:hAnsi="宋体" w:eastAsia="宋体" w:cs="宋体"/>
      <w:snapToGrid w:val="0"/>
      <w:color w:val="000000"/>
      <w:kern w:val="0"/>
      <w:sz w:val="30"/>
      <w:szCs w:val="30"/>
      <w:u w:val="none"/>
      <w:shd w:val="clear" w:color="auto" w:fill="auto"/>
      <w:lang w:val="zh-TW" w:eastAsia="zh-TW" w:bidi="zh-TW"/>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Header or footer|1"/>
    <w:qFormat/>
    <w:uiPriority w:val="0"/>
    <w:pPr>
      <w:widowControl w:val="0"/>
      <w:shd w:val="clear" w:color="auto" w:fill="auto"/>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8"/>
      <w:szCs w:val="28"/>
      <w:u w:val="none"/>
      <w:shd w:val="clear" w:color="auto" w:fill="auto"/>
    </w:rPr>
  </w:style>
  <w:style w:type="character" w:customStyle="1" w:styleId="16">
    <w:name w:val="font31"/>
    <w:basedOn w:val="9"/>
    <w:qFormat/>
    <w:uiPriority w:val="0"/>
    <w:rPr>
      <w:rFonts w:hint="default" w:ascii="Wingdings" w:hAnsi="Wingdings" w:cs="Wingdings"/>
      <w:color w:val="000000"/>
      <w:sz w:val="24"/>
      <w:szCs w:val="24"/>
      <w:u w:val="none"/>
    </w:rPr>
  </w:style>
  <w:style w:type="character" w:customStyle="1" w:styleId="17">
    <w:name w:val="font11"/>
    <w:basedOn w:val="9"/>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5396</Words>
  <Characters>5510</Characters>
  <Lines>1</Lines>
  <Paragraphs>1</Paragraphs>
  <TotalTime>29</TotalTime>
  <ScaleCrop>false</ScaleCrop>
  <LinksUpToDate>false</LinksUpToDate>
  <CharactersWithSpaces>7028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2017-08-25T16:40:00Z</dcterms:created>
  <dc:creator>User</dc:creator>
  <cp:lastModifiedBy>kylin</cp:lastModifiedBy>
  <cp:lastPrinted>2025-03-17T17:36:00Z</cp:lastPrinted>
  <dcterms:modified xsi:type="dcterms:W3CDTF">2025-03-28T16:55:57Z</dcterms:modified>
  <dc:title>关于罗雪峰等同志职务任免的通知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D833D14FA1DD4732806C3ABF9070CE61_13</vt:lpwstr>
  </property>
  <property fmtid="{D5CDD505-2E9C-101B-9397-08002B2CF9AE}" pid="4" name="KSOTemplateDocerSaveRecord">
    <vt:lpwstr>eyJoZGlkIjoiMjhjY2E0ODlkZTdjOWE4YTRkMDgwYTM5ZGM1NTU1YTQiLCJ1c2VySWQiOiIyODc4MjIyMjMifQ==</vt:lpwstr>
  </property>
</Properties>
</file>