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rPr>
          <w:rFonts w:ascii="Times New Roman" w:hAnsi="Times New Roman" w:eastAsia="仿宋_GB2312" w:cs="Times New Roman"/>
        </w:rPr>
      </w:pPr>
      <w:r>
        <w:fldChar w:fldCharType="begin"/>
      </w:r>
      <w:r>
        <w:rPr>
          <w:rFonts w:ascii="Times New Roman" w:hAnsi="Times New Roman"/>
        </w:rPr>
        <w:instrText>ADDIN CNKISM.UserStyle</w:instrText>
      </w:r>
      <w:r>
        <w:rPr>
          <w:rFonts w:ascii="Times New Roman" w:hAnsi="Times New Roman"/>
        </w:rPr>
      </w:r>
      <w:r>
        <w:rPr>
          <w:rFonts w:ascii="Times New Roman" w:hAnsi="Times New Roman"/>
        </w:rPr>
        <w:fldChar w:fldCharType="separate"/>
      </w:r>
      <w:r>
        <w:rPr>
          <w:rFonts w:ascii="Times New Roman" w:hAnsi="Times New Roman"/>
        </w:rPr>
      </w:r>
      <w:r>
        <w:rPr>
          <w:rFonts w:ascii="Times New Roman" w:hAnsi="Times New Roman"/>
        </w:rPr>
      </w:r>
      <w:r>
        <w:rPr>
          <w:rFonts w:ascii="Times New Roman" w:hAnsi="Times New Roman"/>
        </w:rPr>
        <w:fldChar w:fldCharType="end"/>
      </w:r>
    </w:p>
    <w:p>
      <w:pPr>
        <w:pStyle w:val="Style16"/>
        <w:spacing w:lineRule="auto" w:line="360"/>
        <w:jc w:val="center"/>
        <w:rPr>
          <w:rFonts w:ascii="Times New Roman" w:hAnsi="Times New Roman" w:eastAsia="仿宋_GB2312" w:cs="Times New Roman"/>
          <w:b/>
          <w:b/>
          <w:bCs/>
          <w:sz w:val="52"/>
          <w:szCs w:val="52"/>
        </w:rPr>
      </w:pPr>
      <w:r>
        <w:rPr>
          <w:rFonts w:eastAsia="仿宋_GB2312" w:cs="Times New Roman" w:ascii="Times New Roman" w:hAnsi="Times New Roman"/>
          <w:b/>
          <w:bCs/>
          <w:sz w:val="52"/>
          <w:szCs w:val="52"/>
        </w:rPr>
      </w:r>
    </w:p>
    <w:p>
      <w:pPr>
        <w:pStyle w:val="Style16"/>
        <w:spacing w:lineRule="auto" w:line="360"/>
        <w:jc w:val="center"/>
        <w:rPr>
          <w:rFonts w:ascii="Times New Roman" w:hAnsi="Times New Roman" w:eastAsia="仿宋_GB2312" w:cs="Times New Roman"/>
          <w:b/>
          <w:b/>
          <w:bCs/>
          <w:sz w:val="52"/>
          <w:szCs w:val="52"/>
        </w:rPr>
      </w:pPr>
      <w:r>
        <w:rPr>
          <w:rFonts w:eastAsia="仿宋_GB2312" w:cs="Times New Roman" w:ascii="Times New Roman" w:hAnsi="Times New Roman"/>
          <w:b/>
          <w:bCs/>
          <w:sz w:val="52"/>
          <w:szCs w:val="52"/>
        </w:rPr>
      </w:r>
    </w:p>
    <w:p>
      <w:pPr>
        <w:pStyle w:val="Style16"/>
        <w:spacing w:lineRule="auto" w:line="360" w:beforeLines="50" w:beforeAutospacing="0" w:afterLines="100" w:afterAutospacing="0"/>
        <w:jc w:val="center"/>
        <w:rPr>
          <w:rFonts w:ascii="Times New Roman" w:hAnsi="Times New Roman" w:eastAsia="仿宋_GB2312" w:cs="Times New Roman"/>
          <w:b/>
          <w:b/>
          <w:bCs/>
          <w:sz w:val="48"/>
          <w:szCs w:val="48"/>
        </w:rPr>
      </w:pPr>
      <w:r>
        <w:rPr>
          <w:rFonts w:ascii="Times New Roman" w:hAnsi="Times New Roman" w:cs="Times New Roman" w:eastAsia="仿宋_GB2312"/>
          <w:b/>
          <w:bCs/>
          <w:sz w:val="48"/>
          <w:szCs w:val="48"/>
        </w:rPr>
        <w:t>龙山县“十四五”商务和外向型经济</w:t>
      </w:r>
    </w:p>
    <w:p>
      <w:pPr>
        <w:pStyle w:val="Style16"/>
        <w:spacing w:lineRule="auto" w:line="360" w:beforeLines="50" w:beforeAutospacing="0" w:afterLines="100" w:afterAutospacing="0"/>
        <w:jc w:val="center"/>
        <w:rPr>
          <w:rFonts w:ascii="Times New Roman" w:hAnsi="Times New Roman" w:eastAsia="仿宋_GB2312" w:cs="Times New Roman"/>
          <w:b/>
          <w:b/>
          <w:bCs/>
          <w:sz w:val="48"/>
          <w:szCs w:val="48"/>
        </w:rPr>
      </w:pPr>
      <w:r>
        <w:rPr>
          <w:rFonts w:ascii="Times New Roman" w:hAnsi="Times New Roman" w:cs="Times New Roman" w:eastAsia="仿宋_GB2312"/>
          <w:b/>
          <w:bCs/>
          <w:sz w:val="48"/>
          <w:szCs w:val="48"/>
        </w:rPr>
        <w:t>发展规划（</w:t>
      </w:r>
      <w:r>
        <w:rPr>
          <w:rFonts w:eastAsia="仿宋_GB2312" w:cs="Times New Roman" w:ascii="Times New Roman" w:hAnsi="Times New Roman"/>
          <w:b/>
          <w:bCs/>
          <w:sz w:val="48"/>
          <w:szCs w:val="48"/>
        </w:rPr>
        <w:t>2021-2025</w:t>
      </w:r>
      <w:r>
        <w:rPr>
          <w:rFonts w:ascii="Times New Roman" w:hAnsi="Times New Roman" w:cs="Times New Roman" w:eastAsia="仿宋_GB2312"/>
          <w:b/>
          <w:bCs/>
          <w:sz w:val="48"/>
          <w:szCs w:val="48"/>
        </w:rPr>
        <w:t>年）</w:t>
      </w:r>
    </w:p>
    <w:p>
      <w:pPr>
        <w:pStyle w:val="Style16"/>
        <w:spacing w:lineRule="auto" w:line="360"/>
        <w:jc w:val="center"/>
        <w:rPr>
          <w:rFonts w:ascii="Times New Roman" w:hAnsi="Times New Roman" w:eastAsia="仿宋_GB2312" w:cs="Times New Roman"/>
          <w:b/>
          <w:b/>
          <w:bCs/>
          <w:sz w:val="44"/>
          <w:szCs w:val="44"/>
        </w:rPr>
      </w:pPr>
      <w:r>
        <w:rPr>
          <w:rFonts w:eastAsia="仿宋_GB2312" w:cs="Times New Roman" w:ascii="Times New Roman" w:hAnsi="Times New Roman"/>
          <w:b/>
          <w:bCs/>
          <w:sz w:val="44"/>
          <w:szCs w:val="44"/>
        </w:rPr>
      </w:r>
    </w:p>
    <w:p>
      <w:pPr>
        <w:pStyle w:val="Style16"/>
        <w:spacing w:lineRule="auto" w:line="360"/>
        <w:jc w:val="center"/>
        <w:rPr>
          <w:rFonts w:ascii="Times New Roman" w:hAnsi="Times New Roman" w:eastAsia="仿宋_GB2312" w:cs="Times New Roman"/>
          <w:b/>
          <w:b/>
          <w:sz w:val="28"/>
          <w:szCs w:val="28"/>
        </w:rPr>
      </w:pPr>
      <w:r>
        <w:rPr>
          <w:rFonts w:eastAsia="仿宋_GB2312" w:cs="Times New Roman" w:ascii="Times New Roman" w:hAnsi="Times New Roman"/>
          <w:b/>
          <w:sz w:val="28"/>
          <w:szCs w:val="28"/>
        </w:rPr>
      </w:r>
    </w:p>
    <w:p>
      <w:pPr>
        <w:pStyle w:val="Style16"/>
        <w:spacing w:lineRule="auto" w:line="360"/>
        <w:jc w:val="center"/>
        <w:rPr>
          <w:rFonts w:ascii="Times New Roman" w:hAnsi="Times New Roman" w:eastAsia="仿宋_GB2312" w:cs="Times New Roman"/>
          <w:b/>
          <w:b/>
          <w:sz w:val="28"/>
          <w:szCs w:val="28"/>
        </w:rPr>
      </w:pPr>
      <w:r>
        <w:rPr>
          <w:rFonts w:eastAsia="仿宋_GB2312" w:cs="Times New Roman" w:ascii="Times New Roman" w:hAnsi="Times New Roman"/>
          <w:b/>
          <w:sz w:val="28"/>
          <w:szCs w:val="28"/>
        </w:rPr>
      </w:r>
    </w:p>
    <w:p>
      <w:pPr>
        <w:pStyle w:val="Style16"/>
        <w:spacing w:lineRule="auto" w:line="360"/>
        <w:jc w:val="center"/>
        <w:rPr>
          <w:rFonts w:ascii="Times New Roman" w:hAnsi="Times New Roman" w:eastAsia="仿宋_GB2312" w:cs="Times New Roman"/>
          <w:b/>
          <w:b/>
          <w:sz w:val="28"/>
          <w:szCs w:val="28"/>
        </w:rPr>
      </w:pPr>
      <w:r>
        <w:rPr>
          <w:rFonts w:eastAsia="仿宋_GB2312" w:cs="Times New Roman" w:ascii="Times New Roman" w:hAnsi="Times New Roman"/>
          <w:b/>
          <w:sz w:val="28"/>
          <w:szCs w:val="28"/>
        </w:rPr>
      </w:r>
    </w:p>
    <w:p>
      <w:pPr>
        <w:pStyle w:val="Style16"/>
        <w:spacing w:lineRule="auto" w:line="360"/>
        <w:jc w:val="center"/>
        <w:rPr>
          <w:rFonts w:ascii="Times New Roman" w:hAnsi="Times New Roman" w:eastAsia="仿宋_GB2312" w:cs="Times New Roman"/>
          <w:b/>
          <w:b/>
          <w:sz w:val="28"/>
          <w:szCs w:val="28"/>
        </w:rPr>
      </w:pPr>
      <w:r>
        <w:rPr>
          <w:rFonts w:eastAsia="仿宋_GB2312" w:cs="Times New Roman" w:ascii="Times New Roman" w:hAnsi="Times New Roman"/>
          <w:b/>
          <w:sz w:val="28"/>
          <w:szCs w:val="28"/>
        </w:rPr>
      </w:r>
    </w:p>
    <w:p>
      <w:pPr>
        <w:pStyle w:val="Style16"/>
        <w:spacing w:lineRule="auto" w:line="360"/>
        <w:jc w:val="center"/>
        <w:rPr>
          <w:rFonts w:ascii="Times New Roman" w:hAnsi="Times New Roman" w:eastAsia="仿宋_GB2312" w:cs="Times New Roman"/>
          <w:b/>
          <w:b/>
          <w:sz w:val="28"/>
          <w:szCs w:val="28"/>
        </w:rPr>
      </w:pPr>
      <w:r>
        <w:rPr>
          <w:rFonts w:eastAsia="仿宋_GB2312" w:cs="Times New Roman" w:ascii="Times New Roman" w:hAnsi="Times New Roman"/>
          <w:b/>
          <w:sz w:val="28"/>
          <w:szCs w:val="28"/>
        </w:rPr>
      </w:r>
    </w:p>
    <w:p>
      <w:pPr>
        <w:pStyle w:val="Style16"/>
        <w:spacing w:lineRule="auto" w:line="360"/>
        <w:jc w:val="center"/>
        <w:rPr>
          <w:rFonts w:ascii="Times New Roman" w:hAnsi="Times New Roman" w:eastAsia="仿宋_GB2312" w:cs="Times New Roman"/>
          <w:b/>
          <w:b/>
          <w:sz w:val="28"/>
          <w:szCs w:val="28"/>
        </w:rPr>
      </w:pPr>
      <w:r>
        <w:rPr>
          <w:rFonts w:eastAsia="仿宋_GB2312" w:cs="Times New Roman" w:ascii="Times New Roman" w:hAnsi="Times New Roman"/>
          <w:b/>
          <w:sz w:val="28"/>
          <w:szCs w:val="28"/>
        </w:rPr>
      </w:r>
    </w:p>
    <w:p>
      <w:pPr>
        <w:pStyle w:val="Style16"/>
        <w:spacing w:lineRule="auto" w:line="360"/>
        <w:jc w:val="center"/>
        <w:rPr>
          <w:rFonts w:ascii="Times New Roman" w:hAnsi="Times New Roman" w:eastAsia="仿宋_GB2312" w:cs="Times New Roman"/>
          <w:b/>
          <w:b/>
          <w:sz w:val="28"/>
          <w:szCs w:val="28"/>
        </w:rPr>
      </w:pPr>
      <w:r>
        <w:rPr>
          <w:rFonts w:eastAsia="仿宋_GB2312" w:cs="Times New Roman" w:ascii="Times New Roman" w:hAnsi="Times New Roman"/>
          <w:b/>
          <w:sz w:val="28"/>
          <w:szCs w:val="28"/>
        </w:rPr>
      </w:r>
    </w:p>
    <w:p>
      <w:pPr>
        <w:pStyle w:val="Style16"/>
        <w:spacing w:lineRule="auto" w:line="360"/>
        <w:jc w:val="center"/>
        <w:rPr>
          <w:rFonts w:ascii="Times New Roman" w:hAnsi="Times New Roman" w:eastAsia="仿宋_GB2312" w:cs="Times New Roman"/>
          <w:b/>
          <w:b/>
          <w:sz w:val="28"/>
          <w:szCs w:val="28"/>
        </w:rPr>
      </w:pPr>
      <w:r>
        <w:rPr>
          <w:rFonts w:eastAsia="仿宋_GB2312" w:cs="Times New Roman" w:ascii="Times New Roman" w:hAnsi="Times New Roman"/>
          <w:b/>
          <w:sz w:val="28"/>
          <w:szCs w:val="28"/>
        </w:rPr>
      </w:r>
    </w:p>
    <w:p>
      <w:pPr>
        <w:pStyle w:val="Style16"/>
        <w:spacing w:lineRule="auto" w:line="360"/>
        <w:jc w:val="center"/>
        <w:rPr>
          <w:rFonts w:ascii="Times New Roman" w:hAnsi="Times New Roman" w:eastAsia="仿宋_GB2312" w:cs="Times New Roman"/>
          <w:b/>
          <w:b/>
          <w:sz w:val="28"/>
          <w:szCs w:val="28"/>
        </w:rPr>
      </w:pPr>
      <w:r>
        <w:rPr>
          <w:rFonts w:eastAsia="仿宋_GB2312" w:cs="Times New Roman" w:ascii="Times New Roman" w:hAnsi="Times New Roman"/>
          <w:b/>
          <w:sz w:val="28"/>
          <w:szCs w:val="28"/>
        </w:rPr>
      </w:r>
    </w:p>
    <w:p>
      <w:pPr>
        <w:pStyle w:val="Style16"/>
        <w:spacing w:lineRule="auto" w:line="360"/>
        <w:jc w:val="center"/>
        <w:rPr>
          <w:rFonts w:ascii="Times New Roman" w:hAnsi="Times New Roman" w:eastAsia="仿宋_GB2312" w:cs="Times New Roman"/>
          <w:b/>
          <w:b/>
          <w:sz w:val="28"/>
          <w:szCs w:val="28"/>
        </w:rPr>
      </w:pPr>
      <w:r>
        <w:rPr>
          <w:rFonts w:eastAsia="仿宋_GB2312" w:cs="Times New Roman" w:ascii="Times New Roman" w:hAnsi="Times New Roman"/>
          <w:b/>
          <w:sz w:val="28"/>
          <w:szCs w:val="28"/>
        </w:rPr>
      </w:r>
    </w:p>
    <w:p>
      <w:pPr>
        <w:pStyle w:val="Style16"/>
        <w:spacing w:lineRule="auto" w:line="360"/>
        <w:jc w:val="center"/>
        <w:rPr>
          <w:rFonts w:ascii="Times New Roman" w:hAnsi="Times New Roman" w:eastAsia="仿宋_GB2312" w:cs="Times New Roman"/>
          <w:b/>
          <w:b/>
          <w:sz w:val="28"/>
          <w:szCs w:val="28"/>
        </w:rPr>
      </w:pPr>
      <w:r>
        <w:rPr>
          <w:rFonts w:eastAsia="仿宋_GB2312" w:cs="Times New Roman" w:ascii="Times New Roman" w:hAnsi="Times New Roman"/>
          <w:b/>
          <w:sz w:val="28"/>
          <w:szCs w:val="28"/>
        </w:rPr>
      </w:r>
    </w:p>
    <w:p>
      <w:pPr>
        <w:pStyle w:val="Style16"/>
        <w:spacing w:lineRule="auto" w:line="360"/>
        <w:jc w:val="center"/>
        <w:rPr>
          <w:rFonts w:ascii="Times New Roman" w:hAnsi="Times New Roman" w:eastAsia="仿宋_GB2312" w:cs="Times New Roman"/>
          <w:b/>
          <w:b/>
          <w:bCs/>
          <w:sz w:val="28"/>
          <w:szCs w:val="28"/>
        </w:rPr>
      </w:pPr>
      <w:r>
        <w:rPr>
          <w:rFonts w:ascii="Times New Roman" w:hAnsi="Times New Roman" w:cs="Times New Roman" w:eastAsia="仿宋_GB2312"/>
          <w:b/>
          <w:bCs/>
          <w:sz w:val="28"/>
          <w:szCs w:val="28"/>
        </w:rPr>
        <w:t>龙山县商务局</w:t>
      </w:r>
    </w:p>
    <w:p>
      <w:pPr>
        <w:pStyle w:val="Style16"/>
        <w:spacing w:lineRule="auto" w:line="360"/>
        <w:jc w:val="center"/>
        <w:rPr>
          <w:rFonts w:ascii="Times New Roman" w:hAnsi="Times New Roman" w:eastAsia="仿宋_GB2312" w:cs="Times New Roman"/>
          <w:sz w:val="28"/>
          <w:szCs w:val="28"/>
        </w:rPr>
      </w:pPr>
      <w:r>
        <w:rPr>
          <w:rFonts w:ascii="Times New Roman" w:hAnsi="Times New Roman" w:cs="Times New Roman" w:eastAsia="仿宋_GB2312"/>
          <w:sz w:val="28"/>
          <w:szCs w:val="28"/>
        </w:rPr>
        <w:t>二</w:t>
      </w:r>
      <w:bookmarkStart w:id="0" w:name="_Hlk39057601"/>
      <w:bookmarkEnd w:id="0"/>
      <w:r>
        <w:rPr>
          <w:rFonts w:ascii="Times New Roman" w:hAnsi="Times New Roman" w:cs="Times New Roman" w:eastAsia="微软雅黑"/>
          <w:sz w:val="28"/>
          <w:szCs w:val="28"/>
        </w:rPr>
        <w:t>〇</w:t>
      </w:r>
      <w:r>
        <w:rPr>
          <w:rFonts w:ascii="Times New Roman" w:hAnsi="Times New Roman" w:cs="Times New Roman" w:eastAsia="仿宋_GB2312"/>
          <w:sz w:val="28"/>
          <w:szCs w:val="28"/>
        </w:rPr>
        <w:t>二一年九月</w:t>
      </w:r>
    </w:p>
    <w:p>
      <w:pPr>
        <w:sectPr>
          <w:type w:val="nextPage"/>
          <w:pgSz w:w="11906" w:h="16838"/>
          <w:pgMar w:left="1800" w:right="1800" w:header="0" w:top="1440" w:footer="0" w:bottom="1440" w:gutter="0"/>
          <w:pgNumType w:start="0" w:fmt="decimal"/>
          <w:formProt w:val="false"/>
          <w:textDirection w:val="lrTb"/>
          <w:docGrid w:type="lines" w:linePitch="312" w:charSpace="43007"/>
        </w:sectPr>
      </w:pPr>
    </w:p>
    <w:sdt>
      <w:sdtPr>
        <w:docPartObj>
          <w:docPartGallery w:val="Table of Contents"/>
          <w:docPartUnique w:val="true"/>
        </w:docPartObj>
      </w:sdtPr>
      <w:sdtContent>
        <w:p>
          <w:pPr>
            <w:pStyle w:val="TOC1"/>
            <w:jc w:val="center"/>
            <w:rPr>
              <w:rFonts w:ascii="Times New Roman" w:hAnsi="Times New Roman" w:eastAsia="仿宋_GB2312" w:cs="Times New Roman"/>
              <w:b/>
              <w:b/>
              <w:bCs/>
              <w:color w:val="auto"/>
              <w:kern w:val="2"/>
              <w:sz w:val="48"/>
              <w:szCs w:val="48"/>
            </w:rPr>
          </w:pPr>
          <w:r>
            <w:rPr>
              <w:rFonts w:ascii="Times New Roman" w:hAnsi="Times New Roman" w:cs="Times New Roman" w:eastAsia="仿宋_GB2312"/>
              <w:b/>
              <w:bCs/>
              <w:color w:val="auto"/>
              <w:kern w:val="2"/>
              <w:sz w:val="48"/>
              <w:szCs w:val="48"/>
            </w:rPr>
            <w:t>目  录</w:t>
          </w:r>
        </w:p>
        <w:p>
          <w:pPr>
            <w:pStyle w:val="11"/>
            <w:spacing w:lineRule="exact" w:line="560"/>
            <w:rPr>
              <w:rFonts w:ascii="等线" w:hAnsi="等线" w:eastAsia="等线" w:cs="" w:asciiTheme="minorHAnsi" w:cstheme="minorBidi" w:eastAsiaTheme="minorEastAsia" w:hAnsiTheme="minorHAnsi"/>
              <w:b w:val="false"/>
              <w:b w:val="false"/>
              <w:bCs w:val="false"/>
              <w:sz w:val="21"/>
              <w:szCs w:val="22"/>
            </w:rPr>
          </w:pPr>
          <w:r>
            <w:fldChar w:fldCharType="begin"/>
          </w:r>
          <w:r>
            <w:rPr>
              <w:webHidden/>
              <w:rFonts w:eastAsia="仿宋_GB2312"/>
            </w:rPr>
            <w:instrText> TOC \z \o "1-3" \u \h</w:instrText>
          </w:r>
          <w:r>
            <w:rPr>
              <w:webHidden/>
              <w:rFonts w:eastAsia="仿宋_GB2312"/>
            </w:rPr>
            <w:fldChar w:fldCharType="separate"/>
          </w:r>
          <w:hyperlink w:anchor="_Toc82074829">
            <w:r>
              <w:rPr>
                <w:webHidden/>
                <w:rFonts w:eastAsia="仿宋_GB2312"/>
              </w:rPr>
              <w:t xml:space="preserve">第一章  </w:t>
            </w:r>
            <w:r>
              <w:rPr>
                <w:rFonts w:eastAsia="仿宋_GB2312"/>
                <w:kern w:val="0"/>
              </w:rPr>
              <w:t>“十三五”发展回顾</w:t>
            </w:r>
            <w:r>
              <w:rPr>
                <w:webHidden/>
              </w:rPr>
              <w:fldChar w:fldCharType="begin"/>
            </w:r>
            <w:r>
              <w:rPr>
                <w:webHidden/>
              </w:rPr>
              <w:instrText>PAGEREF _Toc82074829 \h</w:instrText>
            </w:r>
            <w:r>
              <w:rPr>
                <w:webHidden/>
              </w:rPr>
              <w:fldChar w:fldCharType="separate"/>
            </w:r>
            <w:r>
              <w:rPr>
                <w:vanish w:val="false"/>
              </w:rPr>
              <w:tab/>
              <w:t>- 1 -</w:t>
            </w:r>
            <w:r>
              <w:rPr>
                <w:webHidden/>
              </w:rPr>
              <w:fldChar w:fldCharType="end"/>
            </w:r>
          </w:hyperlink>
        </w:p>
        <w:p>
          <w:pPr>
            <w:pStyle w:val="21"/>
            <w:spacing w:lineRule="exact" w:line="560"/>
            <w:ind w:leftChars="200" w:left="420"/>
            <w:rPr>
              <w:rFonts w:ascii="等线" w:hAnsi="等线" w:eastAsia="等线" w:cs="" w:asciiTheme="minorHAnsi" w:cstheme="minorBidi" w:eastAsiaTheme="minorEastAsia" w:hAnsiTheme="minorHAnsi"/>
              <w:b w:val="false"/>
              <w:b w:val="false"/>
              <w:bCs w:val="false"/>
              <w:sz w:val="21"/>
              <w:szCs w:val="22"/>
            </w:rPr>
          </w:pPr>
          <w:hyperlink w:anchor="_Toc82074830">
            <w:r>
              <w:rPr>
                <w:webHidden/>
                <w:rFonts w:eastAsia="仿宋_GB2312"/>
                <w:kern w:val="0"/>
              </w:rPr>
              <w:t>第一节  发展成就</w:t>
            </w:r>
            <w:r>
              <w:rPr>
                <w:webHidden/>
              </w:rPr>
              <w:fldChar w:fldCharType="begin"/>
            </w:r>
            <w:r>
              <w:rPr>
                <w:webHidden/>
              </w:rPr>
              <w:instrText>PAGEREF _Toc82074830 \h</w:instrText>
            </w:r>
            <w:r>
              <w:rPr>
                <w:webHidden/>
              </w:rPr>
              <w:fldChar w:fldCharType="separate"/>
            </w:r>
            <w:r>
              <w:rPr>
                <w:vanish w:val="false"/>
              </w:rPr>
              <w:tab/>
              <w:t>- 1 -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31">
            <w:r>
              <w:rPr>
                <w:webHidden/>
                <w:rFonts w:eastAsia="仿宋_GB2312"/>
              </w:rPr>
              <w:t>一、招商引资成效显著</w:t>
            </w:r>
            <w:r>
              <w:rPr>
                <w:webHidden/>
              </w:rPr>
              <w:fldChar w:fldCharType="begin"/>
            </w:r>
            <w:r>
              <w:rPr>
                <w:webHidden/>
              </w:rPr>
              <w:instrText>PAGEREF _Toc82074831 \h</w:instrText>
            </w:r>
            <w:r>
              <w:rPr>
                <w:webHidden/>
              </w:rPr>
              <w:fldChar w:fldCharType="separate"/>
            </w:r>
            <w:r>
              <w:rPr>
                <w:vanish w:val="false"/>
              </w:rPr>
              <w:tab/>
              <w:t>- 2 -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32">
            <w:r>
              <w:rPr>
                <w:webHidden/>
                <w:rFonts w:eastAsia="仿宋_GB2312"/>
              </w:rPr>
              <w:t>二、市场建设日趋完善</w:t>
            </w:r>
            <w:r>
              <w:rPr>
                <w:webHidden/>
              </w:rPr>
              <w:fldChar w:fldCharType="begin"/>
            </w:r>
            <w:r>
              <w:rPr>
                <w:webHidden/>
              </w:rPr>
              <w:instrText>PAGEREF _Toc82074832 \h</w:instrText>
            </w:r>
            <w:r>
              <w:rPr>
                <w:webHidden/>
              </w:rPr>
              <w:fldChar w:fldCharType="separate"/>
            </w:r>
            <w:r>
              <w:rPr>
                <w:vanish w:val="false"/>
              </w:rPr>
              <w:tab/>
              <w:t>- 3 -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33">
            <w:r>
              <w:rPr>
                <w:webHidden/>
                <w:rFonts w:eastAsia="仿宋_GB2312"/>
              </w:rPr>
              <w:t>三、内贸流通持续繁荣</w:t>
            </w:r>
            <w:r>
              <w:rPr>
                <w:webHidden/>
              </w:rPr>
              <w:fldChar w:fldCharType="begin"/>
            </w:r>
            <w:r>
              <w:rPr>
                <w:webHidden/>
              </w:rPr>
              <w:instrText>PAGEREF _Toc82074833 \h</w:instrText>
            </w:r>
            <w:r>
              <w:rPr>
                <w:webHidden/>
              </w:rPr>
              <w:fldChar w:fldCharType="separate"/>
            </w:r>
            <w:r>
              <w:rPr>
                <w:vanish w:val="false"/>
              </w:rPr>
              <w:tab/>
              <w:t>- 3 -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34">
            <w:r>
              <w:rPr>
                <w:webHidden/>
                <w:rFonts w:eastAsia="仿宋_GB2312"/>
              </w:rPr>
              <w:t>四、外经外贸快速发展</w:t>
            </w:r>
            <w:r>
              <w:rPr>
                <w:webHidden/>
              </w:rPr>
              <w:fldChar w:fldCharType="begin"/>
            </w:r>
            <w:r>
              <w:rPr>
                <w:webHidden/>
              </w:rPr>
              <w:instrText>PAGEREF _Toc82074834 \h</w:instrText>
            </w:r>
            <w:r>
              <w:rPr>
                <w:webHidden/>
              </w:rPr>
              <w:fldChar w:fldCharType="separate"/>
            </w:r>
            <w:r>
              <w:rPr>
                <w:vanish w:val="false"/>
              </w:rPr>
              <w:tab/>
              <w:t>- 4 -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35">
            <w:r>
              <w:rPr>
                <w:webHidden/>
                <w:rFonts w:eastAsia="仿宋_GB2312"/>
              </w:rPr>
              <w:t>五、电子商务来势强劲</w:t>
            </w:r>
            <w:r>
              <w:rPr>
                <w:webHidden/>
              </w:rPr>
              <w:fldChar w:fldCharType="begin"/>
            </w:r>
            <w:r>
              <w:rPr>
                <w:webHidden/>
              </w:rPr>
              <w:instrText>PAGEREF _Toc82074835 \h</w:instrText>
            </w:r>
            <w:r>
              <w:rPr>
                <w:webHidden/>
              </w:rPr>
              <w:fldChar w:fldCharType="separate"/>
            </w:r>
            <w:r>
              <w:rPr>
                <w:vanish w:val="false"/>
              </w:rPr>
              <w:tab/>
              <w:t>- 4 -</w:t>
            </w:r>
            <w:r>
              <w:rPr>
                <w:webHidden/>
              </w:rPr>
              <w:fldChar w:fldCharType="end"/>
            </w:r>
          </w:hyperlink>
        </w:p>
        <w:p>
          <w:pPr>
            <w:pStyle w:val="21"/>
            <w:spacing w:lineRule="exact" w:line="560"/>
            <w:ind w:leftChars="200" w:left="420"/>
            <w:rPr>
              <w:rFonts w:ascii="等线" w:hAnsi="等线" w:eastAsia="等线" w:cs="" w:asciiTheme="minorHAnsi" w:cstheme="minorBidi" w:eastAsiaTheme="minorEastAsia" w:hAnsiTheme="minorHAnsi"/>
              <w:b w:val="false"/>
              <w:b w:val="false"/>
              <w:bCs w:val="false"/>
              <w:sz w:val="21"/>
              <w:szCs w:val="22"/>
            </w:rPr>
          </w:pPr>
          <w:hyperlink w:anchor="_Toc82074836">
            <w:r>
              <w:rPr>
                <w:webHidden/>
                <w:rFonts w:eastAsia="仿宋_GB2312"/>
                <w:kern w:val="0"/>
              </w:rPr>
              <w:t>第二节  发展优势</w:t>
            </w:r>
            <w:r>
              <w:rPr>
                <w:webHidden/>
              </w:rPr>
              <w:fldChar w:fldCharType="begin"/>
            </w:r>
            <w:r>
              <w:rPr>
                <w:webHidden/>
              </w:rPr>
              <w:instrText>PAGEREF _Toc82074836 \h</w:instrText>
            </w:r>
            <w:r>
              <w:rPr>
                <w:webHidden/>
              </w:rPr>
              <w:fldChar w:fldCharType="separate"/>
            </w:r>
            <w:r>
              <w:rPr>
                <w:vanish w:val="false"/>
              </w:rPr>
              <w:tab/>
              <w:t>- 5 -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37">
            <w:r>
              <w:rPr>
                <w:webHidden/>
                <w:rFonts w:eastAsia="仿宋_GB2312"/>
              </w:rPr>
              <w:t>一、地域优势</w:t>
            </w:r>
            <w:r>
              <w:rPr>
                <w:webHidden/>
              </w:rPr>
              <w:fldChar w:fldCharType="begin"/>
            </w:r>
            <w:r>
              <w:rPr>
                <w:webHidden/>
              </w:rPr>
              <w:instrText>PAGEREF _Toc82074837 \h</w:instrText>
            </w:r>
            <w:r>
              <w:rPr>
                <w:webHidden/>
              </w:rPr>
              <w:fldChar w:fldCharType="separate"/>
            </w:r>
            <w:r>
              <w:rPr>
                <w:vanish w:val="false"/>
              </w:rPr>
              <w:tab/>
              <w:t>- 5 -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38">
            <w:r>
              <w:rPr>
                <w:webHidden/>
                <w:rFonts w:eastAsia="仿宋_GB2312"/>
              </w:rPr>
              <w:t>二、政策优势</w:t>
            </w:r>
            <w:r>
              <w:rPr>
                <w:webHidden/>
              </w:rPr>
              <w:fldChar w:fldCharType="begin"/>
            </w:r>
            <w:r>
              <w:rPr>
                <w:webHidden/>
              </w:rPr>
              <w:instrText>PAGEREF _Toc82074838 \h</w:instrText>
            </w:r>
            <w:r>
              <w:rPr>
                <w:webHidden/>
              </w:rPr>
              <w:fldChar w:fldCharType="separate"/>
            </w:r>
            <w:r>
              <w:rPr>
                <w:vanish w:val="false"/>
              </w:rPr>
              <w:tab/>
              <w:t>- 6 -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39">
            <w:r>
              <w:rPr>
                <w:webHidden/>
                <w:rFonts w:eastAsia="仿宋_GB2312"/>
              </w:rPr>
              <w:t>三、业态优势</w:t>
            </w:r>
            <w:r>
              <w:rPr>
                <w:webHidden/>
              </w:rPr>
              <w:fldChar w:fldCharType="begin"/>
            </w:r>
            <w:r>
              <w:rPr>
                <w:webHidden/>
              </w:rPr>
              <w:instrText>PAGEREF _Toc82074839 \h</w:instrText>
            </w:r>
            <w:r>
              <w:rPr>
                <w:webHidden/>
              </w:rPr>
              <w:fldChar w:fldCharType="separate"/>
            </w:r>
            <w:r>
              <w:rPr>
                <w:vanish w:val="false"/>
              </w:rPr>
              <w:tab/>
              <w:t>- 6 -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40">
            <w:r>
              <w:rPr>
                <w:webHidden/>
                <w:rFonts w:eastAsia="仿宋_GB2312"/>
              </w:rPr>
              <w:t>四、消费旺盛优势</w:t>
            </w:r>
            <w:r>
              <w:rPr>
                <w:webHidden/>
              </w:rPr>
              <w:fldChar w:fldCharType="begin"/>
            </w:r>
            <w:r>
              <w:rPr>
                <w:webHidden/>
              </w:rPr>
              <w:instrText>PAGEREF _Toc82074840 \h</w:instrText>
            </w:r>
            <w:r>
              <w:rPr>
                <w:webHidden/>
              </w:rPr>
              <w:fldChar w:fldCharType="separate"/>
            </w:r>
            <w:r>
              <w:rPr>
                <w:vanish w:val="false"/>
              </w:rPr>
              <w:tab/>
              <w:t>- 7 -</w:t>
            </w:r>
            <w:r>
              <w:rPr>
                <w:webHidden/>
              </w:rPr>
              <w:fldChar w:fldCharType="end"/>
            </w:r>
          </w:hyperlink>
        </w:p>
        <w:p>
          <w:pPr>
            <w:pStyle w:val="21"/>
            <w:spacing w:lineRule="exact" w:line="560"/>
            <w:ind w:leftChars="200" w:left="420"/>
            <w:rPr>
              <w:rFonts w:ascii="等线" w:hAnsi="等线" w:eastAsia="等线" w:cs="" w:asciiTheme="minorHAnsi" w:cstheme="minorBidi" w:eastAsiaTheme="minorEastAsia" w:hAnsiTheme="minorHAnsi"/>
              <w:b w:val="false"/>
              <w:b w:val="false"/>
              <w:bCs w:val="false"/>
              <w:sz w:val="21"/>
              <w:szCs w:val="22"/>
            </w:rPr>
          </w:pPr>
          <w:hyperlink w:anchor="_Toc82074841">
            <w:r>
              <w:rPr>
                <w:webHidden/>
                <w:rFonts w:eastAsia="仿宋_GB2312"/>
                <w:kern w:val="0"/>
              </w:rPr>
              <w:t>第三节  存在问题</w:t>
            </w:r>
            <w:r>
              <w:rPr>
                <w:webHidden/>
              </w:rPr>
              <w:fldChar w:fldCharType="begin"/>
            </w:r>
            <w:r>
              <w:rPr>
                <w:webHidden/>
              </w:rPr>
              <w:instrText>PAGEREF _Toc82074841 \h</w:instrText>
            </w:r>
            <w:r>
              <w:rPr>
                <w:webHidden/>
              </w:rPr>
              <w:fldChar w:fldCharType="separate"/>
            </w:r>
            <w:r>
              <w:rPr>
                <w:vanish w:val="false"/>
              </w:rPr>
              <w:tab/>
              <w:t>- 7 -</w:t>
            </w:r>
            <w:r>
              <w:rPr>
                <w:webHidden/>
              </w:rPr>
              <w:fldChar w:fldCharType="end"/>
            </w:r>
          </w:hyperlink>
        </w:p>
        <w:p>
          <w:pPr>
            <w:pStyle w:val="11"/>
            <w:spacing w:lineRule="exact" w:line="560"/>
            <w:rPr>
              <w:rFonts w:ascii="等线" w:hAnsi="等线" w:eastAsia="等线" w:cs="" w:asciiTheme="minorHAnsi" w:cstheme="minorBidi" w:eastAsiaTheme="minorEastAsia" w:hAnsiTheme="minorHAnsi"/>
              <w:b w:val="false"/>
              <w:b w:val="false"/>
              <w:bCs w:val="false"/>
              <w:sz w:val="21"/>
              <w:szCs w:val="22"/>
            </w:rPr>
          </w:pPr>
          <w:hyperlink w:anchor="_Toc82074842">
            <w:r>
              <w:rPr>
                <w:webHidden/>
                <w:rFonts w:eastAsia="仿宋_GB2312"/>
                <w:kern w:val="0"/>
              </w:rPr>
              <w:t>第二章  “十四五”发展环境</w:t>
            </w:r>
            <w:r>
              <w:rPr>
                <w:webHidden/>
              </w:rPr>
              <w:fldChar w:fldCharType="begin"/>
            </w:r>
            <w:r>
              <w:rPr>
                <w:webHidden/>
              </w:rPr>
              <w:instrText>PAGEREF _Toc82074842 \h</w:instrText>
            </w:r>
            <w:r>
              <w:rPr>
                <w:webHidden/>
              </w:rPr>
              <w:fldChar w:fldCharType="separate"/>
            </w:r>
            <w:r>
              <w:rPr>
                <w:vanish w:val="false"/>
              </w:rPr>
              <w:tab/>
              <w:t>- 9 -</w:t>
            </w:r>
            <w:r>
              <w:rPr>
                <w:webHidden/>
              </w:rPr>
              <w:fldChar w:fldCharType="end"/>
            </w:r>
          </w:hyperlink>
        </w:p>
        <w:p>
          <w:pPr>
            <w:pStyle w:val="11"/>
            <w:spacing w:lineRule="exact" w:line="560"/>
            <w:rPr>
              <w:rFonts w:ascii="等线" w:hAnsi="等线" w:eastAsia="等线" w:cs="" w:asciiTheme="minorHAnsi" w:cstheme="minorBidi" w:eastAsiaTheme="minorEastAsia" w:hAnsiTheme="minorHAnsi"/>
              <w:b w:val="false"/>
              <w:b w:val="false"/>
              <w:bCs w:val="false"/>
              <w:sz w:val="21"/>
              <w:szCs w:val="22"/>
            </w:rPr>
          </w:pPr>
          <w:hyperlink w:anchor="_Toc82074843">
            <w:r>
              <w:rPr>
                <w:webHidden/>
                <w:rFonts w:eastAsia="仿宋_GB2312"/>
                <w:kern w:val="0"/>
              </w:rPr>
              <w:t>第三章  “十四五”总体要求</w:t>
            </w:r>
            <w:r>
              <w:rPr>
                <w:webHidden/>
              </w:rPr>
              <w:fldChar w:fldCharType="begin"/>
            </w:r>
            <w:r>
              <w:rPr>
                <w:webHidden/>
              </w:rPr>
              <w:instrText>PAGEREF _Toc82074843 \h</w:instrText>
            </w:r>
            <w:r>
              <w:rPr>
                <w:webHidden/>
              </w:rPr>
              <w:fldChar w:fldCharType="separate"/>
            </w:r>
            <w:r>
              <w:rPr>
                <w:vanish w:val="false"/>
              </w:rPr>
              <w:tab/>
              <w:t>- 12 -</w:t>
            </w:r>
            <w:r>
              <w:rPr>
                <w:webHidden/>
              </w:rPr>
              <w:fldChar w:fldCharType="end"/>
            </w:r>
          </w:hyperlink>
        </w:p>
        <w:p>
          <w:pPr>
            <w:pStyle w:val="21"/>
            <w:spacing w:lineRule="exact" w:line="560"/>
            <w:ind w:leftChars="200" w:left="420"/>
            <w:rPr>
              <w:rFonts w:ascii="等线" w:hAnsi="等线" w:eastAsia="等线" w:cs="" w:asciiTheme="minorHAnsi" w:cstheme="minorBidi" w:eastAsiaTheme="minorEastAsia" w:hAnsiTheme="minorHAnsi"/>
              <w:b w:val="false"/>
              <w:b w:val="false"/>
              <w:bCs w:val="false"/>
              <w:sz w:val="21"/>
              <w:szCs w:val="22"/>
            </w:rPr>
          </w:pPr>
          <w:hyperlink w:anchor="_Toc82074844">
            <w:r>
              <w:rPr>
                <w:webHidden/>
                <w:rFonts w:eastAsia="仿宋_GB2312"/>
                <w:kern w:val="0"/>
              </w:rPr>
              <w:t>第一节  指导思想</w:t>
            </w:r>
            <w:r>
              <w:rPr>
                <w:webHidden/>
              </w:rPr>
              <w:fldChar w:fldCharType="begin"/>
            </w:r>
            <w:r>
              <w:rPr>
                <w:webHidden/>
              </w:rPr>
              <w:instrText>PAGEREF _Toc82074844 \h</w:instrText>
            </w:r>
            <w:r>
              <w:rPr>
                <w:webHidden/>
              </w:rPr>
              <w:fldChar w:fldCharType="separate"/>
            </w:r>
            <w:r>
              <w:rPr>
                <w:vanish w:val="false"/>
              </w:rPr>
              <w:tab/>
              <w:t>- 12 -</w:t>
            </w:r>
            <w:r>
              <w:rPr>
                <w:webHidden/>
              </w:rPr>
              <w:fldChar w:fldCharType="end"/>
            </w:r>
          </w:hyperlink>
        </w:p>
        <w:p>
          <w:pPr>
            <w:pStyle w:val="21"/>
            <w:spacing w:lineRule="exact" w:line="560"/>
            <w:ind w:leftChars="200" w:left="420"/>
            <w:rPr>
              <w:rFonts w:ascii="等线" w:hAnsi="等线" w:eastAsia="等线" w:cs="" w:asciiTheme="minorHAnsi" w:cstheme="minorBidi" w:eastAsiaTheme="minorEastAsia" w:hAnsiTheme="minorHAnsi"/>
              <w:b w:val="false"/>
              <w:b w:val="false"/>
              <w:bCs w:val="false"/>
              <w:sz w:val="21"/>
              <w:szCs w:val="22"/>
            </w:rPr>
          </w:pPr>
          <w:hyperlink w:anchor="_Toc82074845">
            <w:r>
              <w:rPr>
                <w:webHidden/>
                <w:rFonts w:eastAsia="仿宋_GB2312"/>
                <w:kern w:val="0"/>
              </w:rPr>
              <w:t>第二节  基本原则</w:t>
            </w:r>
            <w:r>
              <w:rPr>
                <w:webHidden/>
              </w:rPr>
              <w:fldChar w:fldCharType="begin"/>
            </w:r>
            <w:r>
              <w:rPr>
                <w:webHidden/>
              </w:rPr>
              <w:instrText>PAGEREF _Toc82074845 \h</w:instrText>
            </w:r>
            <w:r>
              <w:rPr>
                <w:webHidden/>
              </w:rPr>
              <w:fldChar w:fldCharType="separate"/>
            </w:r>
            <w:r>
              <w:rPr>
                <w:vanish w:val="false"/>
              </w:rPr>
              <w:tab/>
              <w:t>- 13 -</w:t>
            </w:r>
            <w:r>
              <w:rPr>
                <w:webHidden/>
              </w:rPr>
              <w:fldChar w:fldCharType="end"/>
            </w:r>
          </w:hyperlink>
        </w:p>
        <w:p>
          <w:pPr>
            <w:pStyle w:val="21"/>
            <w:spacing w:lineRule="exact" w:line="560"/>
            <w:ind w:leftChars="200" w:left="420"/>
            <w:rPr>
              <w:rFonts w:ascii="等线" w:hAnsi="等线" w:eastAsia="等线" w:cs="" w:asciiTheme="minorHAnsi" w:cstheme="minorBidi" w:eastAsiaTheme="minorEastAsia" w:hAnsiTheme="minorHAnsi"/>
              <w:b w:val="false"/>
              <w:b w:val="false"/>
              <w:bCs w:val="false"/>
              <w:sz w:val="21"/>
              <w:szCs w:val="22"/>
            </w:rPr>
          </w:pPr>
          <w:hyperlink w:anchor="_Toc82074846">
            <w:r>
              <w:rPr>
                <w:webHidden/>
                <w:rFonts w:eastAsia="仿宋_GB2312"/>
                <w:kern w:val="0"/>
              </w:rPr>
              <w:t>第三节  奋斗目标</w:t>
            </w:r>
            <w:r>
              <w:rPr>
                <w:webHidden/>
              </w:rPr>
              <w:fldChar w:fldCharType="begin"/>
            </w:r>
            <w:r>
              <w:rPr>
                <w:webHidden/>
              </w:rPr>
              <w:instrText>PAGEREF _Toc82074846 \h</w:instrText>
            </w:r>
            <w:r>
              <w:rPr>
                <w:webHidden/>
              </w:rPr>
              <w:fldChar w:fldCharType="separate"/>
            </w:r>
            <w:r>
              <w:rPr>
                <w:vanish w:val="false"/>
              </w:rPr>
              <w:tab/>
              <w:t>- 14 -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47">
            <w:r>
              <w:rPr>
                <w:webHidden/>
                <w:rFonts w:eastAsia="仿宋_GB2312"/>
              </w:rPr>
              <w:t>一、总体目标</w:t>
            </w:r>
            <w:r>
              <w:rPr>
                <w:webHidden/>
              </w:rPr>
              <w:fldChar w:fldCharType="begin"/>
            </w:r>
            <w:r>
              <w:rPr>
                <w:webHidden/>
              </w:rPr>
              <w:instrText>PAGEREF _Toc82074847 \h</w:instrText>
            </w:r>
            <w:r>
              <w:rPr>
                <w:webHidden/>
              </w:rPr>
              <w:fldChar w:fldCharType="separate"/>
            </w:r>
            <w:r>
              <w:rPr>
                <w:vanish w:val="false"/>
              </w:rPr>
              <w:tab/>
              <w:t>- 14 -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48">
            <w:r>
              <w:rPr>
                <w:webHidden/>
                <w:rFonts w:eastAsia="仿宋_GB2312"/>
              </w:rPr>
              <w:t>二、具体指标</w:t>
            </w:r>
            <w:r>
              <w:rPr>
                <w:webHidden/>
              </w:rPr>
              <w:fldChar w:fldCharType="begin"/>
            </w:r>
            <w:r>
              <w:rPr>
                <w:webHidden/>
              </w:rPr>
              <w:instrText>PAGEREF _Toc82074848 \h</w:instrText>
            </w:r>
            <w:r>
              <w:rPr>
                <w:webHidden/>
              </w:rPr>
              <w:fldChar w:fldCharType="separate"/>
            </w:r>
            <w:r>
              <w:rPr>
                <w:vanish w:val="false"/>
              </w:rPr>
              <w:tab/>
              <w:t>- 15 -</w:t>
            </w:r>
            <w:r>
              <w:rPr>
                <w:webHidden/>
              </w:rPr>
              <w:fldChar w:fldCharType="end"/>
            </w:r>
          </w:hyperlink>
        </w:p>
        <w:p>
          <w:pPr>
            <w:pStyle w:val="11"/>
            <w:spacing w:lineRule="exact" w:line="560"/>
            <w:rPr>
              <w:rFonts w:ascii="等线" w:hAnsi="等线" w:eastAsia="等线" w:cs="" w:asciiTheme="minorHAnsi" w:cstheme="minorBidi" w:eastAsiaTheme="minorEastAsia" w:hAnsiTheme="minorHAnsi"/>
              <w:b w:val="false"/>
              <w:b w:val="false"/>
              <w:bCs w:val="false"/>
              <w:sz w:val="21"/>
              <w:szCs w:val="22"/>
            </w:rPr>
          </w:pPr>
          <w:hyperlink w:anchor="_Toc82074849">
            <w:r>
              <w:rPr>
                <w:webHidden/>
                <w:rFonts w:eastAsia="仿宋_GB2312"/>
                <w:kern w:val="0"/>
              </w:rPr>
              <w:t>第四章  “十四五”时期重点任务</w:t>
            </w:r>
            <w:r>
              <w:rPr>
                <w:webHidden/>
              </w:rPr>
              <w:fldChar w:fldCharType="begin"/>
            </w:r>
            <w:r>
              <w:rPr>
                <w:webHidden/>
              </w:rPr>
              <w:instrText>PAGEREF _Toc82074849 \h</w:instrText>
            </w:r>
            <w:r>
              <w:rPr>
                <w:webHidden/>
              </w:rPr>
              <w:fldChar w:fldCharType="separate"/>
            </w:r>
            <w:r>
              <w:rPr>
                <w:vanish w:val="false"/>
              </w:rPr>
              <w:tab/>
              <w:t>- 18 -</w:t>
            </w:r>
            <w:r>
              <w:rPr>
                <w:webHidden/>
              </w:rPr>
              <w:fldChar w:fldCharType="end"/>
            </w:r>
          </w:hyperlink>
        </w:p>
        <w:p>
          <w:pPr>
            <w:pStyle w:val="21"/>
            <w:spacing w:lineRule="exact" w:line="560"/>
            <w:ind w:leftChars="200" w:left="420"/>
            <w:rPr>
              <w:rFonts w:ascii="等线" w:hAnsi="等线" w:eastAsia="等线" w:cs="" w:asciiTheme="minorHAnsi" w:cstheme="minorBidi" w:eastAsiaTheme="minorEastAsia" w:hAnsiTheme="minorHAnsi"/>
              <w:b w:val="false"/>
              <w:b w:val="false"/>
              <w:bCs w:val="false"/>
              <w:sz w:val="21"/>
              <w:szCs w:val="22"/>
            </w:rPr>
          </w:pPr>
          <w:hyperlink w:anchor="_Toc82074850">
            <w:r>
              <w:rPr>
                <w:webHidden/>
                <w:rFonts w:eastAsia="仿宋_GB2312"/>
                <w:kern w:val="0"/>
              </w:rPr>
              <w:t>第一节  围绕四大愿景目标，做好招商引资工作</w:t>
            </w:r>
            <w:r>
              <w:rPr>
                <w:webHidden/>
              </w:rPr>
              <w:fldChar w:fldCharType="begin"/>
            </w:r>
            <w:r>
              <w:rPr>
                <w:webHidden/>
              </w:rPr>
              <w:instrText>PAGEREF _Toc82074850 \h</w:instrText>
            </w:r>
            <w:r>
              <w:rPr>
                <w:webHidden/>
              </w:rPr>
              <w:fldChar w:fldCharType="separate"/>
            </w:r>
            <w:r>
              <w:rPr>
                <w:vanish w:val="false"/>
              </w:rPr>
              <w:tab/>
              <w:t>- 18 -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51">
            <w:r>
              <w:rPr>
                <w:webHidden/>
                <w:rFonts w:eastAsia="仿宋_GB2312"/>
              </w:rPr>
              <w:t>一、着力创新招商引资方法</w:t>
            </w:r>
            <w:r>
              <w:rPr>
                <w:webHidden/>
              </w:rPr>
              <w:fldChar w:fldCharType="begin"/>
            </w:r>
            <w:r>
              <w:rPr>
                <w:webHidden/>
              </w:rPr>
              <w:instrText>PAGEREF _Toc82074851 \h</w:instrText>
            </w:r>
            <w:r>
              <w:rPr>
                <w:webHidden/>
              </w:rPr>
              <w:fldChar w:fldCharType="separate"/>
            </w:r>
            <w:r>
              <w:rPr>
                <w:vanish w:val="false"/>
              </w:rPr>
              <w:tab/>
              <w:t>- 18 -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52">
            <w:r>
              <w:rPr>
                <w:webHidden/>
                <w:rFonts w:eastAsia="仿宋_GB2312"/>
              </w:rPr>
              <w:t>二、着力健全招商引资机制</w:t>
            </w:r>
            <w:r>
              <w:rPr>
                <w:webHidden/>
              </w:rPr>
              <w:fldChar w:fldCharType="begin"/>
            </w:r>
            <w:r>
              <w:rPr>
                <w:webHidden/>
              </w:rPr>
              <w:instrText>PAGEREF _Toc82074852 \h</w:instrText>
            </w:r>
            <w:r>
              <w:rPr>
                <w:webHidden/>
              </w:rPr>
              <w:fldChar w:fldCharType="separate"/>
            </w:r>
            <w:r>
              <w:rPr>
                <w:vanish w:val="false"/>
              </w:rPr>
              <w:tab/>
              <w:t>- 18 -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53">
            <w:r>
              <w:rPr>
                <w:webHidden/>
                <w:rFonts w:eastAsia="仿宋_GB2312"/>
              </w:rPr>
              <w:t>三、着力规范招商引资程序</w:t>
            </w:r>
            <w:r>
              <w:rPr>
                <w:webHidden/>
              </w:rPr>
              <w:fldChar w:fldCharType="begin"/>
            </w:r>
            <w:r>
              <w:rPr>
                <w:webHidden/>
              </w:rPr>
              <w:instrText>PAGEREF _Toc82074853 \h</w:instrText>
            </w:r>
            <w:r>
              <w:rPr>
                <w:webHidden/>
              </w:rPr>
              <w:fldChar w:fldCharType="separate"/>
            </w:r>
            <w:r>
              <w:rPr>
                <w:vanish w:val="false"/>
              </w:rPr>
              <w:tab/>
              <w:t>- 19 -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54">
            <w:r>
              <w:rPr>
                <w:webHidden/>
                <w:rFonts w:eastAsia="仿宋_GB2312"/>
              </w:rPr>
              <w:t>四、着力保障招商引资要素</w:t>
            </w:r>
            <w:r>
              <w:rPr>
                <w:webHidden/>
              </w:rPr>
              <w:fldChar w:fldCharType="begin"/>
            </w:r>
            <w:r>
              <w:rPr>
                <w:webHidden/>
              </w:rPr>
              <w:instrText>PAGEREF _Toc82074854 \h</w:instrText>
            </w:r>
            <w:r>
              <w:rPr>
                <w:webHidden/>
              </w:rPr>
              <w:fldChar w:fldCharType="separate"/>
            </w:r>
            <w:r>
              <w:rPr>
                <w:vanish w:val="false"/>
              </w:rPr>
              <w:tab/>
              <w:t>- 19 -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55">
            <w:r>
              <w:rPr>
                <w:webHidden/>
                <w:rFonts w:eastAsia="仿宋_GB2312"/>
              </w:rPr>
              <w:t>五、着力拓宽招商引资视野</w:t>
            </w:r>
            <w:r>
              <w:rPr>
                <w:webHidden/>
              </w:rPr>
              <w:fldChar w:fldCharType="begin"/>
            </w:r>
            <w:r>
              <w:rPr>
                <w:webHidden/>
              </w:rPr>
              <w:instrText>PAGEREF _Toc82074855 \h</w:instrText>
            </w:r>
            <w:r>
              <w:rPr>
                <w:webHidden/>
              </w:rPr>
              <w:fldChar w:fldCharType="separate"/>
            </w:r>
            <w:r>
              <w:rPr>
                <w:vanish w:val="false"/>
              </w:rPr>
              <w:tab/>
              <w:t>- 20 -</w:t>
            </w:r>
            <w:r>
              <w:rPr>
                <w:webHidden/>
              </w:rPr>
              <w:fldChar w:fldCharType="end"/>
            </w:r>
          </w:hyperlink>
        </w:p>
        <w:p>
          <w:pPr>
            <w:pStyle w:val="21"/>
            <w:spacing w:lineRule="exact" w:line="560"/>
            <w:ind w:leftChars="200" w:left="420"/>
            <w:rPr>
              <w:rFonts w:ascii="等线" w:hAnsi="等线" w:eastAsia="等线" w:cs="" w:asciiTheme="minorHAnsi" w:cstheme="minorBidi" w:eastAsiaTheme="minorEastAsia" w:hAnsiTheme="minorHAnsi"/>
              <w:b w:val="false"/>
              <w:b w:val="false"/>
              <w:bCs w:val="false"/>
              <w:sz w:val="21"/>
              <w:szCs w:val="22"/>
            </w:rPr>
          </w:pPr>
          <w:hyperlink w:anchor="_Toc82074856">
            <w:r>
              <w:rPr>
                <w:webHidden/>
                <w:rFonts w:eastAsia="仿宋_GB2312"/>
                <w:kern w:val="0"/>
              </w:rPr>
              <w:t>第二节  适应消费升级要求，促进城乡市场建设</w:t>
            </w:r>
            <w:r>
              <w:rPr>
                <w:webHidden/>
              </w:rPr>
              <w:fldChar w:fldCharType="begin"/>
            </w:r>
            <w:r>
              <w:rPr>
                <w:webHidden/>
              </w:rPr>
              <w:instrText>PAGEREF _Toc82074856 \h</w:instrText>
            </w:r>
            <w:r>
              <w:rPr>
                <w:webHidden/>
              </w:rPr>
              <w:fldChar w:fldCharType="separate"/>
            </w:r>
            <w:r>
              <w:rPr>
                <w:vanish w:val="false"/>
              </w:rPr>
              <w:tab/>
              <w:t>- 21 -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57">
            <w:r>
              <w:rPr>
                <w:webHidden/>
                <w:rFonts w:eastAsia="仿宋_GB2312"/>
              </w:rPr>
              <w:t>一、优化消费业态布局</w:t>
            </w:r>
            <w:r>
              <w:rPr>
                <w:webHidden/>
              </w:rPr>
              <w:fldChar w:fldCharType="begin"/>
            </w:r>
            <w:r>
              <w:rPr>
                <w:webHidden/>
              </w:rPr>
              <w:instrText>PAGEREF _Toc82074857 \h</w:instrText>
            </w:r>
            <w:r>
              <w:rPr>
                <w:webHidden/>
              </w:rPr>
              <w:fldChar w:fldCharType="separate"/>
            </w:r>
            <w:r>
              <w:rPr>
                <w:vanish w:val="false"/>
              </w:rPr>
              <w:tab/>
              <w:t>- 21 -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58">
            <w:r>
              <w:rPr>
                <w:webHidden/>
                <w:rFonts w:eastAsia="仿宋_GB2312"/>
              </w:rPr>
              <w:t>二、加快完善城乡市场体系建设</w:t>
            </w:r>
            <w:r>
              <w:rPr>
                <w:webHidden/>
              </w:rPr>
              <w:fldChar w:fldCharType="begin"/>
            </w:r>
            <w:r>
              <w:rPr>
                <w:webHidden/>
              </w:rPr>
              <w:instrText>PAGEREF _Toc82074858 \h</w:instrText>
            </w:r>
            <w:r>
              <w:rPr>
                <w:webHidden/>
              </w:rPr>
              <w:fldChar w:fldCharType="separate"/>
            </w:r>
            <w:r>
              <w:rPr>
                <w:vanish w:val="false"/>
              </w:rPr>
              <w:tab/>
              <w:t>- 21 -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59">
            <w:r>
              <w:rPr>
                <w:webHidden/>
                <w:rFonts w:eastAsia="仿宋_GB2312"/>
              </w:rPr>
              <w:t>三、完善便民社区服务网络</w:t>
            </w:r>
            <w:r>
              <w:rPr>
                <w:webHidden/>
              </w:rPr>
              <w:fldChar w:fldCharType="begin"/>
            </w:r>
            <w:r>
              <w:rPr>
                <w:webHidden/>
              </w:rPr>
              <w:instrText>PAGEREF _Toc82074859 \h</w:instrText>
            </w:r>
            <w:r>
              <w:rPr>
                <w:webHidden/>
              </w:rPr>
              <w:fldChar w:fldCharType="separate"/>
            </w:r>
            <w:r>
              <w:rPr>
                <w:vanish w:val="false"/>
              </w:rPr>
              <w:tab/>
              <w:t>- 27 -</w:t>
            </w:r>
            <w:r>
              <w:rPr>
                <w:webHidden/>
              </w:rPr>
              <w:fldChar w:fldCharType="end"/>
            </w:r>
          </w:hyperlink>
        </w:p>
        <w:p>
          <w:pPr>
            <w:pStyle w:val="21"/>
            <w:spacing w:lineRule="exact" w:line="560"/>
            <w:ind w:leftChars="200" w:left="420"/>
            <w:rPr>
              <w:rFonts w:ascii="等线" w:hAnsi="等线" w:eastAsia="等线" w:cs="" w:asciiTheme="minorHAnsi" w:cstheme="minorBidi" w:eastAsiaTheme="minorEastAsia" w:hAnsiTheme="minorHAnsi"/>
              <w:b w:val="false"/>
              <w:b w:val="false"/>
              <w:bCs w:val="false"/>
              <w:sz w:val="21"/>
              <w:szCs w:val="22"/>
            </w:rPr>
          </w:pPr>
          <w:hyperlink w:anchor="_Toc82074860">
            <w:r>
              <w:rPr>
                <w:webHidden/>
                <w:rFonts w:eastAsia="仿宋_GB2312"/>
                <w:kern w:val="0"/>
              </w:rPr>
              <w:t>第三节  加快发展商贸流通，促进内贸经济发展</w:t>
            </w:r>
            <w:r>
              <w:rPr>
                <w:webHidden/>
              </w:rPr>
              <w:fldChar w:fldCharType="begin"/>
            </w:r>
            <w:r>
              <w:rPr>
                <w:webHidden/>
              </w:rPr>
              <w:instrText>PAGEREF _Toc82074860 \h</w:instrText>
            </w:r>
            <w:r>
              <w:rPr>
                <w:webHidden/>
              </w:rPr>
              <w:fldChar w:fldCharType="separate"/>
            </w:r>
            <w:r>
              <w:rPr>
                <w:vanish w:val="false"/>
              </w:rPr>
              <w:tab/>
              <w:t>- 28 -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61">
            <w:r>
              <w:rPr>
                <w:webHidden/>
                <w:rFonts w:eastAsia="仿宋_GB2312"/>
              </w:rPr>
              <w:t>一、合理规划商贸物流发展布局</w:t>
            </w:r>
            <w:r>
              <w:rPr>
                <w:webHidden/>
              </w:rPr>
              <w:fldChar w:fldCharType="begin"/>
            </w:r>
            <w:r>
              <w:rPr>
                <w:webHidden/>
              </w:rPr>
              <w:instrText>PAGEREF _Toc82074861 \h</w:instrText>
            </w:r>
            <w:r>
              <w:rPr>
                <w:webHidden/>
              </w:rPr>
              <w:fldChar w:fldCharType="separate"/>
            </w:r>
            <w:r>
              <w:rPr>
                <w:vanish w:val="false"/>
              </w:rPr>
              <w:tab/>
              <w:t>- 28 -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62">
            <w:r>
              <w:rPr>
                <w:webHidden/>
                <w:rFonts w:eastAsia="仿宋_GB2312"/>
              </w:rPr>
              <w:t>二、积极培育壮大商贸企业</w:t>
            </w:r>
            <w:r>
              <w:rPr>
                <w:webHidden/>
              </w:rPr>
              <w:fldChar w:fldCharType="begin"/>
            </w:r>
            <w:r>
              <w:rPr>
                <w:webHidden/>
              </w:rPr>
              <w:instrText>PAGEREF _Toc82074862 \h</w:instrText>
            </w:r>
            <w:r>
              <w:rPr>
                <w:webHidden/>
              </w:rPr>
              <w:fldChar w:fldCharType="separate"/>
            </w:r>
            <w:r>
              <w:rPr>
                <w:vanish w:val="false"/>
              </w:rPr>
              <w:tab/>
              <w:t>- 29 -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63">
            <w:r>
              <w:rPr>
                <w:webHidden/>
                <w:rFonts w:eastAsia="仿宋_GB2312"/>
              </w:rPr>
              <w:t>三、打造城乡商贸流通载体</w:t>
            </w:r>
            <w:r>
              <w:rPr>
                <w:webHidden/>
              </w:rPr>
              <w:fldChar w:fldCharType="begin"/>
            </w:r>
            <w:r>
              <w:rPr>
                <w:webHidden/>
              </w:rPr>
              <w:instrText>PAGEREF _Toc82074863 \h</w:instrText>
            </w:r>
            <w:r>
              <w:rPr>
                <w:webHidden/>
              </w:rPr>
              <w:fldChar w:fldCharType="separate"/>
            </w:r>
            <w:r>
              <w:rPr>
                <w:vanish w:val="false"/>
              </w:rPr>
              <w:tab/>
              <w:t>- 29 -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64">
            <w:r>
              <w:rPr>
                <w:webHidden/>
                <w:rFonts w:eastAsia="仿宋_GB2312"/>
              </w:rPr>
              <w:t>四、加快物流园区建设</w:t>
            </w:r>
            <w:r>
              <w:rPr>
                <w:webHidden/>
              </w:rPr>
              <w:fldChar w:fldCharType="begin"/>
            </w:r>
            <w:r>
              <w:rPr>
                <w:webHidden/>
              </w:rPr>
              <w:instrText>PAGEREF _Toc82074864 \h</w:instrText>
            </w:r>
            <w:r>
              <w:rPr>
                <w:webHidden/>
              </w:rPr>
              <w:fldChar w:fldCharType="separate"/>
            </w:r>
            <w:r>
              <w:rPr>
                <w:vanish w:val="false"/>
              </w:rPr>
              <w:tab/>
              <w:t>- 32 -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65">
            <w:r>
              <w:rPr>
                <w:webHidden/>
                <w:rFonts w:eastAsia="仿宋_GB2312"/>
              </w:rPr>
              <w:t>五、不断健全县乡村三级物流配送体系</w:t>
            </w:r>
            <w:r>
              <w:rPr>
                <w:webHidden/>
              </w:rPr>
              <w:fldChar w:fldCharType="begin"/>
            </w:r>
            <w:r>
              <w:rPr>
                <w:webHidden/>
              </w:rPr>
              <w:instrText>PAGEREF _Toc82074865 \h</w:instrText>
            </w:r>
            <w:r>
              <w:rPr>
                <w:webHidden/>
              </w:rPr>
              <w:fldChar w:fldCharType="separate"/>
            </w:r>
            <w:r>
              <w:rPr>
                <w:vanish w:val="false"/>
              </w:rPr>
              <w:tab/>
              <w:t>- 32 -</w:t>
            </w:r>
            <w:r>
              <w:rPr>
                <w:webHidden/>
              </w:rPr>
              <w:fldChar w:fldCharType="end"/>
            </w:r>
          </w:hyperlink>
        </w:p>
        <w:p>
          <w:pPr>
            <w:pStyle w:val="21"/>
            <w:spacing w:lineRule="exact" w:line="560"/>
            <w:ind w:leftChars="200" w:left="420"/>
            <w:rPr>
              <w:rFonts w:ascii="等线" w:hAnsi="等线" w:eastAsia="等线" w:cs="" w:asciiTheme="minorHAnsi" w:cstheme="minorBidi" w:eastAsiaTheme="minorEastAsia" w:hAnsiTheme="minorHAnsi"/>
              <w:b w:val="false"/>
              <w:b w:val="false"/>
              <w:bCs w:val="false"/>
              <w:sz w:val="21"/>
              <w:szCs w:val="22"/>
            </w:rPr>
          </w:pPr>
          <w:hyperlink w:anchor="_Toc82074866">
            <w:r>
              <w:rPr>
                <w:webHidden/>
                <w:rFonts w:eastAsia="仿宋_GB2312"/>
                <w:kern w:val="0"/>
              </w:rPr>
              <w:t>第四节  紧跟国际市场形势，提升外经外贸水平</w:t>
            </w:r>
            <w:r>
              <w:rPr>
                <w:webHidden/>
              </w:rPr>
              <w:fldChar w:fldCharType="begin"/>
            </w:r>
            <w:r>
              <w:rPr>
                <w:webHidden/>
              </w:rPr>
              <w:instrText>PAGEREF _Toc82074866 \h</w:instrText>
            </w:r>
            <w:r>
              <w:rPr>
                <w:webHidden/>
              </w:rPr>
              <w:fldChar w:fldCharType="separate"/>
            </w:r>
            <w:r>
              <w:rPr>
                <w:vanish w:val="false"/>
              </w:rPr>
              <w:tab/>
              <w:t>- 34 -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67">
            <w:r>
              <w:rPr>
                <w:webHidden/>
                <w:rFonts w:eastAsia="仿宋_GB2312"/>
              </w:rPr>
              <w:t>一、大力促进外贸发展</w:t>
            </w:r>
            <w:r>
              <w:rPr>
                <w:webHidden/>
              </w:rPr>
              <w:fldChar w:fldCharType="begin"/>
            </w:r>
            <w:r>
              <w:rPr>
                <w:webHidden/>
              </w:rPr>
              <w:instrText>PAGEREF _Toc82074867 \h</w:instrText>
            </w:r>
            <w:r>
              <w:rPr>
                <w:webHidden/>
              </w:rPr>
              <w:fldChar w:fldCharType="separate"/>
            </w:r>
            <w:r>
              <w:rPr>
                <w:vanish w:val="false"/>
              </w:rPr>
              <w:tab/>
              <w:t>- 34 -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68">
            <w:r>
              <w:rPr>
                <w:webHidden/>
                <w:rFonts w:eastAsia="仿宋_GB2312"/>
              </w:rPr>
              <w:t>二、加强对外经济合作</w:t>
            </w:r>
            <w:r>
              <w:rPr>
                <w:webHidden/>
              </w:rPr>
              <w:fldChar w:fldCharType="begin"/>
            </w:r>
            <w:r>
              <w:rPr>
                <w:webHidden/>
              </w:rPr>
              <w:instrText>PAGEREF _Toc82074868 \h</w:instrText>
            </w:r>
            <w:r>
              <w:rPr>
                <w:webHidden/>
              </w:rPr>
              <w:fldChar w:fldCharType="separate"/>
            </w:r>
            <w:r>
              <w:rPr>
                <w:vanish w:val="false"/>
              </w:rPr>
              <w:tab/>
              <w:t>- 35 -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69">
            <w:r>
              <w:rPr>
                <w:webHidden/>
                <w:rFonts w:eastAsia="仿宋_GB2312"/>
              </w:rPr>
              <w:t>三、抢抓对外开放新机遇</w:t>
            </w:r>
            <w:r>
              <w:rPr>
                <w:webHidden/>
              </w:rPr>
              <w:fldChar w:fldCharType="begin"/>
            </w:r>
            <w:r>
              <w:rPr>
                <w:webHidden/>
              </w:rPr>
              <w:instrText>PAGEREF _Toc82074869 \h</w:instrText>
            </w:r>
            <w:r>
              <w:rPr>
                <w:webHidden/>
              </w:rPr>
              <w:fldChar w:fldCharType="separate"/>
            </w:r>
            <w:r>
              <w:rPr>
                <w:vanish w:val="false"/>
              </w:rPr>
              <w:tab/>
              <w:t>- 35 -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70">
            <w:r>
              <w:rPr>
                <w:webHidden/>
                <w:rFonts w:eastAsia="仿宋_GB2312"/>
              </w:rPr>
              <w:t>四、形成全面开放新局面</w:t>
            </w:r>
            <w:r>
              <w:rPr>
                <w:webHidden/>
              </w:rPr>
              <w:fldChar w:fldCharType="begin"/>
            </w:r>
            <w:r>
              <w:rPr>
                <w:webHidden/>
              </w:rPr>
              <w:instrText>PAGEREF _Toc82074870 \h</w:instrText>
            </w:r>
            <w:r>
              <w:rPr>
                <w:webHidden/>
              </w:rPr>
              <w:fldChar w:fldCharType="separate"/>
            </w:r>
            <w:r>
              <w:rPr>
                <w:vanish w:val="false"/>
              </w:rPr>
              <w:tab/>
              <w:t>- 36 -</w:t>
            </w:r>
            <w:r>
              <w:rPr>
                <w:webHidden/>
              </w:rPr>
              <w:fldChar w:fldCharType="end"/>
            </w:r>
          </w:hyperlink>
        </w:p>
        <w:p>
          <w:pPr>
            <w:pStyle w:val="21"/>
            <w:spacing w:lineRule="exact" w:line="560"/>
            <w:ind w:leftChars="200" w:left="420"/>
            <w:rPr>
              <w:rFonts w:ascii="等线" w:hAnsi="等线" w:eastAsia="等线" w:cs="" w:asciiTheme="minorHAnsi" w:cstheme="minorBidi" w:eastAsiaTheme="minorEastAsia" w:hAnsiTheme="minorHAnsi"/>
              <w:b w:val="false"/>
              <w:b w:val="false"/>
              <w:bCs w:val="false"/>
              <w:sz w:val="21"/>
              <w:szCs w:val="22"/>
            </w:rPr>
          </w:pPr>
          <w:hyperlink w:anchor="_Toc82074871">
            <w:r>
              <w:rPr>
                <w:webHidden/>
                <w:rFonts w:eastAsia="仿宋_GB2312"/>
                <w:kern w:val="0"/>
              </w:rPr>
              <w:t>第五节  建设县电商产业园，促进电子商务繁荣发展</w:t>
            </w:r>
            <w:r>
              <w:rPr>
                <w:webHidden/>
              </w:rPr>
              <w:fldChar w:fldCharType="begin"/>
            </w:r>
            <w:r>
              <w:rPr>
                <w:webHidden/>
              </w:rPr>
              <w:instrText>PAGEREF _Toc82074871 \h</w:instrText>
            </w:r>
            <w:r>
              <w:rPr>
                <w:webHidden/>
              </w:rPr>
              <w:fldChar w:fldCharType="separate"/>
            </w:r>
            <w:r>
              <w:rPr>
                <w:vanish w:val="false"/>
              </w:rPr>
              <w:tab/>
              <w:t>- 37 -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72">
            <w:r>
              <w:rPr>
                <w:webHidden/>
                <w:rFonts w:eastAsia="仿宋_GB2312"/>
              </w:rPr>
              <w:t>一、培育壮大电子商务规模</w:t>
            </w:r>
            <w:r>
              <w:rPr>
                <w:webHidden/>
              </w:rPr>
              <w:fldChar w:fldCharType="begin"/>
            </w:r>
            <w:r>
              <w:rPr>
                <w:webHidden/>
              </w:rPr>
              <w:instrText>PAGEREF _Toc82074872 \h</w:instrText>
            </w:r>
            <w:r>
              <w:rPr>
                <w:webHidden/>
              </w:rPr>
              <w:fldChar w:fldCharType="separate"/>
            </w:r>
            <w:r>
              <w:rPr>
                <w:vanish w:val="false"/>
              </w:rPr>
              <w:tab/>
              <w:t>- 37 -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73">
            <w:r>
              <w:rPr>
                <w:webHidden/>
                <w:rFonts w:eastAsia="仿宋_GB2312"/>
              </w:rPr>
              <w:t>二、大力发展电子商务</w:t>
            </w:r>
            <w:r>
              <w:rPr>
                <w:rFonts w:eastAsia="仿宋_GB2312"/>
              </w:rPr>
              <w:t>+</w:t>
            </w:r>
            <w:r>
              <w:rPr>
                <w:rFonts w:eastAsia="仿宋_GB2312"/>
              </w:rPr>
              <w:t>物流</w:t>
            </w:r>
            <w:r>
              <w:rPr>
                <w:webHidden/>
              </w:rPr>
              <w:fldChar w:fldCharType="begin"/>
            </w:r>
            <w:r>
              <w:rPr>
                <w:webHidden/>
              </w:rPr>
              <w:instrText>PAGEREF _Toc82074873 \h</w:instrText>
            </w:r>
            <w:r>
              <w:rPr>
                <w:webHidden/>
              </w:rPr>
              <w:fldChar w:fldCharType="separate"/>
            </w:r>
            <w:r>
              <w:rPr>
                <w:vanish w:val="false"/>
              </w:rPr>
              <w:tab/>
              <w:t>- 38 -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74">
            <w:r>
              <w:rPr>
                <w:webHidden/>
                <w:rFonts w:eastAsia="仿宋_GB2312"/>
              </w:rPr>
              <w:t>三、积极发展跨境电子商务</w:t>
            </w:r>
            <w:r>
              <w:rPr>
                <w:webHidden/>
              </w:rPr>
              <w:fldChar w:fldCharType="begin"/>
            </w:r>
            <w:r>
              <w:rPr>
                <w:webHidden/>
              </w:rPr>
              <w:instrText>PAGEREF _Toc82074874 \h</w:instrText>
            </w:r>
            <w:r>
              <w:rPr>
                <w:webHidden/>
              </w:rPr>
              <w:fldChar w:fldCharType="separate"/>
            </w:r>
            <w:r>
              <w:rPr>
                <w:vanish w:val="false"/>
              </w:rPr>
              <w:tab/>
              <w:t>- 38 -</w:t>
            </w:r>
            <w:r>
              <w:rPr>
                <w:webHidden/>
              </w:rPr>
              <w:fldChar w:fldCharType="end"/>
            </w:r>
          </w:hyperlink>
        </w:p>
        <w:p>
          <w:pPr>
            <w:pStyle w:val="11"/>
            <w:spacing w:lineRule="exact" w:line="560"/>
            <w:rPr>
              <w:rFonts w:ascii="等线" w:hAnsi="等线" w:eastAsia="等线" w:cs="" w:asciiTheme="minorHAnsi" w:cstheme="minorBidi" w:eastAsiaTheme="minorEastAsia" w:hAnsiTheme="minorHAnsi"/>
              <w:b w:val="false"/>
              <w:b w:val="false"/>
              <w:bCs w:val="false"/>
              <w:sz w:val="21"/>
              <w:szCs w:val="22"/>
            </w:rPr>
          </w:pPr>
          <w:hyperlink w:anchor="_Toc82074875">
            <w:r>
              <w:rPr>
                <w:webHidden/>
                <w:rFonts w:eastAsia="仿宋_GB2312"/>
                <w:kern w:val="0"/>
              </w:rPr>
              <w:t>第五章  重点工程</w:t>
            </w:r>
            <w:r>
              <w:rPr>
                <w:webHidden/>
              </w:rPr>
              <w:fldChar w:fldCharType="begin"/>
            </w:r>
            <w:r>
              <w:rPr>
                <w:webHidden/>
              </w:rPr>
              <w:instrText>PAGEREF _Toc82074875 \h</w:instrText>
            </w:r>
            <w:r>
              <w:rPr>
                <w:webHidden/>
              </w:rPr>
              <w:fldChar w:fldCharType="separate"/>
            </w:r>
            <w:r>
              <w:rPr>
                <w:vanish w:val="false"/>
              </w:rPr>
              <w:tab/>
              <w:t>- 40 -</w:t>
            </w:r>
            <w:r>
              <w:rPr>
                <w:webHidden/>
              </w:rPr>
              <w:fldChar w:fldCharType="end"/>
            </w:r>
          </w:hyperlink>
        </w:p>
        <w:p>
          <w:pPr>
            <w:pStyle w:val="21"/>
            <w:spacing w:lineRule="exact" w:line="560"/>
            <w:ind w:leftChars="200" w:left="420"/>
            <w:rPr>
              <w:rFonts w:ascii="等线" w:hAnsi="等线" w:eastAsia="等线" w:cs="" w:asciiTheme="minorHAnsi" w:cstheme="minorBidi" w:eastAsiaTheme="minorEastAsia" w:hAnsiTheme="minorHAnsi"/>
              <w:b w:val="false"/>
              <w:b w:val="false"/>
              <w:bCs w:val="false"/>
              <w:sz w:val="21"/>
              <w:szCs w:val="22"/>
            </w:rPr>
          </w:pPr>
          <w:hyperlink w:anchor="_Toc82074876">
            <w:r>
              <w:rPr>
                <w:webHidden/>
                <w:rFonts w:eastAsia="仿宋_GB2312"/>
                <w:kern w:val="0"/>
              </w:rPr>
              <w:t>第一节  大招商行动计划</w:t>
            </w:r>
            <w:r>
              <w:rPr>
                <w:webHidden/>
              </w:rPr>
              <w:fldChar w:fldCharType="begin"/>
            </w:r>
            <w:r>
              <w:rPr>
                <w:webHidden/>
              </w:rPr>
              <w:instrText>PAGEREF _Toc82074876 \h</w:instrText>
            </w:r>
            <w:r>
              <w:rPr>
                <w:webHidden/>
              </w:rPr>
              <w:fldChar w:fldCharType="separate"/>
            </w:r>
            <w:r>
              <w:rPr>
                <w:vanish w:val="false"/>
              </w:rPr>
              <w:tab/>
              <w:t>- 40 -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77">
            <w:r>
              <w:rPr>
                <w:webHidden/>
                <w:rFonts w:eastAsia="仿宋_GB2312"/>
              </w:rPr>
              <w:t>一、重点项目</w:t>
            </w:r>
            <w:r>
              <w:rPr>
                <w:webHidden/>
              </w:rPr>
              <w:fldChar w:fldCharType="begin"/>
            </w:r>
            <w:r>
              <w:rPr>
                <w:webHidden/>
              </w:rPr>
              <w:instrText>PAGEREF _Toc82074877 \h</w:instrText>
            </w:r>
            <w:r>
              <w:rPr>
                <w:webHidden/>
              </w:rPr>
              <w:fldChar w:fldCharType="separate"/>
            </w:r>
            <w:r>
              <w:rPr>
                <w:vanish w:val="false"/>
              </w:rPr>
              <w:tab/>
              <w:t>- 40 -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78">
            <w:r>
              <w:rPr>
                <w:webHidden/>
                <w:rFonts w:eastAsia="仿宋_GB2312"/>
              </w:rPr>
              <w:t>二、主要措施</w:t>
            </w:r>
            <w:r>
              <w:rPr>
                <w:webHidden/>
              </w:rPr>
              <w:fldChar w:fldCharType="begin"/>
            </w:r>
            <w:r>
              <w:rPr>
                <w:webHidden/>
              </w:rPr>
              <w:instrText>PAGEREF _Toc82074878 \h</w:instrText>
            </w:r>
            <w:r>
              <w:rPr>
                <w:webHidden/>
              </w:rPr>
              <w:fldChar w:fldCharType="separate"/>
            </w:r>
            <w:r>
              <w:rPr>
                <w:vanish w:val="false"/>
              </w:rPr>
              <w:tab/>
              <w:t>- 40 -</w:t>
            </w:r>
            <w:r>
              <w:rPr>
                <w:webHidden/>
              </w:rPr>
              <w:fldChar w:fldCharType="end"/>
            </w:r>
          </w:hyperlink>
        </w:p>
        <w:p>
          <w:pPr>
            <w:pStyle w:val="21"/>
            <w:spacing w:lineRule="exact" w:line="560"/>
            <w:ind w:leftChars="200" w:left="420"/>
            <w:rPr>
              <w:rFonts w:ascii="等线" w:hAnsi="等线" w:eastAsia="等线" w:cs="" w:asciiTheme="minorHAnsi" w:cstheme="minorBidi" w:eastAsiaTheme="minorEastAsia" w:hAnsiTheme="minorHAnsi"/>
              <w:b w:val="false"/>
              <w:b w:val="false"/>
              <w:bCs w:val="false"/>
              <w:sz w:val="21"/>
              <w:szCs w:val="22"/>
            </w:rPr>
          </w:pPr>
          <w:hyperlink w:anchor="_Toc82074879">
            <w:r>
              <w:rPr>
                <w:webHidden/>
                <w:rFonts w:eastAsia="仿宋_GB2312"/>
                <w:kern w:val="0"/>
              </w:rPr>
              <w:t>第二节  大市场培育计划</w:t>
            </w:r>
            <w:r>
              <w:rPr>
                <w:webHidden/>
              </w:rPr>
              <w:fldChar w:fldCharType="begin"/>
            </w:r>
            <w:r>
              <w:rPr>
                <w:webHidden/>
              </w:rPr>
              <w:instrText>PAGEREF _Toc82074879 \h</w:instrText>
            </w:r>
            <w:r>
              <w:rPr>
                <w:webHidden/>
              </w:rPr>
              <w:fldChar w:fldCharType="separate"/>
            </w:r>
            <w:r>
              <w:rPr>
                <w:vanish w:val="false"/>
              </w:rPr>
              <w:tab/>
              <w:t>- 41 -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80">
            <w:r>
              <w:rPr>
                <w:webHidden/>
                <w:rFonts w:eastAsia="仿宋_GB2312"/>
              </w:rPr>
              <w:t>一、重点项目</w:t>
            </w:r>
            <w:r>
              <w:rPr>
                <w:webHidden/>
              </w:rPr>
              <w:fldChar w:fldCharType="begin"/>
            </w:r>
            <w:r>
              <w:rPr>
                <w:webHidden/>
              </w:rPr>
              <w:instrText>PAGEREF _Toc82074880 \h</w:instrText>
            </w:r>
            <w:r>
              <w:rPr>
                <w:webHidden/>
              </w:rPr>
              <w:fldChar w:fldCharType="separate"/>
            </w:r>
            <w:r>
              <w:rPr>
                <w:vanish w:val="false"/>
              </w:rPr>
              <w:tab/>
              <w:t>- 41 -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81">
            <w:r>
              <w:rPr>
                <w:webHidden/>
                <w:rFonts w:eastAsia="仿宋_GB2312"/>
              </w:rPr>
              <w:t>二、主要措施</w:t>
            </w:r>
            <w:r>
              <w:rPr>
                <w:webHidden/>
              </w:rPr>
              <w:fldChar w:fldCharType="begin"/>
            </w:r>
            <w:r>
              <w:rPr>
                <w:webHidden/>
              </w:rPr>
              <w:instrText>PAGEREF _Toc82074881 \h</w:instrText>
            </w:r>
            <w:r>
              <w:rPr>
                <w:webHidden/>
              </w:rPr>
              <w:fldChar w:fldCharType="separate"/>
            </w:r>
            <w:r>
              <w:rPr>
                <w:vanish w:val="false"/>
              </w:rPr>
              <w:tab/>
              <w:t>- 42 -</w:t>
            </w:r>
            <w:r>
              <w:rPr>
                <w:webHidden/>
              </w:rPr>
              <w:fldChar w:fldCharType="end"/>
            </w:r>
          </w:hyperlink>
        </w:p>
        <w:p>
          <w:pPr>
            <w:pStyle w:val="21"/>
            <w:spacing w:lineRule="exact" w:line="560"/>
            <w:ind w:leftChars="200" w:left="420"/>
            <w:rPr>
              <w:rFonts w:ascii="等线" w:hAnsi="等线" w:eastAsia="等线" w:cs="" w:asciiTheme="minorHAnsi" w:cstheme="minorBidi" w:eastAsiaTheme="minorEastAsia" w:hAnsiTheme="minorHAnsi"/>
              <w:b w:val="false"/>
              <w:b w:val="false"/>
              <w:bCs w:val="false"/>
              <w:sz w:val="21"/>
              <w:szCs w:val="22"/>
            </w:rPr>
          </w:pPr>
          <w:hyperlink w:anchor="_Toc82074882">
            <w:r>
              <w:rPr>
                <w:webHidden/>
                <w:rFonts w:eastAsia="仿宋_GB2312"/>
                <w:kern w:val="0"/>
              </w:rPr>
              <w:t>第三节  大内贸流通工程</w:t>
            </w:r>
            <w:r>
              <w:rPr>
                <w:webHidden/>
              </w:rPr>
              <w:fldChar w:fldCharType="begin"/>
            </w:r>
            <w:r>
              <w:rPr>
                <w:webHidden/>
              </w:rPr>
              <w:instrText>PAGEREF _Toc82074882 \h</w:instrText>
            </w:r>
            <w:r>
              <w:rPr>
                <w:webHidden/>
              </w:rPr>
              <w:fldChar w:fldCharType="separate"/>
            </w:r>
            <w:r>
              <w:rPr>
                <w:vanish w:val="false"/>
              </w:rPr>
              <w:tab/>
              <w:t>- 43 -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83">
            <w:r>
              <w:rPr>
                <w:webHidden/>
                <w:rFonts w:eastAsia="仿宋_GB2312"/>
              </w:rPr>
              <w:t>一、重点项目</w:t>
            </w:r>
            <w:r>
              <w:rPr>
                <w:webHidden/>
              </w:rPr>
              <w:fldChar w:fldCharType="begin"/>
            </w:r>
            <w:r>
              <w:rPr>
                <w:webHidden/>
              </w:rPr>
              <w:instrText>PAGEREF _Toc82074883 \h</w:instrText>
            </w:r>
            <w:r>
              <w:rPr>
                <w:webHidden/>
              </w:rPr>
              <w:fldChar w:fldCharType="separate"/>
            </w:r>
            <w:r>
              <w:rPr>
                <w:vanish w:val="false"/>
              </w:rPr>
              <w:tab/>
              <w:t>- 43 -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84">
            <w:r>
              <w:rPr>
                <w:webHidden/>
                <w:rFonts w:eastAsia="仿宋_GB2312"/>
              </w:rPr>
              <w:t>二、主要措施</w:t>
            </w:r>
            <w:r>
              <w:rPr>
                <w:webHidden/>
              </w:rPr>
              <w:fldChar w:fldCharType="begin"/>
            </w:r>
            <w:r>
              <w:rPr>
                <w:webHidden/>
              </w:rPr>
              <w:instrText>PAGEREF _Toc82074884 \h</w:instrText>
            </w:r>
            <w:r>
              <w:rPr>
                <w:webHidden/>
              </w:rPr>
              <w:fldChar w:fldCharType="separate"/>
            </w:r>
            <w:r>
              <w:rPr>
                <w:vanish w:val="false"/>
              </w:rPr>
              <w:tab/>
              <w:t>- 44 -</w:t>
            </w:r>
            <w:r>
              <w:rPr>
                <w:webHidden/>
              </w:rPr>
              <w:fldChar w:fldCharType="end"/>
            </w:r>
          </w:hyperlink>
        </w:p>
        <w:p>
          <w:pPr>
            <w:pStyle w:val="21"/>
            <w:spacing w:lineRule="exact" w:line="560"/>
            <w:ind w:leftChars="200" w:left="420"/>
            <w:rPr>
              <w:rFonts w:ascii="等线" w:hAnsi="等线" w:eastAsia="等线" w:cs="" w:asciiTheme="minorHAnsi" w:cstheme="minorBidi" w:eastAsiaTheme="minorEastAsia" w:hAnsiTheme="minorHAnsi"/>
              <w:b w:val="false"/>
              <w:b w:val="false"/>
              <w:bCs w:val="false"/>
              <w:sz w:val="21"/>
              <w:szCs w:val="22"/>
            </w:rPr>
          </w:pPr>
          <w:hyperlink w:anchor="_Toc82074885">
            <w:r>
              <w:rPr>
                <w:webHidden/>
                <w:rFonts w:eastAsia="仿宋_GB2312"/>
                <w:kern w:val="0"/>
              </w:rPr>
              <w:t>第四节  大外贸推动计划</w:t>
            </w:r>
            <w:r>
              <w:rPr>
                <w:webHidden/>
              </w:rPr>
              <w:fldChar w:fldCharType="begin"/>
            </w:r>
            <w:r>
              <w:rPr>
                <w:webHidden/>
              </w:rPr>
              <w:instrText>PAGEREF _Toc82074885 \h</w:instrText>
            </w:r>
            <w:r>
              <w:rPr>
                <w:webHidden/>
              </w:rPr>
              <w:fldChar w:fldCharType="separate"/>
            </w:r>
            <w:r>
              <w:rPr>
                <w:vanish w:val="false"/>
              </w:rPr>
              <w:tab/>
              <w:t>- 44 -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86">
            <w:r>
              <w:rPr>
                <w:webHidden/>
                <w:rFonts w:eastAsia="仿宋_GB2312"/>
              </w:rPr>
              <w:t>一、重点项目</w:t>
            </w:r>
            <w:r>
              <w:rPr>
                <w:webHidden/>
              </w:rPr>
              <w:fldChar w:fldCharType="begin"/>
            </w:r>
            <w:r>
              <w:rPr>
                <w:webHidden/>
              </w:rPr>
              <w:instrText>PAGEREF _Toc82074886 \h</w:instrText>
            </w:r>
            <w:r>
              <w:rPr>
                <w:webHidden/>
              </w:rPr>
              <w:fldChar w:fldCharType="separate"/>
            </w:r>
            <w:r>
              <w:rPr>
                <w:vanish w:val="false"/>
              </w:rPr>
              <w:tab/>
              <w:t>- 44 -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87">
            <w:r>
              <w:rPr>
                <w:webHidden/>
                <w:rFonts w:eastAsia="仿宋_GB2312"/>
              </w:rPr>
              <w:t>二、主要措施</w:t>
            </w:r>
            <w:r>
              <w:rPr>
                <w:webHidden/>
              </w:rPr>
              <w:fldChar w:fldCharType="begin"/>
            </w:r>
            <w:r>
              <w:rPr>
                <w:webHidden/>
              </w:rPr>
              <w:instrText>PAGEREF _Toc82074887 \h</w:instrText>
            </w:r>
            <w:r>
              <w:rPr>
                <w:webHidden/>
              </w:rPr>
              <w:fldChar w:fldCharType="separate"/>
            </w:r>
            <w:r>
              <w:rPr>
                <w:vanish w:val="false"/>
              </w:rPr>
              <w:tab/>
              <w:t>- 45 -</w:t>
            </w:r>
            <w:r>
              <w:rPr>
                <w:webHidden/>
              </w:rPr>
              <w:fldChar w:fldCharType="end"/>
            </w:r>
          </w:hyperlink>
        </w:p>
        <w:p>
          <w:pPr>
            <w:pStyle w:val="21"/>
            <w:spacing w:lineRule="exact" w:line="560"/>
            <w:ind w:leftChars="200" w:left="420"/>
            <w:rPr>
              <w:rFonts w:ascii="等线" w:hAnsi="等线" w:eastAsia="等线" w:cs="" w:asciiTheme="minorHAnsi" w:cstheme="minorBidi" w:eastAsiaTheme="minorEastAsia" w:hAnsiTheme="minorHAnsi"/>
              <w:b w:val="false"/>
              <w:b w:val="false"/>
              <w:bCs w:val="false"/>
              <w:sz w:val="21"/>
              <w:szCs w:val="22"/>
            </w:rPr>
          </w:pPr>
          <w:hyperlink w:anchor="_Toc82074888">
            <w:r>
              <w:rPr>
                <w:webHidden/>
                <w:rFonts w:eastAsia="仿宋_GB2312"/>
                <w:kern w:val="0"/>
              </w:rPr>
              <w:t>第五节  大电商培育工程</w:t>
            </w:r>
            <w:r>
              <w:rPr>
                <w:webHidden/>
              </w:rPr>
              <w:fldChar w:fldCharType="begin"/>
            </w:r>
            <w:r>
              <w:rPr>
                <w:webHidden/>
              </w:rPr>
              <w:instrText>PAGEREF _Toc82074888 \h</w:instrText>
            </w:r>
            <w:r>
              <w:rPr>
                <w:webHidden/>
              </w:rPr>
              <w:fldChar w:fldCharType="separate"/>
            </w:r>
            <w:r>
              <w:rPr>
                <w:vanish w:val="false"/>
              </w:rPr>
              <w:tab/>
              <w:t>- 47 -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89">
            <w:r>
              <w:rPr>
                <w:webHidden/>
                <w:rFonts w:eastAsia="仿宋_GB2312"/>
              </w:rPr>
              <w:t>一、重点项目</w:t>
            </w:r>
            <w:r>
              <w:rPr>
                <w:webHidden/>
              </w:rPr>
              <w:fldChar w:fldCharType="begin"/>
            </w:r>
            <w:r>
              <w:rPr>
                <w:webHidden/>
              </w:rPr>
              <w:instrText>PAGEREF _Toc82074889 \h</w:instrText>
            </w:r>
            <w:r>
              <w:rPr>
                <w:webHidden/>
              </w:rPr>
              <w:fldChar w:fldCharType="separate"/>
            </w:r>
            <w:r>
              <w:rPr>
                <w:vanish w:val="false"/>
              </w:rPr>
              <w:tab/>
              <w:t>- 47 -</w:t>
            </w:r>
            <w:r>
              <w:rPr>
                <w:webHidden/>
              </w:rPr>
              <w:fldChar w:fldCharType="end"/>
            </w:r>
          </w:hyperlink>
        </w:p>
        <w:p>
          <w:pPr>
            <w:pStyle w:val="31"/>
            <w:spacing w:lineRule="exact" w:line="560"/>
            <w:ind w:leftChars="400" w:left="840"/>
            <w:rPr>
              <w:rFonts w:ascii="等线" w:hAnsi="等线" w:eastAsia="等线" w:cs="" w:asciiTheme="minorHAnsi" w:cstheme="minorBidi" w:eastAsiaTheme="minorEastAsia" w:hAnsiTheme="minorHAnsi"/>
            </w:rPr>
          </w:pPr>
          <w:hyperlink w:anchor="_Toc82074890">
            <w:r>
              <w:rPr>
                <w:webHidden/>
                <w:rFonts w:eastAsia="仿宋_GB2312"/>
              </w:rPr>
              <w:t>二、主要措施</w:t>
            </w:r>
            <w:r>
              <w:rPr>
                <w:webHidden/>
              </w:rPr>
              <w:fldChar w:fldCharType="begin"/>
            </w:r>
            <w:r>
              <w:rPr>
                <w:webHidden/>
              </w:rPr>
              <w:instrText>PAGEREF _Toc82074890 \h</w:instrText>
            </w:r>
            <w:r>
              <w:rPr>
                <w:webHidden/>
              </w:rPr>
              <w:fldChar w:fldCharType="separate"/>
            </w:r>
            <w:r>
              <w:rPr>
                <w:vanish w:val="false"/>
              </w:rPr>
              <w:tab/>
              <w:t>- 47 -</w:t>
            </w:r>
            <w:r>
              <w:rPr>
                <w:webHidden/>
              </w:rPr>
              <w:fldChar w:fldCharType="end"/>
            </w:r>
          </w:hyperlink>
        </w:p>
        <w:p>
          <w:pPr>
            <w:pStyle w:val="11"/>
            <w:spacing w:lineRule="exact" w:line="560"/>
            <w:rPr>
              <w:rFonts w:ascii="等线" w:hAnsi="等线" w:eastAsia="等线" w:cs="" w:asciiTheme="minorHAnsi" w:cstheme="minorBidi" w:eastAsiaTheme="minorEastAsia" w:hAnsiTheme="minorHAnsi"/>
              <w:b w:val="false"/>
              <w:b w:val="false"/>
              <w:bCs w:val="false"/>
              <w:sz w:val="21"/>
              <w:szCs w:val="22"/>
            </w:rPr>
          </w:pPr>
          <w:hyperlink w:anchor="_Toc82074891">
            <w:r>
              <w:rPr>
                <w:webHidden/>
                <w:rFonts w:eastAsia="仿宋_GB2312"/>
                <w:kern w:val="0"/>
              </w:rPr>
              <w:t>第六章  保障措施</w:t>
            </w:r>
            <w:r>
              <w:rPr>
                <w:webHidden/>
              </w:rPr>
              <w:fldChar w:fldCharType="begin"/>
            </w:r>
            <w:r>
              <w:rPr>
                <w:webHidden/>
              </w:rPr>
              <w:instrText>PAGEREF _Toc82074891 \h</w:instrText>
            </w:r>
            <w:r>
              <w:rPr>
                <w:webHidden/>
              </w:rPr>
              <w:fldChar w:fldCharType="separate"/>
            </w:r>
            <w:r>
              <w:rPr>
                <w:vanish w:val="false"/>
              </w:rPr>
              <w:tab/>
              <w:t>- 49 -</w:t>
            </w:r>
            <w:r>
              <w:rPr>
                <w:webHidden/>
              </w:rPr>
              <w:fldChar w:fldCharType="end"/>
            </w:r>
          </w:hyperlink>
        </w:p>
        <w:p>
          <w:pPr>
            <w:pStyle w:val="21"/>
            <w:spacing w:lineRule="exact" w:line="560"/>
            <w:ind w:leftChars="200" w:left="420"/>
            <w:rPr>
              <w:rFonts w:ascii="等线" w:hAnsi="等线" w:eastAsia="等线" w:cs="" w:asciiTheme="minorHAnsi" w:cstheme="minorBidi" w:eastAsiaTheme="minorEastAsia" w:hAnsiTheme="minorHAnsi"/>
              <w:b w:val="false"/>
              <w:b w:val="false"/>
              <w:bCs w:val="false"/>
              <w:sz w:val="21"/>
              <w:szCs w:val="22"/>
            </w:rPr>
          </w:pPr>
          <w:hyperlink w:anchor="_Toc82074892">
            <w:r>
              <w:rPr>
                <w:webHidden/>
                <w:rFonts w:eastAsia="仿宋_GB2312"/>
                <w:kern w:val="0"/>
              </w:rPr>
              <w:t>第一节  强化规划引领</w:t>
            </w:r>
            <w:r>
              <w:rPr>
                <w:webHidden/>
              </w:rPr>
              <w:fldChar w:fldCharType="begin"/>
            </w:r>
            <w:r>
              <w:rPr>
                <w:webHidden/>
              </w:rPr>
              <w:instrText>PAGEREF _Toc82074892 \h</w:instrText>
            </w:r>
            <w:r>
              <w:rPr>
                <w:webHidden/>
              </w:rPr>
              <w:fldChar w:fldCharType="separate"/>
            </w:r>
            <w:r>
              <w:rPr>
                <w:vanish w:val="false"/>
              </w:rPr>
              <w:tab/>
              <w:t>- 49 -</w:t>
            </w:r>
            <w:r>
              <w:rPr>
                <w:webHidden/>
              </w:rPr>
              <w:fldChar w:fldCharType="end"/>
            </w:r>
          </w:hyperlink>
        </w:p>
        <w:p>
          <w:pPr>
            <w:pStyle w:val="21"/>
            <w:spacing w:lineRule="exact" w:line="560"/>
            <w:ind w:leftChars="200" w:left="420"/>
            <w:rPr>
              <w:rFonts w:ascii="等线" w:hAnsi="等线" w:eastAsia="等线" w:cs="" w:asciiTheme="minorHAnsi" w:cstheme="minorBidi" w:eastAsiaTheme="minorEastAsia" w:hAnsiTheme="minorHAnsi"/>
              <w:b w:val="false"/>
              <w:b w:val="false"/>
              <w:bCs w:val="false"/>
              <w:sz w:val="21"/>
              <w:szCs w:val="22"/>
            </w:rPr>
          </w:pPr>
          <w:hyperlink w:anchor="_Toc82074893">
            <w:r>
              <w:rPr>
                <w:webHidden/>
                <w:rFonts w:eastAsia="仿宋_GB2312"/>
                <w:kern w:val="0"/>
              </w:rPr>
              <w:t>第二节  加强政策保障</w:t>
            </w:r>
            <w:r>
              <w:rPr>
                <w:webHidden/>
              </w:rPr>
              <w:fldChar w:fldCharType="begin"/>
            </w:r>
            <w:r>
              <w:rPr>
                <w:webHidden/>
              </w:rPr>
              <w:instrText>PAGEREF _Toc82074893 \h</w:instrText>
            </w:r>
            <w:r>
              <w:rPr>
                <w:webHidden/>
              </w:rPr>
              <w:fldChar w:fldCharType="separate"/>
            </w:r>
            <w:r>
              <w:rPr>
                <w:vanish w:val="false"/>
              </w:rPr>
              <w:tab/>
              <w:t>- 49 -</w:t>
            </w:r>
            <w:r>
              <w:rPr>
                <w:webHidden/>
              </w:rPr>
              <w:fldChar w:fldCharType="end"/>
            </w:r>
          </w:hyperlink>
        </w:p>
        <w:p>
          <w:pPr>
            <w:pStyle w:val="21"/>
            <w:spacing w:lineRule="exact" w:line="560"/>
            <w:ind w:leftChars="200" w:left="420"/>
            <w:rPr>
              <w:rFonts w:ascii="等线" w:hAnsi="等线" w:eastAsia="等线" w:cs="" w:asciiTheme="minorHAnsi" w:cstheme="minorBidi" w:eastAsiaTheme="minorEastAsia" w:hAnsiTheme="minorHAnsi"/>
              <w:b w:val="false"/>
              <w:b w:val="false"/>
              <w:bCs w:val="false"/>
              <w:sz w:val="21"/>
              <w:szCs w:val="22"/>
            </w:rPr>
          </w:pPr>
          <w:hyperlink w:anchor="_Toc82074894">
            <w:r>
              <w:rPr>
                <w:webHidden/>
                <w:rFonts w:eastAsia="仿宋_GB2312"/>
                <w:kern w:val="0"/>
              </w:rPr>
              <w:t>第三节  加大人才保障</w:t>
            </w:r>
            <w:r>
              <w:rPr>
                <w:webHidden/>
              </w:rPr>
              <w:fldChar w:fldCharType="begin"/>
            </w:r>
            <w:r>
              <w:rPr>
                <w:webHidden/>
              </w:rPr>
              <w:instrText>PAGEREF _Toc82074894 \h</w:instrText>
            </w:r>
            <w:r>
              <w:rPr>
                <w:webHidden/>
              </w:rPr>
              <w:fldChar w:fldCharType="separate"/>
            </w:r>
            <w:r>
              <w:rPr>
                <w:vanish w:val="false"/>
              </w:rPr>
              <w:tab/>
              <w:t>- 50 -</w:t>
            </w:r>
            <w:r>
              <w:rPr>
                <w:webHidden/>
              </w:rPr>
              <w:fldChar w:fldCharType="end"/>
            </w:r>
          </w:hyperlink>
        </w:p>
        <w:p>
          <w:pPr>
            <w:pStyle w:val="21"/>
            <w:spacing w:lineRule="exact" w:line="560"/>
            <w:ind w:leftChars="200" w:left="420"/>
            <w:rPr>
              <w:rFonts w:ascii="等线" w:hAnsi="等线" w:eastAsia="等线" w:cs="" w:asciiTheme="minorHAnsi" w:cstheme="minorBidi" w:eastAsiaTheme="minorEastAsia" w:hAnsiTheme="minorHAnsi"/>
              <w:b w:val="false"/>
              <w:b w:val="false"/>
              <w:bCs w:val="false"/>
              <w:sz w:val="21"/>
              <w:szCs w:val="22"/>
            </w:rPr>
          </w:pPr>
          <w:hyperlink w:anchor="_Toc82074895">
            <w:r>
              <w:rPr>
                <w:webHidden/>
                <w:rFonts w:eastAsia="仿宋_GB2312"/>
                <w:kern w:val="0"/>
              </w:rPr>
              <w:t>第四节  优化营商环境</w:t>
            </w:r>
            <w:r>
              <w:rPr>
                <w:webHidden/>
              </w:rPr>
              <w:fldChar w:fldCharType="begin"/>
            </w:r>
            <w:r>
              <w:rPr>
                <w:webHidden/>
              </w:rPr>
              <w:instrText>PAGEREF _Toc82074895 \h</w:instrText>
            </w:r>
            <w:r>
              <w:rPr>
                <w:webHidden/>
              </w:rPr>
              <w:fldChar w:fldCharType="separate"/>
            </w:r>
            <w:r>
              <w:rPr>
                <w:vanish w:val="false"/>
              </w:rPr>
              <w:tab/>
              <w:t>- 50 -</w:t>
            </w:r>
            <w:r>
              <w:rPr>
                <w:webHidden/>
              </w:rPr>
              <w:fldChar w:fldCharType="end"/>
            </w:r>
          </w:hyperlink>
        </w:p>
        <w:p>
          <w:pPr>
            <w:pStyle w:val="21"/>
            <w:spacing w:lineRule="exact" w:line="560"/>
            <w:ind w:leftChars="200" w:left="420"/>
            <w:rPr>
              <w:rFonts w:ascii="等线" w:hAnsi="等线" w:eastAsia="等线" w:cs="" w:asciiTheme="minorHAnsi" w:cstheme="minorBidi" w:eastAsiaTheme="minorEastAsia" w:hAnsiTheme="minorHAnsi"/>
              <w:b w:val="false"/>
              <w:b w:val="false"/>
              <w:bCs w:val="false"/>
              <w:sz w:val="21"/>
              <w:szCs w:val="22"/>
            </w:rPr>
          </w:pPr>
          <w:hyperlink w:anchor="_Toc82074896">
            <w:r>
              <w:rPr>
                <w:webHidden/>
                <w:rFonts w:eastAsia="仿宋_GB2312"/>
                <w:kern w:val="0"/>
              </w:rPr>
              <w:t>第五节  加强宣传引导</w:t>
            </w:r>
            <w:r>
              <w:rPr>
                <w:webHidden/>
              </w:rPr>
              <w:fldChar w:fldCharType="begin"/>
            </w:r>
            <w:r>
              <w:rPr>
                <w:webHidden/>
              </w:rPr>
              <w:instrText>PAGEREF _Toc82074896 \h</w:instrText>
            </w:r>
            <w:r>
              <w:rPr>
                <w:webHidden/>
              </w:rPr>
              <w:fldChar w:fldCharType="separate"/>
            </w:r>
            <w:r>
              <w:rPr>
                <w:vanish w:val="false"/>
              </w:rPr>
              <w:tab/>
              <w:t>- 51 -</w:t>
            </w:r>
            <w:r>
              <w:rPr>
                <w:webHidden/>
              </w:rPr>
              <w:fldChar w:fldCharType="end"/>
            </w:r>
          </w:hyperlink>
        </w:p>
        <w:p>
          <w:pPr>
            <w:pStyle w:val="21"/>
            <w:spacing w:lineRule="exact" w:line="560"/>
            <w:ind w:leftChars="200" w:left="420"/>
            <w:rPr>
              <w:rFonts w:eastAsia="仿宋_GB2312"/>
            </w:rPr>
          </w:pPr>
          <w:r>
            <w:rPr>
              <w:rFonts w:eastAsia="仿宋_GB2312"/>
            </w:rPr>
          </w:r>
          <w:r>
            <w:rPr>
              <w:rFonts w:eastAsia="仿宋_GB2312"/>
            </w:rPr>
            <w:fldChar w:fldCharType="end"/>
          </w:r>
        </w:p>
        <w:p>
          <w:pPr>
            <w:sectPr>
              <w:footerReference w:type="default" r:id="rId2"/>
              <w:type w:val="nextPage"/>
              <w:pgSz w:w="11906" w:h="16838"/>
              <w:pgMar w:left="1800" w:right="1800" w:header="0" w:top="1440" w:footer="992" w:bottom="1440" w:gutter="0"/>
              <w:pgNumType w:start="1" w:fmt="upperRoman"/>
              <w:formProt w:val="false"/>
              <w:textDirection w:val="lrTb"/>
              <w:docGrid w:type="lines" w:linePitch="312" w:charSpace="43007"/>
            </w:sectPr>
          </w:pPr>
        </w:p>
      </w:sdtContent>
    </w:sdt>
    <w:p>
      <w:pPr>
        <w:pStyle w:val="Style16"/>
        <w:snapToGrid w:val="false"/>
        <w:spacing w:lineRule="auto" w:line="360"/>
        <w:ind w:firstLineChars="200" w:firstLine="0"/>
        <w:rPr>
          <w:rFonts w:ascii="Times New Roman" w:hAnsi="Times New Roman" w:eastAsia="仿宋_GB2312" w:cs="Times New Roman"/>
          <w:kern w:val="0"/>
          <w:sz w:val="32"/>
          <w:szCs w:val="32"/>
        </w:rPr>
      </w:pPr>
      <w:r>
        <w:rPr>
          <w:rFonts w:ascii="Times New Roman" w:hAnsi="Times New Roman" w:cs="Times New Roman" w:eastAsia="仿宋_GB2312"/>
          <w:kern w:val="0"/>
          <w:sz w:val="32"/>
          <w:szCs w:val="32"/>
        </w:rPr>
        <w:t>“十四五”时期是我国全面建成小康社会、实现第一个百年奋斗目标之后，乘势而上开启全面建设社会主义现代化国家新征程、向第二个百年奋斗目标进军的第一个五年。也是龙山县深入实施经济发展五大“</w:t>
      </w:r>
      <w:r>
        <w:rPr>
          <w:rFonts w:eastAsia="仿宋_GB2312" w:cs="Times New Roman" w:ascii="Times New Roman" w:hAnsi="Times New Roman"/>
          <w:kern w:val="0"/>
          <w:sz w:val="32"/>
          <w:szCs w:val="32"/>
        </w:rPr>
        <w:t>1711</w:t>
      </w:r>
      <w:r>
        <w:rPr>
          <w:rFonts w:ascii="Times New Roman" w:hAnsi="Times New Roman" w:cs="Times New Roman" w:eastAsia="仿宋_GB2312"/>
          <w:kern w:val="0"/>
          <w:sz w:val="32"/>
          <w:szCs w:val="32"/>
        </w:rPr>
        <w:t>”行动和社会发展“五个龙山”建设，奋力实现州域北部重点经济区、湘西北重要窗口城市、湘鄂渝边区商贸物流中心和武陵山片区全域旅游新高地“四大愿景”的关键五年。为充分发挥商贸流通、招商引资、外贸进出口在引导生产、扩大消费、增加就业、促进经济社会高质量发展等方面的作用，根据全县商务发展面临的新形势、新任务和经济社会发展的总体新要求，特编制本规划。规划期为</w:t>
      </w:r>
      <w:r>
        <w:rPr>
          <w:rFonts w:eastAsia="仿宋_GB2312" w:cs="Times New Roman" w:ascii="Times New Roman" w:hAnsi="Times New Roman"/>
          <w:kern w:val="0"/>
          <w:sz w:val="32"/>
          <w:szCs w:val="32"/>
        </w:rPr>
        <w:t>2021-2025</w:t>
      </w:r>
      <w:r>
        <w:rPr>
          <w:rFonts w:ascii="Times New Roman" w:hAnsi="Times New Roman" w:cs="Times New Roman" w:eastAsia="仿宋_GB2312"/>
          <w:kern w:val="0"/>
          <w:sz w:val="32"/>
          <w:szCs w:val="32"/>
        </w:rPr>
        <w:t>年。</w:t>
      </w:r>
    </w:p>
    <w:p>
      <w:pPr>
        <w:pStyle w:val="1"/>
        <w:rPr>
          <w:rFonts w:ascii="Times New Roman" w:hAnsi="Times New Roman" w:eastAsia="仿宋_GB2312" w:cs="Times New Roman"/>
          <w:b/>
          <w:b/>
          <w:bCs/>
          <w:lang w:val="zh-CN"/>
        </w:rPr>
      </w:pPr>
      <w:bookmarkStart w:id="1" w:name="_Toc82074829"/>
      <w:bookmarkStart w:id="2" w:name="_Toc46750216"/>
      <w:r>
        <w:rPr/>
        <w:t>第一章  “十三五”发展</w:t>
      </w:r>
      <w:bookmarkStart w:id="3" w:name="_Hlk41212346"/>
      <w:r>
        <w:rPr/>
        <w:t>回顾</w:t>
      </w:r>
      <w:bookmarkEnd w:id="1"/>
      <w:bookmarkEnd w:id="2"/>
      <w:bookmarkEnd w:id="3"/>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十三五”以来，龙山县始终坚持党对商务工作的领导，坚定不移贯彻新发展理念，按照县委“坚持以脱贫攻坚统揽经济社会发展全局，继续打好三大攻坚战，加快推进‘产业四区’建设，开展‘三年活动’，着力打造湘鄂渝边区商贸物流中心、湘西州域北部重点经济区，加快建设美丽开放幸福新龙山”经济发展思路，狠抓各项工作的落实，把商务工作水平推向了一个新的台阶。</w:t>
      </w:r>
    </w:p>
    <w:p>
      <w:pPr>
        <w:pStyle w:val="2"/>
        <w:rPr>
          <w:rFonts w:ascii="Times New Roman" w:hAnsi="Times New Roman" w:eastAsia="仿宋_GB2312" w:cs="Times New Roman"/>
          <w:b/>
          <w:b/>
          <w:bCs/>
          <w:lang w:val="zh-CN"/>
        </w:rPr>
      </w:pPr>
      <w:bookmarkStart w:id="4" w:name="_Toc82074830"/>
      <w:bookmarkStart w:id="5" w:name="_Toc46750217"/>
      <w:r>
        <w:rPr/>
        <w:t>第一节  发展成就</w:t>
      </w:r>
      <w:bookmarkEnd w:id="4"/>
      <w:bookmarkEnd w:id="5"/>
    </w:p>
    <w:p>
      <w:pPr>
        <w:pStyle w:val="Style16"/>
        <w:ind w:firstLineChars="200" w:firstLine="0"/>
        <w:rPr>
          <w:rFonts w:ascii="Times New Roman" w:hAnsi="Times New Roman" w:eastAsia="仿宋_GB2312" w:cs="Times New Roman"/>
          <w:sz w:val="32"/>
          <w:szCs w:val="32"/>
        </w:rPr>
      </w:pPr>
      <w:bookmarkStart w:id="6" w:name="_Toc46750218"/>
      <w:bookmarkEnd w:id="6"/>
      <w:r>
        <w:rPr>
          <w:rFonts w:ascii="Times New Roman" w:hAnsi="Times New Roman" w:cs="Times New Roman" w:eastAsia="仿宋_GB2312"/>
          <w:sz w:val="32"/>
          <w:szCs w:val="32"/>
        </w:rPr>
        <w:t>“十三五”时期，面对错综复杂的外部环境和艰巨繁重的改革发展稳定任务，特别是新冠肺炎疫情严重冲击，全县商务部门深入贯彻落实“创新引领</w:t>
      </w:r>
      <w:r>
        <w:rPr>
          <w:rFonts w:eastAsia="仿宋_GB2312" w:cs="Times New Roman" w:ascii="Times New Roman" w:hAnsi="Times New Roman"/>
          <w:sz w:val="32"/>
          <w:szCs w:val="32"/>
        </w:rPr>
        <w:t>·</w:t>
      </w:r>
      <w:r>
        <w:rPr>
          <w:rFonts w:ascii="Times New Roman" w:hAnsi="Times New Roman" w:cs="Times New Roman" w:eastAsia="仿宋_GB2312"/>
          <w:sz w:val="32"/>
          <w:szCs w:val="32"/>
        </w:rPr>
        <w:t>开放崛起”战略，聚焦“产业四区”建设目标，紧紧围绕建设国内外知名生态文化旅游目的地、湘鄂渝边区商贸物流中心和武陵山重要窗口城市，着力稳增长、促消费、强龙头、抓重点、补短板、建平台，推动商务和开放型经济实现高质量发展，为全县脱贫攻坚、决胜全面建成小康社会和推动高质量发展积极贡献了“商务力量”。商务和开放型经济工作取得突破性发展。</w:t>
      </w:r>
    </w:p>
    <w:p>
      <w:pPr>
        <w:pStyle w:val="3"/>
        <w:ind/>
        <w:rPr>
          <w:rFonts w:ascii="Times New Roman" w:hAnsi="Times New Roman" w:eastAsia="仿宋_GB2312" w:cs="Times New Roman"/>
          <w:b/>
          <w:b/>
          <w:bCs/>
          <w:lang w:val="zh-CN"/>
        </w:rPr>
      </w:pPr>
      <w:bookmarkStart w:id="7" w:name="_Toc82074831"/>
      <w:r>
        <w:rPr/>
        <w:t>一、招商引资成效显著</w:t>
      </w:r>
      <w:bookmarkEnd w:id="7"/>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着力加强项目包装及招商推介，注重承接产业转移与项目洽谈，强化任务分解与职责划分，出台多部招商引资工作政策文件，推行政府诚信建设。县委县政府主要领导高度重视，以商招商、节会招商、小分队招商工作有效开展，大灵山风电、冠美美发用品、二次组合</w:t>
      </w:r>
      <w:r>
        <w:rPr>
          <w:rFonts w:eastAsia="仿宋_GB2312" w:cs="Times New Roman" w:ascii="Times New Roman" w:hAnsi="Times New Roman"/>
          <w:sz w:val="32"/>
          <w:szCs w:val="32"/>
        </w:rPr>
        <w:t>CID</w:t>
      </w:r>
      <w:r>
        <w:rPr>
          <w:rFonts w:ascii="Times New Roman" w:hAnsi="Times New Roman" w:cs="Times New Roman" w:eastAsia="仿宋_GB2312"/>
          <w:sz w:val="32"/>
          <w:szCs w:val="32"/>
        </w:rPr>
        <w:t>盖帽电池组</w:t>
      </w:r>
      <w:r>
        <w:rPr>
          <w:rFonts w:eastAsia="仿宋_GB2312" w:cs="Times New Roman" w:ascii="Times New Roman" w:hAnsi="Times New Roman"/>
          <w:sz w:val="32"/>
          <w:szCs w:val="32"/>
        </w:rPr>
        <w:t>PACK</w:t>
      </w:r>
      <w:r>
        <w:rPr>
          <w:rFonts w:ascii="Times New Roman" w:hAnsi="Times New Roman" w:cs="Times New Roman" w:eastAsia="仿宋_GB2312"/>
          <w:sz w:val="32"/>
          <w:szCs w:val="32"/>
        </w:rPr>
        <w:t>和智能终端整车</w:t>
      </w:r>
      <w:r>
        <w:rPr>
          <w:rFonts w:eastAsia="仿宋_GB2312" w:cs="Times New Roman" w:ascii="Times New Roman" w:hAnsi="Times New Roman"/>
          <w:sz w:val="32"/>
          <w:szCs w:val="32"/>
        </w:rPr>
        <w:t>PACK</w:t>
      </w:r>
      <w:r>
        <w:rPr>
          <w:rFonts w:ascii="Times New Roman" w:hAnsi="Times New Roman" w:cs="Times New Roman" w:eastAsia="仿宋_GB2312"/>
          <w:sz w:val="32"/>
          <w:szCs w:val="32"/>
        </w:rPr>
        <w:t>、双羽服饰、龙山县生猪产业、龙山县白茶产业、武陵</w:t>
      </w:r>
      <w:r>
        <w:rPr>
          <w:rFonts w:eastAsia="仿宋_GB2312" w:cs="Times New Roman" w:ascii="Times New Roman" w:hAnsi="Times New Roman"/>
          <w:sz w:val="32"/>
          <w:szCs w:val="32"/>
        </w:rPr>
        <w:t>·</w:t>
      </w:r>
      <w:r>
        <w:rPr>
          <w:rFonts w:ascii="Times New Roman" w:hAnsi="Times New Roman" w:cs="Times New Roman" w:eastAsia="仿宋_GB2312"/>
          <w:sz w:val="32"/>
          <w:szCs w:val="32"/>
        </w:rPr>
        <w:t>龙凤现代农业示范园、湘西健坤教育综合体和研学旅行、太平山景区旅游、龙山首创城镇供水、里耶后街、长沙路地下商业步行街、红星美凯龙家居建材市场、万汇国际汽车博览城、龙城天街、至尊府、龙城中央、里耶壹号等一、二、三产业项目先后签约落地。“十三五”期间，全县累计签约招商项目</w:t>
      </w:r>
      <w:r>
        <w:rPr>
          <w:rFonts w:eastAsia="仿宋_GB2312" w:cs="Times New Roman" w:ascii="Times New Roman" w:hAnsi="Times New Roman"/>
          <w:sz w:val="32"/>
          <w:szCs w:val="32"/>
        </w:rPr>
        <w:t>84</w:t>
      </w:r>
      <w:r>
        <w:rPr>
          <w:rFonts w:ascii="Times New Roman" w:hAnsi="Times New Roman" w:cs="Times New Roman" w:eastAsia="仿宋_GB2312"/>
          <w:sz w:val="32"/>
          <w:szCs w:val="32"/>
        </w:rPr>
        <w:t>个，完成省外境内招商到位资金</w:t>
      </w:r>
      <w:r>
        <w:rPr>
          <w:rFonts w:eastAsia="仿宋_GB2312" w:cs="Times New Roman" w:ascii="Times New Roman" w:hAnsi="Times New Roman"/>
          <w:sz w:val="32"/>
          <w:szCs w:val="32"/>
        </w:rPr>
        <w:t>32</w:t>
      </w:r>
      <w:r>
        <w:rPr>
          <w:rFonts w:ascii="Times New Roman" w:hAnsi="Times New Roman" w:cs="Times New Roman" w:eastAsia="仿宋_GB2312"/>
          <w:sz w:val="32"/>
          <w:szCs w:val="32"/>
        </w:rPr>
        <w:t>亿元，利用外资</w:t>
      </w:r>
      <w:r>
        <w:rPr>
          <w:rFonts w:eastAsia="仿宋_GB2312" w:cs="Times New Roman" w:ascii="Times New Roman" w:hAnsi="Times New Roman"/>
          <w:sz w:val="32"/>
          <w:szCs w:val="32"/>
        </w:rPr>
        <w:t>229.5</w:t>
      </w:r>
      <w:r>
        <w:rPr>
          <w:rFonts w:ascii="Times New Roman" w:hAnsi="Times New Roman" w:cs="Times New Roman" w:eastAsia="仿宋_GB2312"/>
          <w:sz w:val="32"/>
          <w:szCs w:val="32"/>
        </w:rPr>
        <w:t>万美元，增长率达到</w:t>
      </w:r>
      <w:r>
        <w:rPr>
          <w:rFonts w:eastAsia="仿宋_GB2312" w:cs="Times New Roman" w:ascii="Times New Roman" w:hAnsi="Times New Roman"/>
          <w:sz w:val="32"/>
          <w:szCs w:val="32"/>
        </w:rPr>
        <w:t>75%</w:t>
      </w:r>
      <w:r>
        <w:rPr>
          <w:rFonts w:ascii="Times New Roman" w:hAnsi="Times New Roman" w:cs="Times New Roman" w:eastAsia="仿宋_GB2312"/>
          <w:sz w:val="32"/>
          <w:szCs w:val="32"/>
        </w:rPr>
        <w:t>，引进非金融类“三类</w:t>
      </w:r>
      <w:r>
        <w:rPr>
          <w:rFonts w:eastAsia="仿宋_GB2312" w:cs="Times New Roman" w:ascii="Times New Roman" w:hAnsi="Times New Roman"/>
          <w:sz w:val="32"/>
          <w:szCs w:val="32"/>
        </w:rPr>
        <w:t>500</w:t>
      </w:r>
      <w:r>
        <w:rPr>
          <w:rFonts w:ascii="Times New Roman" w:hAnsi="Times New Roman" w:cs="Times New Roman" w:eastAsia="仿宋_GB2312"/>
          <w:sz w:val="32"/>
          <w:szCs w:val="32"/>
        </w:rPr>
        <w:t>强”企业</w:t>
      </w:r>
      <w:r>
        <w:rPr>
          <w:rFonts w:eastAsia="仿宋_GB2312" w:cs="Times New Roman" w:ascii="Times New Roman" w:hAnsi="Times New Roman"/>
          <w:sz w:val="32"/>
          <w:szCs w:val="32"/>
        </w:rPr>
        <w:t>4</w:t>
      </w:r>
      <w:r>
        <w:rPr>
          <w:rFonts w:ascii="Times New Roman" w:hAnsi="Times New Roman" w:cs="Times New Roman" w:eastAsia="仿宋_GB2312"/>
          <w:sz w:val="32"/>
          <w:szCs w:val="32"/>
        </w:rPr>
        <w:t>家。</w:t>
      </w:r>
    </w:p>
    <w:p>
      <w:pPr>
        <w:pStyle w:val="3"/>
        <w:ind/>
        <w:rPr>
          <w:rFonts w:ascii="Times New Roman" w:hAnsi="Times New Roman" w:eastAsia="仿宋_GB2312" w:cs="Times New Roman"/>
          <w:b/>
          <w:b/>
          <w:bCs/>
          <w:lang w:val="zh-CN"/>
        </w:rPr>
      </w:pPr>
      <w:bookmarkStart w:id="8" w:name="_Toc82074832"/>
      <w:r>
        <w:rPr/>
        <w:t>二、市场建设日趋完善</w:t>
      </w:r>
      <w:bookmarkEnd w:id="8"/>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商业经济圈建设加快，龙凤经济一体化发展格局基本形成。推进以老城商圈、高铁新城为主要经济圈的商业发展业态，商贸流通水平、质量大幅提高。农贸市场标准化建设加快，新改建农贸市场</w:t>
      </w:r>
      <w:r>
        <w:rPr>
          <w:rFonts w:eastAsia="仿宋_GB2312" w:cs="Times New Roman" w:ascii="Times New Roman" w:hAnsi="Times New Roman"/>
          <w:sz w:val="32"/>
          <w:szCs w:val="32"/>
        </w:rPr>
        <w:t>6</w:t>
      </w:r>
      <w:r>
        <w:rPr>
          <w:rFonts w:ascii="Times New Roman" w:hAnsi="Times New Roman" w:cs="Times New Roman" w:eastAsia="仿宋_GB2312"/>
          <w:sz w:val="32"/>
          <w:szCs w:val="32"/>
        </w:rPr>
        <w:t>个，城乡农贸市场功能不断完善，交易规模不断扩大。物流园区建设、冷链物流建设加快，积极打造连接湘、鄂、渝四省市交界的重要通道和物资集散地，市场交易环境得到较大改善。营商环境不断优化，“放管服”改革持续推进、不断深化，“互联网</w:t>
      </w:r>
      <w:r>
        <w:rPr>
          <w:rFonts w:eastAsia="仿宋_GB2312" w:cs="Times New Roman" w:ascii="Times New Roman" w:hAnsi="Times New Roman"/>
          <w:sz w:val="32"/>
          <w:szCs w:val="32"/>
        </w:rPr>
        <w:t>+</w:t>
      </w:r>
      <w:r>
        <w:rPr>
          <w:rFonts w:ascii="Times New Roman" w:hAnsi="Times New Roman" w:cs="Times New Roman" w:eastAsia="仿宋_GB2312"/>
          <w:sz w:val="32"/>
          <w:szCs w:val="32"/>
        </w:rPr>
        <w:t>政务服务”和“智慧龙山”建设应用处在全州前列。全面清理规范各类涉企收费，精简材料，缩短办理时间，全县贸易投资法制化和便利化水平明显提升。</w:t>
      </w:r>
    </w:p>
    <w:p>
      <w:pPr>
        <w:pStyle w:val="3"/>
        <w:ind/>
        <w:rPr>
          <w:rFonts w:ascii="Times New Roman" w:hAnsi="Times New Roman" w:eastAsia="仿宋_GB2312" w:cs="Times New Roman"/>
          <w:b/>
          <w:b/>
          <w:bCs/>
          <w:lang w:val="zh-CN"/>
        </w:rPr>
      </w:pPr>
      <w:bookmarkStart w:id="9" w:name="_Toc82074833"/>
      <w:r>
        <w:rPr/>
        <w:t>三、内贸流通持续繁荣</w:t>
      </w:r>
      <w:bookmarkEnd w:id="9"/>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突出政策支持，出台《关于支持商贸流通业发展的优惠政策》；加快推进物流园、农贸市场等项目建设，建设了大安乡、咱果乡、靛房坡脚片区、水田坝乡、洗洛镇等项目，物流体系初具雏形；积极培育限上企业，优化限上企业结构，壮大商贸流通主体，提高对限上消费品零售总额的贡献率。累计社会消费品零售总额达</w:t>
      </w:r>
      <w:r>
        <w:rPr>
          <w:rFonts w:eastAsia="仿宋_GB2312" w:cs="Times New Roman" w:ascii="Times New Roman" w:hAnsi="Times New Roman"/>
          <w:sz w:val="32"/>
          <w:szCs w:val="32"/>
        </w:rPr>
        <w:t>197.05</w:t>
      </w:r>
      <w:r>
        <w:rPr>
          <w:rFonts w:ascii="Times New Roman" w:hAnsi="Times New Roman" w:cs="Times New Roman" w:eastAsia="仿宋_GB2312"/>
          <w:sz w:val="32"/>
          <w:szCs w:val="32"/>
        </w:rPr>
        <w:t>亿元，其中，按经营地统计，城镇消费品零售额</w:t>
      </w:r>
      <w:r>
        <w:rPr>
          <w:rFonts w:eastAsia="仿宋_GB2312" w:cs="Times New Roman" w:ascii="Times New Roman" w:hAnsi="Times New Roman"/>
          <w:sz w:val="32"/>
          <w:szCs w:val="32"/>
        </w:rPr>
        <w:t>139.8</w:t>
      </w:r>
      <w:r>
        <w:rPr>
          <w:rFonts w:ascii="Times New Roman" w:hAnsi="Times New Roman" w:cs="Times New Roman" w:eastAsia="仿宋_GB2312"/>
          <w:sz w:val="32"/>
          <w:szCs w:val="32"/>
        </w:rPr>
        <w:t>亿元，占消费品零售总额的</w:t>
      </w:r>
      <w:r>
        <w:rPr>
          <w:rFonts w:eastAsia="仿宋_GB2312" w:cs="Times New Roman" w:ascii="Times New Roman" w:hAnsi="Times New Roman"/>
          <w:sz w:val="32"/>
          <w:szCs w:val="32"/>
        </w:rPr>
        <w:t>78.10%</w:t>
      </w:r>
      <w:r>
        <w:rPr>
          <w:rFonts w:ascii="Times New Roman" w:hAnsi="Times New Roman" w:cs="Times New Roman" w:eastAsia="仿宋_GB2312"/>
          <w:sz w:val="32"/>
          <w:szCs w:val="32"/>
        </w:rPr>
        <w:t>；乡村消费品零售额</w:t>
      </w:r>
      <w:r>
        <w:rPr>
          <w:rFonts w:eastAsia="仿宋_GB2312" w:cs="Times New Roman" w:ascii="Times New Roman" w:hAnsi="Times New Roman"/>
          <w:sz w:val="32"/>
          <w:szCs w:val="32"/>
        </w:rPr>
        <w:t>39.2</w:t>
      </w:r>
      <w:r>
        <w:rPr>
          <w:rFonts w:ascii="Times New Roman" w:hAnsi="Times New Roman" w:cs="Times New Roman" w:eastAsia="仿宋_GB2312"/>
          <w:sz w:val="32"/>
          <w:szCs w:val="32"/>
        </w:rPr>
        <w:t>亿元，占消费品零售总额的</w:t>
      </w:r>
      <w:r>
        <w:rPr>
          <w:rFonts w:eastAsia="仿宋_GB2312" w:cs="Times New Roman" w:ascii="Times New Roman" w:hAnsi="Times New Roman"/>
          <w:sz w:val="32"/>
          <w:szCs w:val="32"/>
        </w:rPr>
        <w:t>21.90%</w:t>
      </w:r>
      <w:r>
        <w:rPr>
          <w:rFonts w:ascii="Times New Roman" w:hAnsi="Times New Roman" w:cs="Times New Roman" w:eastAsia="仿宋_GB2312"/>
          <w:sz w:val="32"/>
          <w:szCs w:val="32"/>
        </w:rPr>
        <w:t>；分行业看，批发业总额</w:t>
      </w:r>
      <w:r>
        <w:rPr>
          <w:rFonts w:eastAsia="仿宋_GB2312" w:cs="Times New Roman" w:ascii="Times New Roman" w:hAnsi="Times New Roman"/>
          <w:sz w:val="32"/>
          <w:szCs w:val="32"/>
        </w:rPr>
        <w:t>8.47</w:t>
      </w:r>
      <w:r>
        <w:rPr>
          <w:rFonts w:ascii="Times New Roman" w:hAnsi="Times New Roman" w:cs="Times New Roman" w:eastAsia="仿宋_GB2312"/>
          <w:sz w:val="32"/>
          <w:szCs w:val="32"/>
        </w:rPr>
        <w:t>亿元，零售业总额</w:t>
      </w:r>
      <w:r>
        <w:rPr>
          <w:rFonts w:eastAsia="仿宋_GB2312" w:cs="Times New Roman" w:ascii="Times New Roman" w:hAnsi="Times New Roman"/>
          <w:sz w:val="32"/>
          <w:szCs w:val="32"/>
        </w:rPr>
        <w:t>142.78</w:t>
      </w:r>
      <w:r>
        <w:rPr>
          <w:rFonts w:ascii="Times New Roman" w:hAnsi="Times New Roman" w:cs="Times New Roman" w:eastAsia="仿宋_GB2312"/>
          <w:sz w:val="32"/>
          <w:szCs w:val="32"/>
        </w:rPr>
        <w:t>亿元，住宿业总额</w:t>
      </w:r>
      <w:r>
        <w:rPr>
          <w:rFonts w:eastAsia="仿宋_GB2312" w:cs="Times New Roman" w:ascii="Times New Roman" w:hAnsi="Times New Roman"/>
          <w:sz w:val="32"/>
          <w:szCs w:val="32"/>
        </w:rPr>
        <w:t>3.89</w:t>
      </w:r>
      <w:r>
        <w:rPr>
          <w:rFonts w:ascii="Times New Roman" w:hAnsi="Times New Roman" w:cs="Times New Roman" w:eastAsia="仿宋_GB2312"/>
          <w:sz w:val="32"/>
          <w:szCs w:val="32"/>
        </w:rPr>
        <w:t>亿元，餐饮业总额</w:t>
      </w:r>
      <w:r>
        <w:rPr>
          <w:rFonts w:eastAsia="仿宋_GB2312" w:cs="Times New Roman" w:ascii="Times New Roman" w:hAnsi="Times New Roman"/>
          <w:sz w:val="32"/>
          <w:szCs w:val="32"/>
        </w:rPr>
        <w:t>23.84</w:t>
      </w:r>
      <w:r>
        <w:rPr>
          <w:rFonts w:ascii="Times New Roman" w:hAnsi="Times New Roman" w:cs="Times New Roman" w:eastAsia="仿宋_GB2312"/>
          <w:sz w:val="32"/>
          <w:szCs w:val="32"/>
        </w:rPr>
        <w:t>亿元。</w:t>
      </w:r>
    </w:p>
    <w:p>
      <w:pPr>
        <w:pStyle w:val="3"/>
        <w:ind/>
        <w:rPr>
          <w:rFonts w:ascii="Times New Roman" w:hAnsi="Times New Roman" w:eastAsia="仿宋_GB2312" w:cs="Times New Roman"/>
          <w:b/>
          <w:b/>
          <w:bCs/>
          <w:lang w:val="zh-CN"/>
        </w:rPr>
      </w:pPr>
      <w:bookmarkStart w:id="10" w:name="_Toc82074834"/>
      <w:bookmarkStart w:id="11" w:name="_Toc46750219"/>
      <w:r>
        <w:rPr/>
        <w:t>四、</w:t>
      </w:r>
      <w:bookmarkEnd w:id="11"/>
      <w:r>
        <w:rPr/>
        <w:t>外经外贸快速发展</w:t>
      </w:r>
      <w:bookmarkEnd w:id="10"/>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强化政策支持，鼓励企业用足用活各级外贸促进政策；孵化外贸企业，多次开展走访调研，鼓励企业尽快开展进出口业务；拓展国际市场，积极借助中部博览会、投洽会等大型展会平台，帮助企业拓展贸易空间。“十三五”期间，累计实现外贸进出口总额</w:t>
      </w:r>
      <w:r>
        <w:rPr>
          <w:rFonts w:eastAsia="仿宋_GB2312" w:cs="Times New Roman" w:ascii="Times New Roman" w:hAnsi="Times New Roman"/>
          <w:sz w:val="32"/>
          <w:szCs w:val="32"/>
        </w:rPr>
        <w:t>1.6</w:t>
      </w:r>
      <w:r>
        <w:rPr>
          <w:rFonts w:ascii="Times New Roman" w:hAnsi="Times New Roman" w:cs="Times New Roman" w:eastAsia="仿宋_GB2312"/>
          <w:sz w:val="32"/>
          <w:szCs w:val="32"/>
        </w:rPr>
        <w:t>亿余元，在全州排名实现从第七升至第二。</w:t>
      </w:r>
    </w:p>
    <w:p>
      <w:pPr>
        <w:pStyle w:val="3"/>
        <w:ind/>
        <w:rPr>
          <w:rFonts w:ascii="Times New Roman" w:hAnsi="Times New Roman" w:eastAsia="仿宋_GB2312" w:cs="Times New Roman"/>
          <w:b/>
          <w:b/>
          <w:bCs/>
          <w:lang w:val="zh-CN"/>
        </w:rPr>
      </w:pPr>
      <w:bookmarkStart w:id="12" w:name="_Toc82074835"/>
      <w:r>
        <w:rPr/>
        <w:t>五、电子商务来势强劲</w:t>
      </w:r>
      <w:bookmarkEnd w:id="12"/>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电子商务发展规模发展不断壮大，全县电子商务经历从无到有、从小到大的过程。电子商务集聚发展成效初现，抓住机遇，重点扶持加快领军型、成长型、初创型的电子商务企业集聚发展。“龙头企业引领带动，微小企业新起追赶”的生态初步形成。电子商务服务体系日趋完善，“十三五”时期，加快推进全国电子商务进农村综合示范整体推进县建设，释放电商产业发展潜力，支持电商服务中心等电商项目做大做强，县、乡、村三级农村电商网络初具雏形。县、乡、村三级电子商务公共服务体系基本建成，农村电商服务站点建设实现全覆盖，在电商孵化、品牌策划、推广营销、技能培训以及政策咨询、便民服务方面发挥了积极作用。电子商务与快递物流协同发展水平不断提升电子商务快递物流取得突破。“十三五”时期，累计完成电子商务交易额</w:t>
      </w:r>
      <w:r>
        <w:rPr>
          <w:rFonts w:eastAsia="仿宋_GB2312" w:cs="Times New Roman" w:ascii="Times New Roman" w:hAnsi="Times New Roman"/>
          <w:sz w:val="32"/>
          <w:szCs w:val="32"/>
        </w:rPr>
        <w:t>30</w:t>
      </w:r>
      <w:r>
        <w:rPr>
          <w:rFonts w:ascii="Times New Roman" w:hAnsi="Times New Roman" w:cs="Times New Roman" w:eastAsia="仿宋_GB2312"/>
          <w:sz w:val="32"/>
          <w:szCs w:val="32"/>
        </w:rPr>
        <w:t>亿元，年均增长</w:t>
      </w:r>
      <w:r>
        <w:rPr>
          <w:rFonts w:eastAsia="仿宋_GB2312" w:cs="Times New Roman" w:ascii="Times New Roman" w:hAnsi="Times New Roman"/>
          <w:sz w:val="32"/>
          <w:szCs w:val="32"/>
        </w:rPr>
        <w:t>51.03%</w:t>
      </w:r>
      <w:r>
        <w:rPr>
          <w:rFonts w:ascii="Times New Roman" w:hAnsi="Times New Roman" w:cs="Times New Roman" w:eastAsia="仿宋_GB2312"/>
          <w:sz w:val="32"/>
          <w:szCs w:val="32"/>
        </w:rPr>
        <w:t>。</w:t>
      </w:r>
    </w:p>
    <w:p>
      <w:pPr>
        <w:pStyle w:val="Style16"/>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龙山县“十三五”期间主要指标完成情况（表</w:t>
      </w:r>
      <w:r>
        <w:rPr>
          <w:rFonts w:eastAsia="仿宋_GB2312" w:cs="Times New Roman" w:ascii="Times New Roman" w:hAnsi="Times New Roman"/>
          <w:sz w:val="32"/>
          <w:szCs w:val="32"/>
        </w:rPr>
        <w:t>1</w:t>
      </w:r>
      <w:r>
        <w:rPr>
          <w:rFonts w:ascii="Times New Roman" w:hAnsi="Times New Roman" w:cs="Times New Roman" w:eastAsia="仿宋_GB2312"/>
          <w:sz w:val="32"/>
          <w:szCs w:val="32"/>
        </w:rPr>
        <w:t>）。</w:t>
      </w:r>
    </w:p>
    <w:tbl>
      <w:tblPr>
        <w:tblpPr w:bottomFromText="0" w:horzAnchor="margin" w:leftFromText="180" w:rightFromText="180" w:tblpX="0" w:tblpY="259" w:topFromText="0" w:vertAnchor="text"/>
        <w:tblW w:w="8522"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817"/>
        <w:gridCol w:w="3119"/>
        <w:gridCol w:w="1416"/>
        <w:gridCol w:w="1465"/>
        <w:gridCol w:w="1705"/>
      </w:tblGrid>
      <w:tr>
        <w:trPr>
          <w:trHeight w:val="672" w:hRule="atLeast"/>
        </w:trPr>
        <w:tc>
          <w:tcPr>
            <w:tcW w:w="8522" w:type="dxa"/>
            <w:gridSpan w:val="5"/>
            <w:tcBorders>
              <w:top w:val="single" w:sz="4" w:space="0" w:color="000000"/>
              <w:left w:val="single" w:sz="4" w:space="0" w:color="000000"/>
              <w:bottom w:val="single" w:sz="4" w:space="0" w:color="000000"/>
              <w:right w:val="single" w:sz="4" w:space="0" w:color="000000"/>
            </w:tcBorders>
            <w:vAlign w:val="center"/>
          </w:tcPr>
          <w:p>
            <w:pPr>
              <w:pStyle w:val="Style16"/>
              <w:widowControl w:val="false"/>
              <w:jc w:val="center"/>
              <w:rPr>
                <w:rFonts w:ascii="Times New Roman" w:hAnsi="Times New Roman" w:eastAsia="仿宋_GB2312" w:cs="Times New Roman"/>
                <w:b/>
                <w:b/>
                <w:bCs/>
              </w:rPr>
            </w:pPr>
            <w:r>
              <w:rPr>
                <w:rFonts w:ascii="Times New Roman" w:hAnsi="Times New Roman" w:cs="Times New Roman" w:eastAsia="仿宋_GB2312"/>
                <w:b/>
                <w:bCs/>
                <w:sz w:val="24"/>
                <w:szCs w:val="24"/>
              </w:rPr>
              <w:t>表</w:t>
            </w:r>
            <w:r>
              <w:rPr>
                <w:rFonts w:eastAsia="仿宋_GB2312" w:cs="Times New Roman" w:ascii="Times New Roman" w:hAnsi="Times New Roman"/>
                <w:b/>
                <w:bCs/>
                <w:sz w:val="24"/>
                <w:szCs w:val="24"/>
              </w:rPr>
              <w:t xml:space="preserve">1  </w:t>
            </w:r>
            <w:r>
              <w:rPr>
                <w:rFonts w:ascii="Times New Roman" w:hAnsi="Times New Roman" w:cs="Times New Roman" w:eastAsia="仿宋_GB2312"/>
                <w:b/>
                <w:bCs/>
                <w:sz w:val="24"/>
                <w:szCs w:val="24"/>
              </w:rPr>
              <w:t>“十三五”期间主要指标完成情况</w:t>
            </w:r>
          </w:p>
        </w:tc>
      </w:tr>
      <w:tr>
        <w:trPr/>
        <w:tc>
          <w:tcPr>
            <w:tcW w:w="817"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spacing w:lineRule="auto" w:line="360"/>
              <w:rPr>
                <w:rFonts w:ascii="Times New Roman" w:hAnsi="Times New Roman" w:eastAsia="仿宋_GB2312" w:cs="Times New Roman"/>
                <w:sz w:val="24"/>
                <w:szCs w:val="24"/>
              </w:rPr>
            </w:pPr>
            <w:r>
              <w:rPr>
                <w:rFonts w:ascii="Times New Roman" w:hAnsi="Times New Roman" w:cs="Times New Roman" w:eastAsia="仿宋_GB2312"/>
                <w:sz w:val="24"/>
                <w:szCs w:val="24"/>
              </w:rPr>
              <w:t>序号</w:t>
            </w:r>
          </w:p>
        </w:tc>
        <w:tc>
          <w:tcPr>
            <w:tcW w:w="3119"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spacing w:lineRule="auto" w:line="360"/>
              <w:rPr>
                <w:rFonts w:ascii="Times New Roman" w:hAnsi="Times New Roman" w:eastAsia="仿宋_GB2312" w:cs="Times New Roman"/>
                <w:sz w:val="24"/>
                <w:szCs w:val="24"/>
              </w:rPr>
            </w:pPr>
            <w:r>
              <w:rPr>
                <w:rFonts w:ascii="Times New Roman" w:hAnsi="Times New Roman" w:cs="Times New Roman" w:eastAsia="仿宋_GB2312"/>
                <w:sz w:val="24"/>
                <w:szCs w:val="24"/>
              </w:rPr>
              <w:t>主要指标</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rPr>
                <w:rFonts w:ascii="Times New Roman" w:hAnsi="Times New Roman" w:eastAsia="仿宋_GB2312" w:cs="Times New Roman"/>
                <w:sz w:val="24"/>
                <w:szCs w:val="24"/>
              </w:rPr>
            </w:pPr>
            <w:r>
              <w:rPr>
                <w:rFonts w:eastAsia="仿宋_GB2312" w:cs="Times New Roman" w:ascii="Times New Roman" w:hAnsi="Times New Roman"/>
                <w:sz w:val="24"/>
                <w:szCs w:val="24"/>
              </w:rPr>
              <w:t>2015</w:t>
            </w:r>
            <w:r>
              <w:rPr>
                <w:rFonts w:ascii="Times New Roman" w:hAnsi="Times New Roman" w:cs="Times New Roman" w:eastAsia="仿宋_GB2312"/>
                <w:sz w:val="24"/>
                <w:szCs w:val="24"/>
              </w:rPr>
              <w:t>年</w:t>
            </w:r>
          </w:p>
        </w:tc>
        <w:tc>
          <w:tcPr>
            <w:tcW w:w="1465"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rPr>
                <w:rFonts w:ascii="Times New Roman" w:hAnsi="Times New Roman" w:eastAsia="仿宋_GB2312" w:cs="Times New Roman"/>
                <w:sz w:val="24"/>
                <w:szCs w:val="24"/>
              </w:rPr>
            </w:pPr>
            <w:r>
              <w:rPr>
                <w:rFonts w:eastAsia="仿宋_GB2312" w:cs="Times New Roman" w:ascii="Times New Roman" w:hAnsi="Times New Roman"/>
                <w:sz w:val="24"/>
                <w:szCs w:val="24"/>
              </w:rPr>
              <w:t>2020</w:t>
            </w:r>
            <w:r>
              <w:rPr>
                <w:rFonts w:ascii="Times New Roman" w:hAnsi="Times New Roman" w:cs="Times New Roman" w:eastAsia="仿宋_GB2312"/>
                <w:sz w:val="24"/>
                <w:szCs w:val="24"/>
              </w:rPr>
              <w:t>年</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rPr>
                <w:rFonts w:ascii="Times New Roman" w:hAnsi="Times New Roman" w:eastAsia="仿宋_GB2312" w:cs="Times New Roman"/>
                <w:sz w:val="24"/>
                <w:szCs w:val="24"/>
              </w:rPr>
            </w:pPr>
            <w:r>
              <w:rPr>
                <w:rFonts w:ascii="Times New Roman" w:hAnsi="Times New Roman" w:cs="Times New Roman" w:eastAsia="仿宋_GB2312"/>
                <w:sz w:val="24"/>
                <w:szCs w:val="24"/>
              </w:rPr>
              <w:t>“十三五”年均增长（</w:t>
            </w:r>
            <w:r>
              <w:rPr>
                <w:rFonts w:eastAsia="仿宋_GB2312" w:cs="Times New Roman" w:ascii="Times New Roman" w:hAnsi="Times New Roman"/>
                <w:sz w:val="24"/>
                <w:szCs w:val="24"/>
              </w:rPr>
              <w:t>%</w:t>
            </w:r>
            <w:r>
              <w:rPr>
                <w:rFonts w:ascii="Times New Roman" w:hAnsi="Times New Roman" w:cs="Times New Roman" w:eastAsia="仿宋_GB2312"/>
                <w:sz w:val="24"/>
                <w:szCs w:val="24"/>
              </w:rPr>
              <w:t>）</w:t>
            </w:r>
          </w:p>
        </w:tc>
      </w:tr>
      <w:tr>
        <w:trPr/>
        <w:tc>
          <w:tcPr>
            <w:tcW w:w="817"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spacing w:lineRule="auto" w:line="36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spacing w:lineRule="auto" w:line="360"/>
              <w:rPr>
                <w:rFonts w:ascii="Times New Roman" w:hAnsi="Times New Roman" w:eastAsia="仿宋_GB2312" w:cs="Times New Roman"/>
                <w:sz w:val="24"/>
                <w:szCs w:val="24"/>
              </w:rPr>
            </w:pPr>
            <w:r>
              <w:rPr>
                <w:rFonts w:ascii="Times New Roman" w:hAnsi="Times New Roman" w:cs="Times New Roman" w:eastAsia="仿宋_GB2312"/>
                <w:sz w:val="24"/>
                <w:szCs w:val="24"/>
              </w:rPr>
              <w:t>社会消费品零售总额（亿元）</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20</w:t>
            </w:r>
          </w:p>
        </w:tc>
        <w:tc>
          <w:tcPr>
            <w:tcW w:w="1465"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30.04</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8.48</w:t>
            </w:r>
          </w:p>
        </w:tc>
      </w:tr>
      <w:tr>
        <w:trPr/>
        <w:tc>
          <w:tcPr>
            <w:tcW w:w="817"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spacing w:lineRule="auto" w:line="36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2</w:t>
            </w:r>
          </w:p>
        </w:tc>
        <w:tc>
          <w:tcPr>
            <w:tcW w:w="3119"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spacing w:lineRule="auto" w:line="360"/>
              <w:rPr>
                <w:rFonts w:ascii="Times New Roman" w:hAnsi="Times New Roman" w:eastAsia="仿宋_GB2312" w:cs="Times New Roman"/>
                <w:sz w:val="24"/>
                <w:szCs w:val="24"/>
              </w:rPr>
            </w:pPr>
            <w:r>
              <w:rPr>
                <w:rFonts w:ascii="Times New Roman" w:hAnsi="Times New Roman" w:cs="Times New Roman" w:eastAsia="仿宋_GB2312"/>
                <w:sz w:val="24"/>
                <w:szCs w:val="24"/>
              </w:rPr>
              <w:t>对外贸易总额（亿元）</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0.02</w:t>
            </w:r>
          </w:p>
        </w:tc>
        <w:tc>
          <w:tcPr>
            <w:tcW w:w="1465"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1.5</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137.14</w:t>
            </w:r>
          </w:p>
        </w:tc>
      </w:tr>
      <w:tr>
        <w:trPr/>
        <w:tc>
          <w:tcPr>
            <w:tcW w:w="817"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spacing w:lineRule="auto" w:line="36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3</w:t>
            </w:r>
          </w:p>
        </w:tc>
        <w:tc>
          <w:tcPr>
            <w:tcW w:w="3119"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spacing w:lineRule="auto" w:line="360"/>
              <w:rPr>
                <w:rFonts w:ascii="Times New Roman" w:hAnsi="Times New Roman" w:eastAsia="仿宋_GB2312" w:cs="Times New Roman"/>
                <w:sz w:val="24"/>
                <w:szCs w:val="24"/>
              </w:rPr>
            </w:pPr>
            <w:r>
              <w:rPr>
                <w:rFonts w:ascii="Times New Roman" w:hAnsi="Times New Roman" w:cs="Times New Roman" w:eastAsia="仿宋_GB2312"/>
                <w:sz w:val="24"/>
                <w:szCs w:val="24"/>
              </w:rPr>
              <w:t>利用外资（万美元）</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1465"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229.5</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r>
      <w:tr>
        <w:trPr/>
        <w:tc>
          <w:tcPr>
            <w:tcW w:w="817"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spacing w:lineRule="auto" w:line="36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4</w:t>
            </w:r>
          </w:p>
        </w:tc>
        <w:tc>
          <w:tcPr>
            <w:tcW w:w="3119"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spacing w:lineRule="auto" w:line="360"/>
              <w:rPr>
                <w:rFonts w:ascii="Times New Roman" w:hAnsi="Times New Roman" w:eastAsia="仿宋_GB2312" w:cs="Times New Roman"/>
                <w:sz w:val="24"/>
                <w:szCs w:val="24"/>
              </w:rPr>
            </w:pPr>
            <w:r>
              <w:rPr>
                <w:rFonts w:ascii="Times New Roman" w:hAnsi="Times New Roman" w:cs="Times New Roman" w:eastAsia="仿宋_GB2312"/>
                <w:sz w:val="24"/>
                <w:szCs w:val="24"/>
              </w:rPr>
              <w:t>内联引资（亿元）</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5.85</w:t>
            </w:r>
          </w:p>
        </w:tc>
        <w:tc>
          <w:tcPr>
            <w:tcW w:w="1465"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10.2</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11.76</w:t>
            </w:r>
          </w:p>
        </w:tc>
      </w:tr>
      <w:tr>
        <w:trPr/>
        <w:tc>
          <w:tcPr>
            <w:tcW w:w="817"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spacing w:lineRule="auto" w:line="36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5</w:t>
            </w:r>
          </w:p>
        </w:tc>
        <w:tc>
          <w:tcPr>
            <w:tcW w:w="3119"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spacing w:lineRule="auto" w:line="360"/>
              <w:rPr>
                <w:rFonts w:ascii="Times New Roman" w:hAnsi="Times New Roman" w:eastAsia="仿宋_GB2312" w:cs="Times New Roman"/>
                <w:sz w:val="24"/>
                <w:szCs w:val="24"/>
              </w:rPr>
            </w:pPr>
            <w:r>
              <w:rPr>
                <w:rFonts w:ascii="Times New Roman" w:hAnsi="Times New Roman" w:cs="Times New Roman" w:eastAsia="仿宋_GB2312"/>
                <w:sz w:val="24"/>
                <w:szCs w:val="24"/>
              </w:rPr>
              <w:t>对外劳务合作（万美元）</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87</w:t>
            </w:r>
          </w:p>
        </w:tc>
        <w:tc>
          <w:tcPr>
            <w:tcW w:w="1465"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283</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26.61</w:t>
            </w:r>
          </w:p>
        </w:tc>
      </w:tr>
      <w:tr>
        <w:trPr/>
        <w:tc>
          <w:tcPr>
            <w:tcW w:w="817"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spacing w:lineRule="auto" w:line="36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6</w:t>
            </w:r>
          </w:p>
        </w:tc>
        <w:tc>
          <w:tcPr>
            <w:tcW w:w="3119"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spacing w:lineRule="auto" w:line="360"/>
              <w:rPr>
                <w:rFonts w:ascii="Times New Roman" w:hAnsi="Times New Roman" w:eastAsia="仿宋_GB2312" w:cs="Times New Roman"/>
                <w:sz w:val="24"/>
                <w:szCs w:val="24"/>
              </w:rPr>
            </w:pPr>
            <w:r>
              <w:rPr>
                <w:rFonts w:ascii="Times New Roman" w:hAnsi="Times New Roman" w:cs="Times New Roman" w:eastAsia="仿宋_GB2312"/>
                <w:sz w:val="24"/>
                <w:szCs w:val="24"/>
              </w:rPr>
              <w:t>电子商务交易额（亿元）</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1.4</w:t>
            </w:r>
          </w:p>
        </w:tc>
        <w:tc>
          <w:tcPr>
            <w:tcW w:w="1465"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11</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51.03</w:t>
            </w:r>
          </w:p>
        </w:tc>
      </w:tr>
    </w:tbl>
    <w:p>
      <w:pPr>
        <w:pStyle w:val="Style16"/>
        <w:ind w:firstLineChars="200" w:firstLine="0"/>
        <w:jc w:val="center"/>
        <w:rPr>
          <w:rFonts w:ascii="Times New Roman" w:hAnsi="Times New Roman" w:eastAsia="仿宋_GB2312" w:cs="Times New Roman"/>
          <w:sz w:val="32"/>
          <w:szCs w:val="32"/>
        </w:rPr>
      </w:pPr>
      <w:r>
        <w:rPr>
          <w:rFonts w:eastAsia="仿宋_GB2312" w:cs="Times New Roman" w:ascii="Times New Roman" w:hAnsi="Times New Roman"/>
          <w:sz w:val="32"/>
          <w:szCs w:val="32"/>
        </w:rPr>
      </w:r>
    </w:p>
    <w:p>
      <w:pPr>
        <w:pStyle w:val="2"/>
        <w:rPr>
          <w:rFonts w:ascii="Times New Roman" w:hAnsi="Times New Roman" w:eastAsia="仿宋_GB2312" w:cs="Times New Roman"/>
          <w:b/>
          <w:b/>
          <w:bCs/>
          <w:lang w:val="zh-CN"/>
        </w:rPr>
      </w:pPr>
      <w:bookmarkStart w:id="13" w:name="_Toc46750218"/>
      <w:bookmarkStart w:id="14" w:name="_Toc82074836"/>
      <w:bookmarkEnd w:id="13"/>
      <w:r>
        <w:rPr/>
        <w:t>第二节  发展优势</w:t>
      </w:r>
      <w:bookmarkEnd w:id="14"/>
    </w:p>
    <w:p>
      <w:pPr>
        <w:pStyle w:val="3"/>
        <w:ind/>
        <w:rPr>
          <w:rFonts w:ascii="Times New Roman" w:hAnsi="Times New Roman" w:eastAsia="仿宋_GB2312" w:cs="Times New Roman"/>
          <w:b/>
          <w:b/>
          <w:bCs/>
          <w:lang w:val="zh-CN"/>
        </w:rPr>
      </w:pPr>
      <w:bookmarkStart w:id="15" w:name="_Toc82074837"/>
      <w:r>
        <w:rPr/>
        <w:t>一、地域优势</w:t>
      </w:r>
      <w:bookmarkEnd w:id="15"/>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区位交通改善重大机遇。随着吉恩高速、黔张常快速铁路的开通运营，制约龙山县发展的交通瓶颈获得突破，区位交通后发优势日益凸显，人流、物流、资金流、信息流、技术流将会更加快捷聚集龙山县，促使龙山县更好把资源优势、政策优势转化为发展优势，更好把发展理念、发展势能转化为发展成效。龙山是湘鄂渝三省市边区承东接西、南北交汇之地和物资集散中心，又是沿海省市经湘入渝东、鄂西的必经之地，有湖南西北“桥头堡”“湘鄂渝之门户”之称，县城被誉为“湘鄂渝边区的一颗璀璨明珠”。</w:t>
      </w:r>
    </w:p>
    <w:p>
      <w:pPr>
        <w:pStyle w:val="3"/>
        <w:ind/>
        <w:rPr>
          <w:rFonts w:ascii="Times New Roman" w:hAnsi="Times New Roman" w:eastAsia="仿宋_GB2312" w:cs="Times New Roman"/>
          <w:b/>
          <w:b/>
          <w:bCs/>
          <w:lang w:val="zh-CN"/>
        </w:rPr>
      </w:pPr>
      <w:bookmarkStart w:id="16" w:name="_Toc82074838"/>
      <w:r>
        <w:rPr/>
        <w:t>二、政策优势</w:t>
      </w:r>
      <w:bookmarkEnd w:id="16"/>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各级政策支持优势，县内企业可享受国家西部大开发政策、湘南湘西承接产业转移示范区政策、</w:t>
      </w:r>
      <w:r>
        <w:rPr>
          <w:rFonts w:ascii="Times New Roman" w:hAnsi="Times New Roman" w:cs="Times New Roman" w:eastAsia="仿宋_GB2312"/>
          <w:bCs/>
          <w:sz w:val="32"/>
          <w:szCs w:val="32"/>
        </w:rPr>
        <w:t>武陵山片区区域发展与扶贫攻坚先行先试地区政策</w:t>
      </w:r>
      <w:r>
        <w:rPr>
          <w:rFonts w:ascii="Times New Roman" w:hAnsi="Times New Roman" w:cs="Times New Roman" w:eastAsia="仿宋_GB2312"/>
          <w:sz w:val="32"/>
          <w:szCs w:val="32"/>
        </w:rPr>
        <w:t>等地区政策支持。加快孵化外贸企业，鼓励企业尽快开展进出口业务。突出政策支持，县人民政府出台《关于支持商贸流通业发展的优惠政策》，支持加快发展商贸服务业。机构改革全面完成，深化国资国企、投融资体制、要素市场化配置、“放管服”等“四大改革行动”深入推进，营商环境不断优化，市场活力不断释放，社会大局和谐稳定，为推动龙山县高质量发展汇聚了更为强劲的动力。</w:t>
      </w:r>
      <w:r>
        <w:rPr>
          <w:rFonts w:eastAsia="仿宋_GB2312" w:cs="Times New Roman" w:ascii="Times New Roman" w:hAnsi="Times New Roman"/>
          <w:sz w:val="32"/>
          <w:szCs w:val="32"/>
        </w:rPr>
        <w:t>2020</w:t>
      </w:r>
      <w:r>
        <w:rPr>
          <w:rFonts w:ascii="Times New Roman" w:hAnsi="Times New Roman" w:cs="Times New Roman" w:eastAsia="仿宋_GB2312"/>
          <w:sz w:val="32"/>
          <w:szCs w:val="32"/>
        </w:rPr>
        <w:t>年全县如期完成了新时代脱贫攻坚目标任务，开启全面建成小康社会的新征程。</w:t>
      </w:r>
      <w:r>
        <w:rPr>
          <w:rFonts w:eastAsia="仿宋_GB2312" w:cs="Times New Roman" w:ascii="Times New Roman" w:hAnsi="Times New Roman"/>
          <w:sz w:val="32"/>
          <w:szCs w:val="32"/>
        </w:rPr>
        <w:t>2020</w:t>
      </w:r>
      <w:r>
        <w:rPr>
          <w:rFonts w:ascii="Times New Roman" w:hAnsi="Times New Roman" w:cs="Times New Roman" w:eastAsia="仿宋_GB2312"/>
          <w:sz w:val="32"/>
          <w:szCs w:val="32"/>
        </w:rPr>
        <w:t>年</w:t>
      </w:r>
      <w:r>
        <w:rPr>
          <w:rFonts w:eastAsia="仿宋_GB2312" w:cs="Times New Roman" w:ascii="Times New Roman" w:hAnsi="Times New Roman"/>
          <w:sz w:val="32"/>
          <w:szCs w:val="32"/>
        </w:rPr>
        <w:t>5</w:t>
      </w:r>
      <w:r>
        <w:rPr>
          <w:rFonts w:ascii="Times New Roman" w:hAnsi="Times New Roman" w:cs="Times New Roman" w:eastAsia="仿宋_GB2312"/>
          <w:sz w:val="32"/>
          <w:szCs w:val="32"/>
        </w:rPr>
        <w:t>月</w:t>
      </w:r>
      <w:r>
        <w:rPr>
          <w:rFonts w:eastAsia="仿宋_GB2312" w:cs="Times New Roman" w:ascii="Times New Roman" w:hAnsi="Times New Roman"/>
          <w:sz w:val="32"/>
          <w:szCs w:val="32"/>
        </w:rPr>
        <w:t>14</w:t>
      </w:r>
      <w:r>
        <w:rPr>
          <w:rFonts w:ascii="Times New Roman" w:hAnsi="Times New Roman" w:cs="Times New Roman" w:eastAsia="仿宋_GB2312"/>
          <w:sz w:val="32"/>
          <w:szCs w:val="32"/>
        </w:rPr>
        <w:t>日，中共中央政治局常委会会议首次提出构建“以国内大循环为主体、国内国际双循环相互促进的新发展格局”。围绕这一战略目标，中央和地方出台了多项政策，助力打造国内国际双循环发展格局。以龙山为中心的湘、鄂、渝地区边贸交易集散中心，将充分利用好国家、湖南对边界地区、民族地区的边贸支持政策。</w:t>
      </w:r>
    </w:p>
    <w:p>
      <w:pPr>
        <w:pStyle w:val="3"/>
        <w:ind/>
        <w:rPr>
          <w:rFonts w:ascii="Times New Roman" w:hAnsi="Times New Roman" w:eastAsia="仿宋_GB2312" w:cs="Times New Roman"/>
          <w:b/>
          <w:b/>
          <w:bCs/>
          <w:lang w:val="zh-CN"/>
        </w:rPr>
      </w:pPr>
      <w:bookmarkStart w:id="17" w:name="_Toc82074839"/>
      <w:r>
        <w:rPr/>
        <w:t>三、业态优势</w:t>
      </w:r>
      <w:bookmarkEnd w:id="17"/>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消费业态布局持续优化。龙山县既有红星美凯龙家居城、万汇国际汽贸城、民安综合市场等一批规模较大、辐射带动作用明显的实体商贸物流业态，也有一批大型购物中心、精品店、专卖店等中高端业态，综合商业配套建设不断完善，还有小商品市场集散中心，三四百家商品市场年交易额超</w:t>
      </w:r>
      <w:r>
        <w:rPr>
          <w:rFonts w:eastAsia="仿宋_GB2312" w:cs="Times New Roman" w:ascii="Times New Roman" w:hAnsi="Times New Roman"/>
          <w:sz w:val="32"/>
          <w:szCs w:val="32"/>
        </w:rPr>
        <w:t>30</w:t>
      </w:r>
      <w:r>
        <w:rPr>
          <w:rFonts w:ascii="Times New Roman" w:hAnsi="Times New Roman" w:cs="Times New Roman" w:eastAsia="仿宋_GB2312"/>
          <w:sz w:val="32"/>
          <w:szCs w:val="32"/>
        </w:rPr>
        <w:t>亿元。按照全国电子商务进农村综合示范县建设要求，为加快推进全县农村电子商务发展，培养更多农村电商复合型人才，进一步促进就业创业，分批开展了电商人才培训。</w:t>
      </w:r>
    </w:p>
    <w:p>
      <w:pPr>
        <w:pStyle w:val="3"/>
        <w:ind/>
        <w:rPr>
          <w:rFonts w:ascii="Times New Roman" w:hAnsi="Times New Roman" w:eastAsia="仿宋_GB2312" w:cs="Times New Roman"/>
          <w:b/>
          <w:b/>
          <w:bCs/>
          <w:lang w:val="zh-CN"/>
        </w:rPr>
      </w:pPr>
      <w:bookmarkStart w:id="18" w:name="_Toc82074840"/>
      <w:r>
        <w:rPr/>
        <w:t>四、消费旺盛优势</w:t>
      </w:r>
      <w:bookmarkEnd w:id="18"/>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消费需求稳中趋旺，成为拉动全县经济增长的内在动力。随着居民收入水平的不断提高，消费观念逐步更新，居民消费由过去的传统消费向多元消费转变，休闲消费、时尚消费、保健消费等已逐渐为人们所推崇，加上近年来扩大消费政策效应的释放，新兴消费热点迅猛发展。“网销经济”“古镇经济”“摊点经济”“夜经济”等成为消费市场新业态，成为拉动经济复苏发展的“引擎”。龙山县夜经济经营商家多达上千家。县内世纪华联等重点商品流通企业，积极开展“打折”“买赠”“满减”“满返”“积分”等形式多样的惠民助销活动，推出服装服饰、金银首饰、家用电器、电子产品等各类商品促销活动。</w:t>
      </w:r>
    </w:p>
    <w:p>
      <w:pPr>
        <w:pStyle w:val="2"/>
        <w:rPr>
          <w:rFonts w:ascii="Times New Roman" w:hAnsi="Times New Roman" w:eastAsia="仿宋_GB2312" w:cs="Times New Roman"/>
          <w:b/>
          <w:b/>
          <w:bCs/>
          <w:lang w:val="zh-CN"/>
        </w:rPr>
      </w:pPr>
      <w:bookmarkStart w:id="19" w:name="_Toc82074841"/>
      <w:bookmarkStart w:id="20" w:name="_Toc46750222"/>
      <w:r>
        <w:rPr/>
        <w:t>第三节  存在问题</w:t>
      </w:r>
      <w:bookmarkEnd w:id="19"/>
      <w:bookmarkEnd w:id="20"/>
    </w:p>
    <w:p>
      <w:pPr>
        <w:pStyle w:val="Style16"/>
        <w:spacing w:lineRule="auto" w:line="360"/>
        <w:ind w:firstLineChars="200" w:firstLine="0"/>
        <w:rPr>
          <w:rFonts w:ascii="Times New Roman" w:hAnsi="Times New Roman" w:eastAsia="仿宋_GB2312" w:cs="Times New Roman"/>
          <w:b/>
          <w:b/>
          <w:kern w:val="0"/>
          <w:sz w:val="32"/>
          <w:szCs w:val="32"/>
        </w:rPr>
      </w:pPr>
      <w:r>
        <w:rPr>
          <w:rFonts w:ascii="Times New Roman" w:hAnsi="Times New Roman" w:cs="Times New Roman" w:eastAsia="仿宋_GB2312"/>
          <w:sz w:val="32"/>
          <w:szCs w:val="32"/>
        </w:rPr>
        <w:t>“十三五”期间，龙山县商务发展虽取得显著成效，为未来发展提供了坚实基础，但依然存在如下问题：</w:t>
      </w:r>
      <w:r>
        <w:rPr>
          <w:rFonts w:ascii="Times New Roman" w:hAnsi="Times New Roman" w:cs="Times New Roman" w:eastAsia="仿宋_GB2312"/>
          <w:b/>
          <w:bCs/>
          <w:sz w:val="32"/>
          <w:szCs w:val="32"/>
        </w:rPr>
        <w:fldChar w:fldCharType="begin"/>
      </w:r>
      <w:r>
        <w:rPr>
          <w:sz w:val="32"/>
          <w:b/>
          <w:szCs w:val="32"/>
          <w:bCs/>
          <w:rFonts w:ascii="Times New Roman" w:hAnsi="Times New Roman" w:cs="Times New Roman" w:eastAsia="仿宋_GB2312"/>
        </w:rPr>
        <w:instrText> =   1 \* GB3</w:instrText>
      </w:r>
      <w:r>
        <w:rPr>
          <w:sz w:val="32"/>
          <w:b/>
          <w:szCs w:val="32"/>
          <w:bCs/>
          <w:rFonts w:ascii="Times New Roman" w:hAnsi="Times New Roman" w:cs="Times New Roman" w:eastAsia="仿宋_GB2312"/>
        </w:rPr>
        <w:fldChar w:fldCharType="separate"/>
      </w:r>
      <w:r>
        <w:rPr>
          <w:sz w:val="32"/>
          <w:b/>
          <w:szCs w:val="32"/>
          <w:bCs/>
          <w:rFonts w:ascii="Times New Roman" w:hAnsi="Times New Roman" w:cs="Times New Roman" w:eastAsia="仿宋_GB2312"/>
        </w:rPr>
        <w:t>①</w:t>
      </w:r>
      <w:r>
        <w:rPr>
          <w:sz w:val="32"/>
          <w:b/>
          <w:szCs w:val="32"/>
          <w:bCs/>
          <w:rFonts w:ascii="Times New Roman" w:hAnsi="Times New Roman" w:cs="Times New Roman" w:eastAsia="仿宋_GB2312"/>
        </w:rPr>
        <w:fldChar w:fldCharType="end"/>
      </w:r>
      <w:r>
        <w:rPr>
          <w:rFonts w:ascii="Times New Roman" w:hAnsi="Times New Roman" w:cs="Times New Roman" w:eastAsia="仿宋_GB2312"/>
          <w:b/>
          <w:bCs/>
          <w:sz w:val="32"/>
          <w:szCs w:val="32"/>
        </w:rPr>
        <w:t>招商引资成效不明显</w:t>
      </w:r>
      <w:r>
        <w:rPr>
          <w:rFonts w:ascii="Times New Roman" w:hAnsi="Times New Roman" w:cs="Times New Roman" w:eastAsia="仿宋_GB2312"/>
          <w:sz w:val="32"/>
          <w:szCs w:val="32"/>
        </w:rPr>
        <w:t>。思想需进一步解放，要素保障需进一步增强，队伍素质需进一步提升，工作合力需进一步增加，工作责任需进一步夯实。</w:t>
      </w:r>
      <w:r>
        <w:rPr>
          <w:rFonts w:ascii="Times New Roman" w:hAnsi="Times New Roman" w:cs="Times New Roman" w:eastAsia="仿宋_GB2312"/>
          <w:b/>
          <w:bCs/>
          <w:sz w:val="32"/>
          <w:szCs w:val="32"/>
        </w:rPr>
        <w:fldChar w:fldCharType="begin"/>
      </w:r>
      <w:r>
        <w:rPr>
          <w:sz w:val="32"/>
          <w:b/>
          <w:szCs w:val="32"/>
          <w:bCs/>
          <w:rFonts w:ascii="Times New Roman" w:hAnsi="Times New Roman" w:cs="Times New Roman" w:eastAsia="仿宋_GB2312"/>
        </w:rPr>
        <w:instrText> =   2 \* GB3</w:instrText>
      </w:r>
      <w:r>
        <w:rPr>
          <w:sz w:val="32"/>
          <w:b/>
          <w:szCs w:val="32"/>
          <w:bCs/>
          <w:rFonts w:ascii="Times New Roman" w:hAnsi="Times New Roman" w:cs="Times New Roman" w:eastAsia="仿宋_GB2312"/>
        </w:rPr>
        <w:fldChar w:fldCharType="separate"/>
      </w:r>
      <w:r>
        <w:rPr>
          <w:sz w:val="32"/>
          <w:b/>
          <w:szCs w:val="32"/>
          <w:bCs/>
          <w:rFonts w:ascii="Times New Roman" w:hAnsi="Times New Roman" w:cs="Times New Roman" w:eastAsia="仿宋_GB2312"/>
        </w:rPr>
        <w:t>②</w:t>
      </w:r>
      <w:r>
        <w:rPr>
          <w:sz w:val="32"/>
          <w:b/>
          <w:szCs w:val="32"/>
          <w:bCs/>
          <w:rFonts w:ascii="Times New Roman" w:hAnsi="Times New Roman" w:cs="Times New Roman" w:eastAsia="仿宋_GB2312"/>
        </w:rPr>
        <w:fldChar w:fldCharType="end"/>
      </w:r>
      <w:r>
        <w:rPr>
          <w:rFonts w:ascii="Times New Roman" w:hAnsi="Times New Roman" w:cs="Times New Roman" w:eastAsia="仿宋_GB2312"/>
          <w:b/>
          <w:bCs/>
          <w:sz w:val="32"/>
          <w:szCs w:val="32"/>
        </w:rPr>
        <w:t>市场体系不够健全。</w:t>
      </w:r>
      <w:r>
        <w:rPr>
          <w:rFonts w:ascii="Times New Roman" w:hAnsi="Times New Roman" w:cs="Times New Roman" w:eastAsia="仿宋_GB2312"/>
          <w:sz w:val="32"/>
          <w:szCs w:val="32"/>
        </w:rPr>
        <w:t>城东片区市场基础设施配套不完善，运营不规范，特别是老城市场多，但建设不规范，业态布局不合理，“以路为市”和占用消防通道现象突出，华塘新区尚无一个农贸市场，其它社区的农贸市场还存在已建好但未运营的情况。</w:t>
      </w:r>
      <w:r>
        <w:rPr>
          <w:rFonts w:ascii="Times New Roman" w:hAnsi="Times New Roman" w:cs="Times New Roman" w:eastAsia="仿宋_GB2312"/>
          <w:b/>
          <w:bCs/>
          <w:sz w:val="32"/>
          <w:szCs w:val="32"/>
        </w:rPr>
        <w:fldChar w:fldCharType="begin"/>
      </w:r>
      <w:r>
        <w:rPr>
          <w:sz w:val="32"/>
          <w:b/>
          <w:szCs w:val="32"/>
          <w:bCs/>
          <w:rFonts w:ascii="Times New Roman" w:hAnsi="Times New Roman" w:cs="Times New Roman" w:eastAsia="仿宋_GB2312"/>
        </w:rPr>
        <w:instrText> =   3 \* GB3</w:instrText>
      </w:r>
      <w:r>
        <w:rPr>
          <w:sz w:val="32"/>
          <w:b/>
          <w:szCs w:val="32"/>
          <w:bCs/>
          <w:rFonts w:ascii="Times New Roman" w:hAnsi="Times New Roman" w:cs="Times New Roman" w:eastAsia="仿宋_GB2312"/>
        </w:rPr>
        <w:fldChar w:fldCharType="separate"/>
      </w:r>
      <w:r>
        <w:rPr>
          <w:sz w:val="32"/>
          <w:b/>
          <w:szCs w:val="32"/>
          <w:bCs/>
          <w:rFonts w:ascii="Times New Roman" w:hAnsi="Times New Roman" w:cs="Times New Roman" w:eastAsia="仿宋_GB2312"/>
        </w:rPr>
        <w:t>③</w:t>
      </w:r>
      <w:r>
        <w:rPr>
          <w:sz w:val="32"/>
          <w:b/>
          <w:szCs w:val="32"/>
          <w:bCs/>
          <w:rFonts w:ascii="Times New Roman" w:hAnsi="Times New Roman" w:cs="Times New Roman" w:eastAsia="仿宋_GB2312"/>
        </w:rPr>
        <w:fldChar w:fldCharType="end"/>
      </w:r>
      <w:r>
        <w:rPr>
          <w:rFonts w:ascii="Times New Roman" w:hAnsi="Times New Roman" w:cs="Times New Roman" w:eastAsia="仿宋_GB2312"/>
          <w:b/>
          <w:bCs/>
          <w:sz w:val="32"/>
          <w:szCs w:val="32"/>
        </w:rPr>
        <w:t>物流体系不够完善。</w:t>
      </w:r>
      <w:r>
        <w:rPr>
          <w:rFonts w:ascii="Times New Roman" w:hAnsi="Times New Roman" w:cs="Times New Roman" w:eastAsia="仿宋_GB2312"/>
          <w:sz w:val="32"/>
          <w:szCs w:val="32"/>
        </w:rPr>
        <w:t>目前流通体系现代化水平依然不高，流通网络分布尚不均衡、覆盖仍有盲区，物流运输体系一体化衔接水平不高、智能化程度较低，流通产业与其他产业融合发展不够、市场主体竞争力不强，商品和要素自由流通不够顺畅、市场机制有待健全。商贸综合体、物流园、农村电商等项目建设进程不快，物流体系尚不完善。</w:t>
      </w:r>
      <w:r>
        <w:rPr>
          <w:rFonts w:ascii="Times New Roman" w:hAnsi="Times New Roman" w:cs="Times New Roman" w:eastAsia="仿宋_GB2312"/>
          <w:b/>
          <w:bCs/>
          <w:sz w:val="32"/>
          <w:szCs w:val="32"/>
        </w:rPr>
        <w:fldChar w:fldCharType="begin"/>
      </w:r>
      <w:r>
        <w:rPr>
          <w:sz w:val="32"/>
          <w:b/>
          <w:szCs w:val="32"/>
          <w:bCs/>
          <w:rFonts w:ascii="Times New Roman" w:hAnsi="Times New Roman" w:cs="Times New Roman" w:eastAsia="仿宋_GB2312"/>
        </w:rPr>
        <w:instrText> =   4 \* GB3</w:instrText>
      </w:r>
      <w:r>
        <w:rPr>
          <w:sz w:val="32"/>
          <w:b/>
          <w:szCs w:val="32"/>
          <w:bCs/>
          <w:rFonts w:ascii="Times New Roman" w:hAnsi="Times New Roman" w:cs="Times New Roman" w:eastAsia="仿宋_GB2312"/>
        </w:rPr>
        <w:fldChar w:fldCharType="separate"/>
      </w:r>
      <w:r>
        <w:rPr>
          <w:sz w:val="32"/>
          <w:b/>
          <w:szCs w:val="32"/>
          <w:bCs/>
          <w:rFonts w:ascii="Times New Roman" w:hAnsi="Times New Roman" w:cs="Times New Roman" w:eastAsia="仿宋_GB2312"/>
        </w:rPr>
        <w:t>④</w:t>
      </w:r>
      <w:r>
        <w:rPr>
          <w:sz w:val="32"/>
          <w:b/>
          <w:szCs w:val="32"/>
          <w:bCs/>
          <w:rFonts w:ascii="Times New Roman" w:hAnsi="Times New Roman" w:cs="Times New Roman" w:eastAsia="仿宋_GB2312"/>
        </w:rPr>
        <w:fldChar w:fldCharType="end"/>
      </w:r>
      <w:r>
        <w:rPr>
          <w:rFonts w:ascii="Times New Roman" w:hAnsi="Times New Roman" w:cs="Times New Roman" w:eastAsia="仿宋_GB2312"/>
          <w:b/>
          <w:bCs/>
          <w:sz w:val="32"/>
          <w:szCs w:val="32"/>
        </w:rPr>
        <w:t>电子商务不够发达。</w:t>
      </w:r>
      <w:r>
        <w:rPr>
          <w:rFonts w:ascii="Times New Roman" w:hAnsi="Times New Roman" w:cs="Times New Roman" w:eastAsia="仿宋_GB2312"/>
          <w:sz w:val="32"/>
          <w:szCs w:val="32"/>
        </w:rPr>
        <w:t>对电商的扶持力度不够，电子商务站点建设滞后，目前，还没有一个站点完成示范性站点建设，网络不健全，在一定程度上降低了电商企业来县域投资、创业、发展的吸引力。电商企业培育不够。电商人才紧缺，特别是领军型、统筹型、创新型人才缺乏。</w:t>
      </w:r>
      <w:bookmarkStart w:id="21" w:name="_Toc46750223"/>
      <w:r>
        <w:br w:type="page"/>
      </w:r>
    </w:p>
    <w:p>
      <w:pPr>
        <w:pStyle w:val="1"/>
        <w:rPr>
          <w:rFonts w:ascii="Times New Roman" w:hAnsi="Times New Roman" w:eastAsia="仿宋_GB2312" w:cs="Times New Roman"/>
          <w:b/>
          <w:b/>
          <w:bCs/>
          <w:lang w:val="zh-CN"/>
        </w:rPr>
      </w:pPr>
      <w:bookmarkStart w:id="22" w:name="_Toc82074842"/>
      <w:r>
        <w:rPr/>
        <w:t>第二章</w:t>
      </w:r>
      <w:bookmarkStart w:id="23" w:name="_Hlk41212682"/>
      <w:r>
        <w:rPr/>
        <w:t xml:space="preserve">  “十四五”发展环境</w:t>
      </w:r>
      <w:bookmarkEnd w:id="22"/>
    </w:p>
    <w:p>
      <w:pPr>
        <w:pStyle w:val="Style16"/>
        <w:spacing w:lineRule="auto" w:line="360"/>
        <w:ind w:firstLineChars="200" w:firstLine="0"/>
        <w:rPr>
          <w:rFonts w:ascii="Times New Roman" w:hAnsi="Times New Roman" w:eastAsia="仿宋_GB2312" w:cs="Times New Roman"/>
          <w:bCs/>
          <w:sz w:val="32"/>
          <w:szCs w:val="32"/>
        </w:rPr>
      </w:pPr>
      <w:r>
        <w:rPr>
          <w:rFonts w:ascii="Times New Roman" w:hAnsi="Times New Roman" w:cs="Times New Roman" w:eastAsia="仿宋_GB2312"/>
          <w:b/>
          <w:sz w:val="32"/>
          <w:szCs w:val="32"/>
        </w:rPr>
        <w:t>从国际看，</w:t>
      </w:r>
      <w:r>
        <w:rPr>
          <w:rFonts w:ascii="Times New Roman" w:hAnsi="Times New Roman" w:cs="Times New Roman" w:eastAsia="仿宋_GB2312"/>
          <w:bCs/>
          <w:sz w:val="32"/>
          <w:szCs w:val="32"/>
        </w:rPr>
        <w:t>当今世界正经历百年未有之大变局。新一轮科技革命和产业变革深入发展，数字化、网络化、智能化趋势加快。国际力量对比深刻调整，双边、区域经济合作势头上升，“一带一路”朋友圈不断扩大，人类命运共同体理念深入人心。同时，错综复杂的国际环境带来新矛盾新挑战，商务发展外部环境的不稳定性不确定性明显增加。经济全球化遭遇逆流，单边主义、保护主义、霸权主义抬头，各国内顾倾向上升、安全顾虑增加，贸易投资壁垒日益增多，国际产业链、供应链向区域化、本土化深刻调整。全球经济治理难度加大，多边贸易体制面临严峻挑战，国际经贸规则更趋碎片化。</w:t>
      </w:r>
    </w:p>
    <w:p>
      <w:pPr>
        <w:pStyle w:val="Style16"/>
        <w:spacing w:lineRule="auto" w:line="360"/>
        <w:ind w:firstLineChars="200" w:firstLine="0"/>
        <w:rPr>
          <w:rFonts w:ascii="Times New Roman" w:hAnsi="Times New Roman" w:eastAsia="仿宋_GB2312" w:cs="Times New Roman"/>
          <w:bCs/>
          <w:sz w:val="32"/>
          <w:szCs w:val="32"/>
        </w:rPr>
      </w:pPr>
      <w:r>
        <w:rPr>
          <w:rFonts w:ascii="Times New Roman" w:hAnsi="Times New Roman" w:cs="Times New Roman" w:eastAsia="仿宋_GB2312"/>
          <w:b/>
          <w:sz w:val="32"/>
          <w:szCs w:val="32"/>
        </w:rPr>
        <w:t>从国内看，</w:t>
      </w:r>
      <w:r>
        <w:rPr>
          <w:rFonts w:ascii="Times New Roman" w:hAnsi="Times New Roman" w:cs="Times New Roman" w:eastAsia="仿宋_GB2312"/>
          <w:bCs/>
          <w:sz w:val="32"/>
          <w:szCs w:val="32"/>
        </w:rPr>
        <w:t>我国已转向高质量发展阶段。独特的政治优势和制度优势为商务高质量发展提供了根本保障。经济稳中向好、长期向好的基本趋势没有改变。超大规模市场优势日益显现，产业体系完备，人力资源丰富，新业态、新模式快速发展，为消费提质扩容、贸易创新发展、双向投资优化提供了广阔空间和强劲动力。同时，国内社会主要矛盾变化带来新特征新要求，商务发展面临的不平衡、不充分问题仍然突出。要素成本持续上升，资源环境约束趋紧，我国传统竞争优势逐渐弱化，国际合作和竞争新优势需加快重塑。高质量商品和服务供给仍然不足，消费需求新增长点需深入挖掘，商贸流通现代化水平有待提高，与业态模式创新相适应的监管体系需加快构建。</w:t>
      </w:r>
    </w:p>
    <w:p>
      <w:pPr>
        <w:pStyle w:val="Style16"/>
        <w:spacing w:lineRule="auto" w:line="360"/>
        <w:ind w:firstLineChars="200" w:firstLine="0"/>
        <w:rPr>
          <w:rFonts w:ascii="Times New Roman" w:hAnsi="Times New Roman" w:eastAsia="仿宋_GB2312" w:cs="Times New Roman"/>
          <w:bCs/>
          <w:sz w:val="32"/>
          <w:szCs w:val="32"/>
        </w:rPr>
      </w:pPr>
      <w:r>
        <w:rPr>
          <w:rFonts w:ascii="Times New Roman" w:hAnsi="Times New Roman" w:cs="Times New Roman" w:eastAsia="仿宋_GB2312"/>
          <w:b/>
          <w:sz w:val="32"/>
          <w:szCs w:val="32"/>
        </w:rPr>
        <w:t>从省内看，</w:t>
      </w:r>
      <w:r>
        <w:rPr>
          <w:rFonts w:ascii="Times New Roman" w:hAnsi="Times New Roman" w:cs="Times New Roman" w:eastAsia="仿宋_GB2312"/>
          <w:bCs/>
          <w:sz w:val="32"/>
          <w:szCs w:val="32"/>
        </w:rPr>
        <w:t>习近平总书记在湘考察时勉励湖南“打造内陆地区改革开放的高地”，为“十四五”湖南商务和开放型经济高质量发展指明了前进方向。湖南“一带一部”区位优势明显，居民消费潜力较大，投资增长后劲较足，在新基建、能源设施、综合交通、流通体系、新型城镇化等领域有较大空间，自贸试验区、中非经贸博览会等众多国家级平台相继获批，自贸试验区和中非经贸深度合作先行区双平台优势叠加，随着“一带一路”、长江经济带、中部崛起、粤港澳大湾区、成渝经济圈等国家战略的加快实施，全省开放发展面临重大机遇、蕴涵巨大潜能。</w:t>
      </w:r>
    </w:p>
    <w:p>
      <w:pPr>
        <w:pStyle w:val="Style16"/>
        <w:spacing w:lineRule="auto" w:line="360"/>
        <w:ind w:firstLineChars="200" w:firstLine="0"/>
        <w:rPr>
          <w:rFonts w:ascii="Times New Roman" w:hAnsi="Times New Roman" w:eastAsia="仿宋_GB2312" w:cs="Times New Roman"/>
          <w:bCs/>
          <w:sz w:val="32"/>
          <w:szCs w:val="32"/>
        </w:rPr>
      </w:pPr>
      <w:r>
        <w:rPr>
          <w:rFonts w:ascii="Times New Roman" w:hAnsi="Times New Roman" w:cs="Times New Roman" w:eastAsia="仿宋_GB2312"/>
          <w:b/>
          <w:sz w:val="32"/>
          <w:szCs w:val="32"/>
        </w:rPr>
        <w:t>从州内看，</w:t>
      </w:r>
      <w:r>
        <w:rPr>
          <w:rFonts w:ascii="Times New Roman" w:hAnsi="Times New Roman" w:cs="Times New Roman" w:eastAsia="仿宋_GB2312"/>
          <w:bCs/>
          <w:sz w:val="32"/>
          <w:szCs w:val="32"/>
        </w:rPr>
        <w:t>湘西州地处湘鄂黔渝四省市交界处，是国家西部大开发、武陵山片区区域发展与扶贫攻坚先行先试地区，是湖南省唯一的少数民族自治州。民俗风情浓郁，是湖南唯一土家族苗族文化生态保护区，有</w:t>
      </w:r>
      <w:r>
        <w:rPr>
          <w:rFonts w:eastAsia="仿宋_GB2312" w:cs="Times New Roman" w:ascii="Times New Roman" w:hAnsi="Times New Roman"/>
          <w:bCs/>
          <w:sz w:val="32"/>
          <w:szCs w:val="32"/>
        </w:rPr>
        <w:t>26</w:t>
      </w:r>
      <w:r>
        <w:rPr>
          <w:rFonts w:ascii="Times New Roman" w:hAnsi="Times New Roman" w:cs="Times New Roman" w:eastAsia="仿宋_GB2312"/>
          <w:bCs/>
          <w:sz w:val="32"/>
          <w:szCs w:val="32"/>
        </w:rPr>
        <w:t>个国家级非物质文化遗产名录；历史文化厚重，有国家级历史文化名城凤凰古城、老司城等</w:t>
      </w:r>
      <w:r>
        <w:rPr>
          <w:rFonts w:eastAsia="仿宋_GB2312" w:cs="Times New Roman" w:ascii="Times New Roman" w:hAnsi="Times New Roman"/>
          <w:bCs/>
          <w:sz w:val="32"/>
          <w:szCs w:val="32"/>
        </w:rPr>
        <w:t>13</w:t>
      </w:r>
      <w:r>
        <w:rPr>
          <w:rFonts w:ascii="Times New Roman" w:hAnsi="Times New Roman" w:cs="Times New Roman" w:eastAsia="仿宋_GB2312"/>
          <w:bCs/>
          <w:sz w:val="32"/>
          <w:szCs w:val="32"/>
        </w:rPr>
        <w:t>个国家重点文物保护单位；山水风光神奇，湘西拥有</w:t>
      </w:r>
      <w:r>
        <w:rPr>
          <w:rFonts w:eastAsia="仿宋_GB2312" w:cs="Times New Roman" w:ascii="Times New Roman" w:hAnsi="Times New Roman"/>
          <w:bCs/>
          <w:sz w:val="32"/>
          <w:szCs w:val="32"/>
        </w:rPr>
        <w:t>137</w:t>
      </w:r>
      <w:r>
        <w:rPr>
          <w:rFonts w:ascii="Times New Roman" w:hAnsi="Times New Roman" w:cs="Times New Roman" w:eastAsia="仿宋_GB2312"/>
          <w:bCs/>
          <w:sz w:val="32"/>
          <w:szCs w:val="32"/>
        </w:rPr>
        <w:t>个国字号生态文化旅游品牌，荣膺“中国十佳魅力城市”和“最佳旅游去处”；资源禀赋独特，山地、农业、水利、矿产等资源十分丰富。湘西州位于长沙、重庆、贵阳等</w:t>
      </w:r>
      <w:r>
        <w:rPr>
          <w:rFonts w:eastAsia="仿宋_GB2312" w:cs="Times New Roman" w:ascii="Times New Roman" w:hAnsi="Times New Roman"/>
          <w:bCs/>
          <w:sz w:val="32"/>
          <w:szCs w:val="32"/>
        </w:rPr>
        <w:t>4</w:t>
      </w:r>
      <w:r>
        <w:rPr>
          <w:rFonts w:ascii="Times New Roman" w:hAnsi="Times New Roman" w:cs="Times New Roman" w:eastAsia="仿宋_GB2312"/>
          <w:bCs/>
          <w:sz w:val="32"/>
          <w:szCs w:val="32"/>
        </w:rPr>
        <w:t>小时经济圈。多条高速公路纵横相连，铜仁凤凰机场、张家界荷花机场、怀化芷江机场、常德桃源机场毗邻相接，湘西花垣机场正在加速建设中，张吉怀高铁将于</w:t>
      </w:r>
      <w:r>
        <w:rPr>
          <w:rFonts w:eastAsia="仿宋_GB2312" w:cs="Times New Roman" w:ascii="Times New Roman" w:hAnsi="Times New Roman"/>
          <w:bCs/>
          <w:sz w:val="32"/>
          <w:szCs w:val="32"/>
        </w:rPr>
        <w:t>2021</w:t>
      </w:r>
      <w:r>
        <w:rPr>
          <w:rFonts w:ascii="Times New Roman" w:hAnsi="Times New Roman" w:cs="Times New Roman" w:eastAsia="仿宋_GB2312"/>
          <w:bCs/>
          <w:sz w:val="32"/>
          <w:szCs w:val="32"/>
        </w:rPr>
        <w:t>年</w:t>
      </w:r>
      <w:r>
        <w:rPr>
          <w:rFonts w:eastAsia="仿宋_GB2312" w:cs="Times New Roman" w:ascii="Times New Roman" w:hAnsi="Times New Roman"/>
          <w:bCs/>
          <w:sz w:val="32"/>
          <w:szCs w:val="32"/>
        </w:rPr>
        <w:t>10</w:t>
      </w:r>
      <w:r>
        <w:rPr>
          <w:rFonts w:ascii="Times New Roman" w:hAnsi="Times New Roman" w:cs="Times New Roman" w:eastAsia="仿宋_GB2312"/>
          <w:bCs/>
          <w:sz w:val="32"/>
          <w:szCs w:val="32"/>
        </w:rPr>
        <w:t>月份开通运营，将为湘西州的经济发展注入新的强劲动力。</w:t>
      </w:r>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b/>
          <w:bCs/>
          <w:sz w:val="32"/>
          <w:szCs w:val="32"/>
        </w:rPr>
        <w:t>从县内看，</w:t>
      </w:r>
      <w:r>
        <w:rPr>
          <w:rFonts w:ascii="Times New Roman" w:hAnsi="Times New Roman" w:cs="Times New Roman" w:eastAsia="仿宋_GB2312"/>
          <w:sz w:val="32"/>
          <w:szCs w:val="32"/>
        </w:rPr>
        <w:t>历届县委、县政府一届接着一届干，在生态文化旅游、农业特色产业、城市建设、区域协调发展等领域打下了坚实基础、催生了发展新态势，特别是随着铁路、高速公路等交通瓶颈破解，聚集人流、物流、资金流、信息流、技术流更加快捷高效，龙山已处于重要的历史发展期，加之当前全县上下期盼发展的愿望和推动发展的激情愈加强烈，为全县推进新一轮大发展蓄积了新势能。</w:t>
      </w:r>
    </w:p>
    <w:p>
      <w:pPr>
        <w:pStyle w:val="Style16"/>
        <w:widowControl/>
        <w:jc w:val="left"/>
        <w:rPr>
          <w:rFonts w:ascii="Times New Roman" w:hAnsi="Times New Roman" w:eastAsia="仿宋_GB2312" w:cs="Times New Roman"/>
          <w:b/>
          <w:b/>
          <w:kern w:val="0"/>
          <w:sz w:val="32"/>
          <w:szCs w:val="32"/>
        </w:rPr>
      </w:pPr>
      <w:r>
        <w:rPr>
          <w:rFonts w:eastAsia="仿宋_GB2312" w:cs="Times New Roman" w:ascii="Times New Roman" w:hAnsi="Times New Roman"/>
          <w:b/>
          <w:kern w:val="0"/>
          <w:sz w:val="32"/>
          <w:szCs w:val="32"/>
        </w:rPr>
      </w:r>
      <w:r>
        <w:br w:type="page"/>
      </w:r>
    </w:p>
    <w:p>
      <w:pPr>
        <w:pStyle w:val="1"/>
        <w:rPr>
          <w:rFonts w:ascii="Times New Roman" w:hAnsi="Times New Roman" w:eastAsia="仿宋_GB2312" w:cs="Times New Roman"/>
          <w:b/>
          <w:b/>
          <w:bCs/>
          <w:lang w:val="zh-CN"/>
        </w:rPr>
      </w:pPr>
      <w:bookmarkStart w:id="24" w:name="_Toc82074843"/>
      <w:r>
        <w:rPr/>
        <w:t>第三章  “十四五”</w:t>
      </w:r>
      <w:bookmarkEnd w:id="23"/>
      <w:r>
        <w:rPr/>
        <w:t>总体要求</w:t>
      </w:r>
      <w:bookmarkEnd w:id="21"/>
      <w:bookmarkEnd w:id="24"/>
    </w:p>
    <w:p>
      <w:pPr>
        <w:pStyle w:val="2"/>
        <w:rPr>
          <w:rFonts w:ascii="Times New Roman" w:hAnsi="Times New Roman" w:eastAsia="仿宋_GB2312" w:cs="Times New Roman"/>
          <w:b/>
          <w:b/>
          <w:bCs/>
          <w:lang w:val="zh-CN"/>
        </w:rPr>
      </w:pPr>
      <w:bookmarkStart w:id="25" w:name="_Toc82074844"/>
      <w:bookmarkStart w:id="26" w:name="_Toc46750224"/>
      <w:r>
        <w:rPr/>
        <w:t>第一节  指导思想</w:t>
      </w:r>
      <w:bookmarkEnd w:id="25"/>
      <w:bookmarkEnd w:id="26"/>
    </w:p>
    <w:p>
      <w:pPr>
        <w:pStyle w:val="Style16"/>
        <w:spacing w:lineRule="auto" w:line="360"/>
        <w:ind w:firstLineChars="200" w:firstLine="0"/>
        <w:rPr>
          <w:rFonts w:ascii="Times New Roman" w:hAnsi="Times New Roman" w:eastAsia="仿宋_GB2312" w:cs="Times New Roman"/>
          <w:b/>
          <w:b/>
          <w:bCs/>
          <w:sz w:val="32"/>
          <w:szCs w:val="32"/>
        </w:rPr>
      </w:pPr>
      <w:r>
        <w:rPr>
          <w:rFonts w:ascii="Times New Roman" w:hAnsi="Times New Roman" w:cs="Times New Roman" w:eastAsia="仿宋_GB2312"/>
          <w:bCs/>
          <w:sz w:val="32"/>
          <w:szCs w:val="32"/>
        </w:rPr>
        <w:t>以习近平新时代中国特色社会主义思想为指导，紧抓新一轮科技革命和产业变革机遇，</w:t>
      </w:r>
      <w:r>
        <w:rPr>
          <w:rFonts w:ascii="Times New Roman" w:hAnsi="Times New Roman" w:cs="Times New Roman" w:eastAsia="仿宋_GB2312"/>
          <w:sz w:val="32"/>
          <w:szCs w:val="32"/>
        </w:rPr>
        <w:t>统筹推进“五位一体”总体布局，协调推进“四个全面”战略布局，坚决贯彻落实县委县政府“十四五”时期建设</w:t>
      </w:r>
      <w:bookmarkStart w:id="27" w:name="_Hlk38181609"/>
      <w:r>
        <w:rPr>
          <w:rFonts w:ascii="Times New Roman" w:hAnsi="Times New Roman" w:cs="Times New Roman" w:eastAsia="仿宋_GB2312"/>
          <w:sz w:val="32"/>
          <w:szCs w:val="32"/>
        </w:rPr>
        <w:t>美丽开放智慧幸福</w:t>
      </w:r>
      <w:bookmarkEnd w:id="27"/>
      <w:r>
        <w:rPr>
          <w:rFonts w:ascii="Times New Roman" w:hAnsi="Times New Roman" w:cs="Times New Roman" w:eastAsia="仿宋_GB2312"/>
          <w:sz w:val="32"/>
          <w:szCs w:val="32"/>
        </w:rPr>
        <w:t>新龙山的决策部署和总体愿景；紧紧把握推动县域高质量特色赶超发展、创新驱动要求，坚持底线思维，坚持稳中求进总基调，坚持以供给侧结构性改革为主线；坚决贯彻落实湖南“三高四新”战略和州委“</w:t>
      </w:r>
      <w:r>
        <w:rPr>
          <w:rFonts w:eastAsia="仿宋_GB2312" w:cs="Times New Roman" w:ascii="Times New Roman" w:hAnsi="Times New Roman"/>
          <w:sz w:val="32"/>
          <w:szCs w:val="32"/>
        </w:rPr>
        <w:t>562</w:t>
      </w:r>
      <w:r>
        <w:rPr>
          <w:rFonts w:ascii="Times New Roman" w:hAnsi="Times New Roman" w:cs="Times New Roman" w:eastAsia="仿宋_GB2312"/>
          <w:sz w:val="32"/>
          <w:szCs w:val="32"/>
        </w:rPr>
        <w:t>”发展思路，紧紧围绕县委“</w:t>
      </w:r>
      <w:r>
        <w:rPr>
          <w:rFonts w:eastAsia="仿宋_GB2312" w:cs="Times New Roman" w:ascii="Times New Roman" w:hAnsi="Times New Roman"/>
          <w:sz w:val="32"/>
          <w:szCs w:val="32"/>
        </w:rPr>
        <w:t>554</w:t>
      </w:r>
      <w:r>
        <w:rPr>
          <w:rFonts w:ascii="Times New Roman" w:hAnsi="Times New Roman" w:cs="Times New Roman" w:eastAsia="仿宋_GB2312"/>
          <w:sz w:val="32"/>
          <w:szCs w:val="32"/>
        </w:rPr>
        <w:t>”工程，通过深入实施经济发展五大“</w:t>
      </w:r>
      <w:r>
        <w:rPr>
          <w:rFonts w:eastAsia="仿宋_GB2312" w:cs="Times New Roman" w:ascii="Times New Roman" w:hAnsi="Times New Roman"/>
          <w:sz w:val="32"/>
          <w:szCs w:val="32"/>
        </w:rPr>
        <w:t>1711</w:t>
      </w:r>
      <w:r>
        <w:rPr>
          <w:rFonts w:ascii="Times New Roman" w:hAnsi="Times New Roman" w:cs="Times New Roman" w:eastAsia="仿宋_GB2312"/>
          <w:sz w:val="32"/>
          <w:szCs w:val="32"/>
        </w:rPr>
        <w:t>”行动和社会发展“五个龙山”建设，奋力实现州域北部重点经济区、湘西北重要窗口城市、湘鄂渝边区商贸物流中心和武陵山片区全域旅游新高地“四大愿景”，牢牢把握“稳增长”这一主线，按照“</w:t>
      </w:r>
      <w:r>
        <w:rPr>
          <w:rFonts w:ascii="Times New Roman" w:hAnsi="Times New Roman" w:cs="Times New Roman" w:eastAsia="仿宋_GB2312"/>
          <w:b/>
          <w:bCs/>
          <w:sz w:val="32"/>
          <w:szCs w:val="32"/>
        </w:rPr>
        <w:t>打基础、转方式、抓特色、树品牌、优环境、建体系、强监管</w:t>
      </w:r>
      <w:r>
        <w:rPr>
          <w:rFonts w:ascii="Times New Roman" w:hAnsi="Times New Roman" w:cs="Times New Roman" w:eastAsia="仿宋_GB2312"/>
          <w:sz w:val="32"/>
          <w:szCs w:val="32"/>
        </w:rPr>
        <w:t>”的思路，加快推进商贸流通业转型升级、创新发展，发挥大市场、大流通、大商贸对生产和消费的先导作用和带动作用，形成与龙山县经济社会高质量跨越发展和谐匹配的新格局，发挥龙山处在全州对外开放前沿的优势，以龙凤经济协作区建设为载体，进一步提高商贸流通业对全县经济增长的贡献率，努力将龙山建成</w:t>
      </w:r>
      <w:r>
        <w:rPr>
          <w:rFonts w:ascii="Times New Roman" w:hAnsi="Times New Roman" w:cs="Times New Roman" w:eastAsia="仿宋_GB2312"/>
          <w:b/>
          <w:bCs/>
          <w:sz w:val="32"/>
          <w:szCs w:val="32"/>
        </w:rPr>
        <w:t>湘鄂渝边区商贸物流中心、武陵山片区商贸服务中心、湘西州外贸进出口重要区域</w:t>
      </w:r>
      <w:r>
        <w:rPr>
          <w:rFonts w:ascii="Times New Roman" w:hAnsi="Times New Roman" w:cs="Times New Roman" w:eastAsia="仿宋_GB2312"/>
          <w:sz w:val="32"/>
          <w:szCs w:val="32"/>
        </w:rPr>
        <w:t>。</w:t>
      </w:r>
    </w:p>
    <w:p>
      <w:pPr>
        <w:pStyle w:val="2"/>
        <w:rPr>
          <w:rFonts w:ascii="Times New Roman" w:hAnsi="Times New Roman" w:eastAsia="仿宋_GB2312" w:cs="Times New Roman"/>
          <w:b/>
          <w:b/>
          <w:bCs/>
          <w:lang w:val="zh-CN"/>
        </w:rPr>
      </w:pPr>
      <w:bookmarkStart w:id="28" w:name="_Toc82074845"/>
      <w:bookmarkStart w:id="29" w:name="_Toc46750225"/>
      <w:r>
        <w:rPr/>
        <w:t>第二节  基本原则</w:t>
      </w:r>
      <w:bookmarkEnd w:id="28"/>
      <w:bookmarkEnd w:id="29"/>
    </w:p>
    <w:p>
      <w:pPr>
        <w:pStyle w:val="Style16"/>
        <w:spacing w:lineRule="auto" w:line="360"/>
        <w:ind w:firstLineChars="200" w:firstLine="0"/>
        <w:rPr>
          <w:rFonts w:ascii="Times New Roman" w:hAnsi="Times New Roman" w:eastAsia="仿宋_GB2312" w:cs="Times New Roman"/>
          <w:sz w:val="32"/>
          <w:szCs w:val="32"/>
        </w:rPr>
      </w:pPr>
      <w:bookmarkStart w:id="30" w:name="_Toc46750226"/>
      <w:r>
        <w:rPr>
          <w:rFonts w:ascii="Times New Roman" w:hAnsi="Times New Roman" w:cs="Times New Roman" w:eastAsia="仿宋_GB2312"/>
          <w:b/>
          <w:bCs/>
          <w:sz w:val="32"/>
          <w:szCs w:val="32"/>
        </w:rPr>
        <w:t>——突出重点，统筹发展</w:t>
      </w:r>
      <w:bookmarkEnd w:id="30"/>
      <w:r>
        <w:rPr>
          <w:rFonts w:ascii="Times New Roman" w:hAnsi="Times New Roman" w:cs="Times New Roman" w:eastAsia="仿宋_GB2312"/>
          <w:b/>
          <w:bCs/>
          <w:sz w:val="32"/>
          <w:szCs w:val="32"/>
        </w:rPr>
        <w:t>。</w:t>
      </w:r>
      <w:r>
        <w:rPr>
          <w:rFonts w:ascii="Times New Roman" w:hAnsi="Times New Roman" w:cs="Times New Roman" w:eastAsia="仿宋_GB2312"/>
          <w:sz w:val="32"/>
          <w:szCs w:val="32"/>
        </w:rPr>
        <w:t>突出龙山县建设湘鄂渝边区商贸物流中心、武陵山片区商贸服务中心、湘西州外贸进出口重要区域。从全局出发，统筹国内、国际两个大局，统筹开发与保护，传承与创新，开发与开放，规模与效益、质量与速度，坚持内外贸并举，“引进来”与“走出去”有机结合，促进内外贸一体化、融合化和协同化发展。</w:t>
      </w:r>
    </w:p>
    <w:p>
      <w:pPr>
        <w:pStyle w:val="Style16"/>
        <w:spacing w:lineRule="auto" w:line="360"/>
        <w:ind w:firstLineChars="200" w:firstLine="0"/>
        <w:rPr>
          <w:rFonts w:ascii="Times New Roman" w:hAnsi="Times New Roman" w:eastAsia="仿宋_GB2312" w:cs="Times New Roman"/>
          <w:sz w:val="32"/>
          <w:szCs w:val="32"/>
        </w:rPr>
      </w:pPr>
      <w:bookmarkStart w:id="31" w:name="_Toc46750227"/>
      <w:r>
        <w:rPr>
          <w:rFonts w:ascii="Times New Roman" w:hAnsi="Times New Roman" w:cs="Times New Roman" w:eastAsia="仿宋_GB2312"/>
          <w:b/>
          <w:bCs/>
          <w:sz w:val="32"/>
          <w:szCs w:val="32"/>
        </w:rPr>
        <w:t>——科学谋划，协调发展</w:t>
      </w:r>
      <w:bookmarkEnd w:id="31"/>
      <w:r>
        <w:rPr>
          <w:rFonts w:ascii="Times New Roman" w:hAnsi="Times New Roman" w:cs="Times New Roman" w:eastAsia="仿宋_GB2312"/>
          <w:b/>
          <w:bCs/>
          <w:sz w:val="32"/>
          <w:szCs w:val="32"/>
        </w:rPr>
        <w:t>。</w:t>
      </w:r>
      <w:r>
        <w:rPr>
          <w:rFonts w:ascii="Times New Roman" w:hAnsi="Times New Roman" w:cs="Times New Roman" w:eastAsia="仿宋_GB2312"/>
          <w:sz w:val="32"/>
          <w:szCs w:val="32"/>
        </w:rPr>
        <w:t>立足实际，科学合理布局。紧抓龙山县商务发展的关键性问题和突出矛盾，按照“打基础、转方式、抓特色、树品牌、优环境、建体系、强监管”的思路，坚持科学规划，强调导向性，集中力量引导发展资源向重点领域集聚，分步骤、分阶段、切实有效的推进各项工作稳步实施。坚持商务发展与龙山工业、旅游、农业、交通、文化等产业互相配合，发挥产业间的相互带动功能，实现产业联动发展，实现地区之间优势互补、区域发展均衡。</w:t>
      </w:r>
    </w:p>
    <w:p>
      <w:pPr>
        <w:pStyle w:val="Style16"/>
        <w:spacing w:lineRule="auto" w:line="360"/>
        <w:ind w:firstLineChars="200" w:firstLine="0"/>
        <w:rPr>
          <w:rFonts w:ascii="Times New Roman" w:hAnsi="Times New Roman" w:eastAsia="仿宋_GB2312" w:cs="Times New Roman"/>
          <w:sz w:val="32"/>
          <w:szCs w:val="32"/>
        </w:rPr>
      </w:pPr>
      <w:bookmarkStart w:id="32" w:name="_Toc46750228"/>
      <w:r>
        <w:rPr>
          <w:rFonts w:ascii="Times New Roman" w:hAnsi="Times New Roman" w:cs="Times New Roman" w:eastAsia="仿宋_GB2312"/>
          <w:b/>
          <w:bCs/>
          <w:sz w:val="32"/>
          <w:szCs w:val="32"/>
        </w:rPr>
        <w:t>——抢抓机遇，跨越发展</w:t>
      </w:r>
      <w:bookmarkEnd w:id="32"/>
      <w:r>
        <w:rPr>
          <w:rFonts w:ascii="Times New Roman" w:hAnsi="Times New Roman" w:cs="Times New Roman" w:eastAsia="仿宋_GB2312"/>
          <w:b/>
          <w:bCs/>
          <w:sz w:val="32"/>
          <w:szCs w:val="32"/>
        </w:rPr>
        <w:t>。</w:t>
      </w:r>
      <w:r>
        <w:rPr>
          <w:rFonts w:ascii="Times New Roman" w:hAnsi="Times New Roman" w:cs="Times New Roman" w:eastAsia="仿宋_GB2312"/>
          <w:sz w:val="32"/>
          <w:szCs w:val="32"/>
        </w:rPr>
        <w:t>把握经济社会和商务发展变化趋势，主动认识、适应新矛盾，抓住国家加快实施西部再开发、湘西承接产业转移示范区建设的有利机遇，以建成“湘西州北部的重点经济区”为导向加快发展，以服务大局为导向提升实力，坚持扩大商务规模和提升质量效益相统一，坚持高起点、高标准，注重前瞻性，关注发展动态，强调动态调整，不断开拓新的领域，培育新的增长动力，实现跨越发展。</w:t>
      </w:r>
    </w:p>
    <w:p>
      <w:pPr>
        <w:pStyle w:val="Style16"/>
        <w:spacing w:lineRule="auto" w:line="360"/>
        <w:ind w:firstLineChars="200" w:firstLine="0"/>
        <w:rPr>
          <w:rFonts w:ascii="Times New Roman" w:hAnsi="Times New Roman" w:eastAsia="仿宋_GB2312" w:cs="Times New Roman"/>
          <w:sz w:val="32"/>
          <w:szCs w:val="32"/>
        </w:rPr>
      </w:pPr>
      <w:bookmarkStart w:id="33" w:name="_Toc46750229"/>
      <w:r>
        <w:rPr>
          <w:rFonts w:ascii="Times New Roman" w:hAnsi="Times New Roman" w:cs="Times New Roman" w:eastAsia="仿宋_GB2312"/>
          <w:b/>
          <w:bCs/>
          <w:sz w:val="32"/>
          <w:szCs w:val="32"/>
        </w:rPr>
        <w:t>——深化改革，创新发展</w:t>
      </w:r>
      <w:bookmarkEnd w:id="33"/>
      <w:r>
        <w:rPr>
          <w:rFonts w:ascii="Times New Roman" w:hAnsi="Times New Roman" w:cs="Times New Roman" w:eastAsia="仿宋_GB2312"/>
          <w:b/>
          <w:bCs/>
          <w:sz w:val="32"/>
          <w:szCs w:val="32"/>
        </w:rPr>
        <w:t>。</w:t>
      </w:r>
      <w:r>
        <w:rPr>
          <w:rFonts w:ascii="Times New Roman" w:hAnsi="Times New Roman" w:cs="Times New Roman" w:eastAsia="仿宋_GB2312"/>
          <w:sz w:val="32"/>
          <w:szCs w:val="32"/>
        </w:rPr>
        <w:t>全面深化商务领域改革，创新体制机制，转变商务发展方式，以改革促进开放，以开放带动开发，把创新精神贯穿于支撑商务工作的各个层面，坚持以创新作为推动龙山县“十四五”商务发展的根本动力，增强竞争力，实现新跨越、新发展。</w:t>
      </w:r>
    </w:p>
    <w:p>
      <w:pPr>
        <w:pStyle w:val="Style16"/>
        <w:spacing w:lineRule="auto" w:line="360"/>
        <w:ind w:firstLineChars="200" w:firstLine="0"/>
        <w:rPr>
          <w:rFonts w:ascii="Times New Roman" w:hAnsi="Times New Roman" w:eastAsia="仿宋_GB2312" w:cs="Times New Roman"/>
          <w:sz w:val="32"/>
          <w:szCs w:val="32"/>
        </w:rPr>
      </w:pPr>
      <w:bookmarkStart w:id="34" w:name="_Toc46750230"/>
      <w:r>
        <w:rPr>
          <w:rFonts w:ascii="Times New Roman" w:hAnsi="Times New Roman" w:cs="Times New Roman" w:eastAsia="仿宋_GB2312"/>
          <w:b/>
          <w:bCs/>
          <w:sz w:val="32"/>
          <w:szCs w:val="32"/>
        </w:rPr>
        <w:t>——区域合作，和谐发展</w:t>
      </w:r>
      <w:bookmarkEnd w:id="34"/>
      <w:r>
        <w:rPr>
          <w:rFonts w:ascii="Times New Roman" w:hAnsi="Times New Roman" w:cs="Times New Roman" w:eastAsia="仿宋_GB2312"/>
          <w:b/>
          <w:bCs/>
          <w:sz w:val="32"/>
          <w:szCs w:val="32"/>
        </w:rPr>
        <w:t>。</w:t>
      </w:r>
      <w:r>
        <w:rPr>
          <w:rFonts w:ascii="Times New Roman" w:hAnsi="Times New Roman" w:cs="Times New Roman" w:eastAsia="仿宋_GB2312"/>
          <w:sz w:val="32"/>
          <w:szCs w:val="32"/>
        </w:rPr>
        <w:t>充分考虑龙山与周边县区的合理利益诉求，创新合作方式，拓展合作领域，完善合作机制，提升合作水平，以共同利益为合作基础，加强政府、企业、区域经济间的合作，更好推动“引进来”和“走出去”相结合，共同推进经济社会高质量发展，共同分享发展机遇和发展成果，广泛构建多领域、多层次的利益汇合点和利益共同体，打造周边命运共同体。</w:t>
      </w:r>
    </w:p>
    <w:p>
      <w:pPr>
        <w:pStyle w:val="2"/>
        <w:rPr>
          <w:rFonts w:ascii="Times New Roman" w:hAnsi="Times New Roman" w:eastAsia="仿宋_GB2312" w:cs="Times New Roman"/>
          <w:b/>
          <w:b/>
          <w:bCs/>
          <w:lang w:val="zh-CN"/>
        </w:rPr>
      </w:pPr>
      <w:bookmarkStart w:id="35" w:name="_Toc82074846"/>
      <w:bookmarkStart w:id="36" w:name="_Toc46750231"/>
      <w:r>
        <w:rPr/>
        <w:t>第三节  奋斗目标</w:t>
      </w:r>
      <w:bookmarkEnd w:id="35"/>
      <w:bookmarkEnd w:id="36"/>
    </w:p>
    <w:p>
      <w:pPr>
        <w:pStyle w:val="3"/>
        <w:ind/>
        <w:rPr>
          <w:rFonts w:ascii="Times New Roman" w:hAnsi="Times New Roman" w:eastAsia="仿宋_GB2312" w:cs="Times New Roman"/>
          <w:b/>
          <w:b/>
          <w:bCs/>
          <w:lang w:val="zh-CN"/>
        </w:rPr>
      </w:pPr>
      <w:bookmarkStart w:id="37" w:name="_Toc82074847"/>
      <w:bookmarkStart w:id="38" w:name="_Toc46750232"/>
      <w:r>
        <w:rPr/>
        <w:t>一、总体目标</w:t>
      </w:r>
      <w:bookmarkEnd w:id="37"/>
      <w:bookmarkEnd w:id="38"/>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实施招商引资“一号工程”，做大做强“文化旅游、商贸物流、现代农业、生物医药、电子信息”五大支柱产业，大力引进战略投资者。坚持扩大规模和优化结构并举，深入实施商贸主体、商品、市场和方式多元化战略，进一步提高进出口协调发展能力，着力培育扩大以技术、营销、品牌为核心的外贸竞争优势；积极承接产业转移，拓宽利用外资领域，推动全县利用外资总量上有较大跨越，质量上明显提升；加强市场体系建设，进一步扩大中药材、农产品综合批发市场规模，推进乡镇农贸市场的改扩建工程建设，促进县内贸易快速发展；以服务和改善民生为重点，大力实施商贸物流“</w:t>
      </w:r>
      <w:r>
        <w:rPr>
          <w:rFonts w:eastAsia="仿宋_GB2312" w:cs="Times New Roman" w:ascii="Times New Roman" w:hAnsi="Times New Roman"/>
          <w:sz w:val="32"/>
          <w:szCs w:val="32"/>
        </w:rPr>
        <w:t>1711</w:t>
      </w:r>
      <w:r>
        <w:rPr>
          <w:rFonts w:ascii="Times New Roman" w:hAnsi="Times New Roman" w:cs="Times New Roman" w:eastAsia="仿宋_GB2312"/>
          <w:sz w:val="32"/>
          <w:szCs w:val="32"/>
        </w:rPr>
        <w:t>”行动，聚焦服务业关键领域和薄弱环节，大力促进商品消费，不断提高传统服务业质量，拓展服务业领域，拉动服务消费；实施“走出去”战略，力争对外经济技术合作工作取得突破，努力将龙山建成湘鄂渝边区商贸物流中心、武陵山片区商贸服务中心、湘西州外贸进出口重要区域。</w:t>
      </w:r>
    </w:p>
    <w:p>
      <w:pPr>
        <w:pStyle w:val="3"/>
        <w:ind/>
        <w:rPr>
          <w:rFonts w:ascii="Times New Roman" w:hAnsi="Times New Roman" w:eastAsia="仿宋_GB2312" w:cs="Times New Roman"/>
          <w:b/>
          <w:b/>
          <w:bCs/>
          <w:lang w:val="zh-CN"/>
        </w:rPr>
      </w:pPr>
      <w:bookmarkStart w:id="39" w:name="_Toc82074848"/>
      <w:bookmarkStart w:id="40" w:name="_Toc46750233"/>
      <w:r>
        <w:rPr/>
        <w:t>二、具体指标</w:t>
      </w:r>
      <w:bookmarkEnd w:id="39"/>
      <w:bookmarkEnd w:id="40"/>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“十四五”期间，全县实际利用省外境内资金总额达到</w:t>
      </w:r>
      <w:r>
        <w:rPr>
          <w:rFonts w:eastAsia="仿宋_GB2312" w:cs="Times New Roman" w:ascii="Times New Roman" w:hAnsi="Times New Roman"/>
          <w:sz w:val="32"/>
          <w:szCs w:val="32"/>
        </w:rPr>
        <w:t>70</w:t>
      </w:r>
      <w:r>
        <w:rPr>
          <w:rFonts w:ascii="Times New Roman" w:hAnsi="Times New Roman" w:cs="Times New Roman" w:eastAsia="仿宋_GB2312"/>
          <w:sz w:val="32"/>
          <w:szCs w:val="32"/>
        </w:rPr>
        <w:t>亿元以上，利用外资总额达到</w:t>
      </w:r>
      <w:r>
        <w:rPr>
          <w:rFonts w:eastAsia="仿宋_GB2312" w:cs="Times New Roman" w:ascii="Times New Roman" w:hAnsi="Times New Roman"/>
          <w:sz w:val="32"/>
          <w:szCs w:val="32"/>
        </w:rPr>
        <w:t>600</w:t>
      </w:r>
      <w:r>
        <w:rPr>
          <w:rFonts w:ascii="Times New Roman" w:hAnsi="Times New Roman" w:cs="Times New Roman" w:eastAsia="仿宋_GB2312"/>
          <w:sz w:val="32"/>
          <w:szCs w:val="32"/>
        </w:rPr>
        <w:t>万美元以上，对外贸易总额累计达到</w:t>
      </w:r>
      <w:r>
        <w:rPr>
          <w:rFonts w:eastAsia="仿宋_GB2312" w:cs="Times New Roman" w:ascii="Times New Roman" w:hAnsi="Times New Roman"/>
          <w:sz w:val="32"/>
          <w:szCs w:val="32"/>
        </w:rPr>
        <w:t>15</w:t>
      </w:r>
      <w:r>
        <w:rPr>
          <w:rFonts w:ascii="Times New Roman" w:hAnsi="Times New Roman" w:cs="Times New Roman" w:eastAsia="仿宋_GB2312"/>
          <w:sz w:val="32"/>
          <w:szCs w:val="32"/>
        </w:rPr>
        <w:t>亿以上；新引进投资过千万项目</w:t>
      </w:r>
      <w:r>
        <w:rPr>
          <w:rFonts w:eastAsia="仿宋_GB2312" w:cs="Times New Roman" w:ascii="Times New Roman" w:hAnsi="Times New Roman"/>
          <w:sz w:val="32"/>
          <w:szCs w:val="32"/>
        </w:rPr>
        <w:t>50</w:t>
      </w:r>
      <w:r>
        <w:rPr>
          <w:rFonts w:ascii="Times New Roman" w:hAnsi="Times New Roman" w:cs="Times New Roman" w:eastAsia="仿宋_GB2312"/>
          <w:sz w:val="32"/>
          <w:szCs w:val="32"/>
        </w:rPr>
        <w:t>个以上，其中投资过亿元项目</w:t>
      </w:r>
      <w:r>
        <w:rPr>
          <w:rFonts w:eastAsia="仿宋_GB2312" w:cs="Times New Roman" w:ascii="Times New Roman" w:hAnsi="Times New Roman"/>
          <w:sz w:val="32"/>
          <w:szCs w:val="32"/>
        </w:rPr>
        <w:t>25</w:t>
      </w:r>
      <w:r>
        <w:rPr>
          <w:rFonts w:ascii="Times New Roman" w:hAnsi="Times New Roman" w:cs="Times New Roman" w:eastAsia="仿宋_GB2312"/>
          <w:sz w:val="32"/>
          <w:szCs w:val="32"/>
        </w:rPr>
        <w:t>个以上，投资过</w:t>
      </w:r>
      <w:r>
        <w:rPr>
          <w:rFonts w:eastAsia="仿宋_GB2312" w:cs="Times New Roman" w:ascii="Times New Roman" w:hAnsi="Times New Roman"/>
          <w:sz w:val="32"/>
          <w:szCs w:val="32"/>
        </w:rPr>
        <w:t>10</w:t>
      </w:r>
      <w:r>
        <w:rPr>
          <w:rFonts w:ascii="Times New Roman" w:hAnsi="Times New Roman" w:cs="Times New Roman" w:eastAsia="仿宋_GB2312"/>
          <w:sz w:val="32"/>
          <w:szCs w:val="32"/>
        </w:rPr>
        <w:t>亿元项目</w:t>
      </w:r>
      <w:r>
        <w:rPr>
          <w:rFonts w:eastAsia="仿宋_GB2312" w:cs="Times New Roman" w:ascii="Times New Roman" w:hAnsi="Times New Roman"/>
          <w:sz w:val="32"/>
          <w:szCs w:val="32"/>
        </w:rPr>
        <w:t>4</w:t>
      </w:r>
      <w:r>
        <w:rPr>
          <w:rFonts w:ascii="Times New Roman" w:hAnsi="Times New Roman" w:cs="Times New Roman" w:eastAsia="仿宋_GB2312"/>
          <w:sz w:val="32"/>
          <w:szCs w:val="32"/>
        </w:rPr>
        <w:t>个以上。</w:t>
      </w:r>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以建成湘鄂渝边区商贸物流中心为目标，着力推进空间布局调优、物流园区建设、交易市场建设、配送体系完善、电子商务壮大、企业培育提升、对外贸易突破等“七大计划”，提升生产性服务业和生活性服务业质量水平。</w:t>
      </w:r>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到</w:t>
      </w:r>
      <w:r>
        <w:rPr>
          <w:rFonts w:eastAsia="仿宋_GB2312" w:cs="Times New Roman" w:ascii="Times New Roman" w:hAnsi="Times New Roman"/>
          <w:sz w:val="32"/>
          <w:szCs w:val="32"/>
        </w:rPr>
        <w:t>2025</w:t>
      </w:r>
      <w:r>
        <w:rPr>
          <w:rFonts w:ascii="Times New Roman" w:hAnsi="Times New Roman" w:cs="Times New Roman" w:eastAsia="仿宋_GB2312"/>
          <w:sz w:val="32"/>
          <w:szCs w:val="32"/>
        </w:rPr>
        <w:t>年，实现商贸流通服务网络体系健全，市场秩序规范有序，城乡消费市场统筹发展，不断增强消费对经济增长的拉动作用，全县社会消费品零售总额达到</w:t>
      </w:r>
      <w:r>
        <w:rPr>
          <w:rFonts w:eastAsia="仿宋_GB2312" w:cs="Times New Roman" w:ascii="Times New Roman" w:hAnsi="Times New Roman"/>
          <w:sz w:val="32"/>
          <w:szCs w:val="32"/>
        </w:rPr>
        <w:t>60</w:t>
      </w:r>
      <w:r>
        <w:rPr>
          <w:rFonts w:ascii="Times New Roman" w:hAnsi="Times New Roman" w:cs="Times New Roman" w:eastAsia="仿宋_GB2312"/>
          <w:sz w:val="32"/>
          <w:szCs w:val="32"/>
        </w:rPr>
        <w:t>亿元以上，年均增长</w:t>
      </w:r>
      <w:r>
        <w:rPr>
          <w:rFonts w:eastAsia="仿宋_GB2312" w:cs="Times New Roman" w:ascii="Times New Roman" w:hAnsi="Times New Roman"/>
          <w:sz w:val="32"/>
          <w:szCs w:val="32"/>
        </w:rPr>
        <w:t>14%</w:t>
      </w:r>
      <w:r>
        <w:rPr>
          <w:rFonts w:ascii="Times New Roman" w:hAnsi="Times New Roman" w:cs="Times New Roman" w:eastAsia="仿宋_GB2312"/>
          <w:sz w:val="32"/>
          <w:szCs w:val="32"/>
        </w:rPr>
        <w:t>以上。</w:t>
      </w:r>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打造湘鄂渝边区商贸物流中心，建设和完善城东物流园、高铁新城物流园、里耶物流中心和武陵山片区快递物流分拣中心，引进国内龙头物流企业</w:t>
      </w:r>
      <w:r>
        <w:rPr>
          <w:rFonts w:eastAsia="仿宋_GB2312" w:cs="Times New Roman" w:ascii="Times New Roman" w:hAnsi="Times New Roman"/>
          <w:sz w:val="32"/>
          <w:szCs w:val="32"/>
        </w:rPr>
        <w:t>3</w:t>
      </w:r>
      <w:r>
        <w:rPr>
          <w:rFonts w:ascii="Times New Roman" w:hAnsi="Times New Roman" w:cs="Times New Roman" w:eastAsia="仿宋_GB2312"/>
          <w:sz w:val="32"/>
          <w:szCs w:val="32"/>
        </w:rPr>
        <w:t>家以上，培育星级物流企业</w:t>
      </w:r>
      <w:r>
        <w:rPr>
          <w:rFonts w:eastAsia="仿宋_GB2312" w:cs="Times New Roman" w:ascii="Times New Roman" w:hAnsi="Times New Roman"/>
          <w:sz w:val="32"/>
          <w:szCs w:val="32"/>
        </w:rPr>
        <w:t>3</w:t>
      </w:r>
      <w:r>
        <w:rPr>
          <w:rFonts w:ascii="Times New Roman" w:hAnsi="Times New Roman" w:cs="Times New Roman" w:eastAsia="仿宋_GB2312"/>
          <w:sz w:val="32"/>
          <w:szCs w:val="32"/>
        </w:rPr>
        <w:t>家以上。进一步加大冷链物流和通道物流基础设施建设，健全县、乡、村三级物流网点建设和物流配送体系，建成</w:t>
      </w:r>
      <w:r>
        <w:rPr>
          <w:rFonts w:eastAsia="仿宋_GB2312" w:cs="Times New Roman" w:ascii="Times New Roman" w:hAnsi="Times New Roman"/>
          <w:sz w:val="32"/>
          <w:szCs w:val="32"/>
        </w:rPr>
        <w:t>17</w:t>
      </w:r>
      <w:r>
        <w:rPr>
          <w:rFonts w:ascii="Times New Roman" w:hAnsi="Times New Roman" w:cs="Times New Roman" w:eastAsia="仿宋_GB2312"/>
          <w:sz w:val="32"/>
          <w:szCs w:val="32"/>
        </w:rPr>
        <w:t>个乡级物流站，</w:t>
      </w:r>
      <w:r>
        <w:rPr>
          <w:rFonts w:eastAsia="仿宋_GB2312" w:cs="Times New Roman" w:ascii="Times New Roman" w:hAnsi="Times New Roman"/>
          <w:sz w:val="32"/>
          <w:szCs w:val="32"/>
        </w:rPr>
        <w:t>50</w:t>
      </w:r>
      <w:r>
        <w:rPr>
          <w:rFonts w:ascii="Times New Roman" w:hAnsi="Times New Roman" w:cs="Times New Roman" w:eastAsia="仿宋_GB2312"/>
          <w:sz w:val="32"/>
          <w:szCs w:val="32"/>
        </w:rPr>
        <w:t>个村级站点，实现商贸物流成本明显下降，批发零售企业物流费用率降低到</w:t>
      </w:r>
      <w:r>
        <w:rPr>
          <w:rFonts w:eastAsia="仿宋_GB2312" w:cs="Times New Roman" w:ascii="Times New Roman" w:hAnsi="Times New Roman"/>
          <w:sz w:val="32"/>
          <w:szCs w:val="32"/>
        </w:rPr>
        <w:t>7%</w:t>
      </w:r>
      <w:r>
        <w:rPr>
          <w:rFonts w:ascii="Times New Roman" w:hAnsi="Times New Roman" w:cs="Times New Roman" w:eastAsia="仿宋_GB2312"/>
          <w:sz w:val="32"/>
          <w:szCs w:val="32"/>
        </w:rPr>
        <w:t>左右，物流量达到</w:t>
      </w:r>
      <w:r>
        <w:rPr>
          <w:rFonts w:eastAsia="仿宋_GB2312" w:cs="Times New Roman" w:ascii="Times New Roman" w:hAnsi="Times New Roman"/>
          <w:sz w:val="32"/>
          <w:szCs w:val="32"/>
        </w:rPr>
        <w:t>5</w:t>
      </w:r>
      <w:r>
        <w:rPr>
          <w:rFonts w:ascii="Times New Roman" w:hAnsi="Times New Roman" w:cs="Times New Roman" w:eastAsia="仿宋_GB2312"/>
          <w:sz w:val="32"/>
          <w:szCs w:val="32"/>
        </w:rPr>
        <w:t>万单</w:t>
      </w:r>
      <w:r>
        <w:rPr>
          <w:rFonts w:eastAsia="仿宋_GB2312" w:cs="Times New Roman" w:ascii="Times New Roman" w:hAnsi="Times New Roman"/>
          <w:sz w:val="32"/>
          <w:szCs w:val="32"/>
        </w:rPr>
        <w:t>/</w:t>
      </w:r>
      <w:r>
        <w:rPr>
          <w:rFonts w:ascii="Times New Roman" w:hAnsi="Times New Roman" w:cs="Times New Roman" w:eastAsia="仿宋_GB2312"/>
          <w:sz w:val="32"/>
          <w:szCs w:val="32"/>
        </w:rPr>
        <w:t>天以上，引进和培育商贸物流龙头骨干企业突破</w:t>
      </w:r>
      <w:r>
        <w:rPr>
          <w:rFonts w:eastAsia="仿宋_GB2312" w:cs="Times New Roman" w:ascii="Times New Roman" w:hAnsi="Times New Roman"/>
          <w:sz w:val="32"/>
          <w:szCs w:val="32"/>
        </w:rPr>
        <w:t>10</w:t>
      </w:r>
      <w:r>
        <w:rPr>
          <w:rFonts w:ascii="Times New Roman" w:hAnsi="Times New Roman" w:cs="Times New Roman" w:eastAsia="仿宋_GB2312"/>
          <w:sz w:val="32"/>
          <w:szCs w:val="32"/>
        </w:rPr>
        <w:t>家，力争商贸物流供应链产值突出</w:t>
      </w:r>
      <w:r>
        <w:rPr>
          <w:rFonts w:eastAsia="仿宋_GB2312" w:cs="Times New Roman" w:ascii="Times New Roman" w:hAnsi="Times New Roman"/>
          <w:sz w:val="32"/>
          <w:szCs w:val="32"/>
        </w:rPr>
        <w:t>100</w:t>
      </w:r>
      <w:r>
        <w:rPr>
          <w:rFonts w:ascii="Times New Roman" w:hAnsi="Times New Roman" w:cs="Times New Roman" w:eastAsia="仿宋_GB2312"/>
          <w:sz w:val="32"/>
          <w:szCs w:val="32"/>
        </w:rPr>
        <w:t>亿元，基本形成覆盖全县和联通周边地市高效、畅通的物流体系及农副产品销售网络，建成湘鄂渝边区商贸物流中心。</w:t>
      </w:r>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到</w:t>
      </w:r>
      <w:r>
        <w:rPr>
          <w:rFonts w:eastAsia="仿宋_GB2312" w:cs="Times New Roman" w:ascii="Times New Roman" w:hAnsi="Times New Roman"/>
          <w:sz w:val="32"/>
          <w:szCs w:val="32"/>
        </w:rPr>
        <w:t>2025</w:t>
      </w:r>
      <w:r>
        <w:rPr>
          <w:rFonts w:ascii="Times New Roman" w:hAnsi="Times New Roman" w:cs="Times New Roman" w:eastAsia="仿宋_GB2312"/>
          <w:sz w:val="32"/>
          <w:szCs w:val="32"/>
        </w:rPr>
        <w:t>年，电子商务、物流配送、成品油、汽车销售、餐饮、家政服务等市场管理确保规范有序，实现生产服务行业与生活服务行业协调发展，建设更能满足城乡人民群众生活需求的市场体系、城乡一体化服务体系和社会保障体系；改革和完善服务业运行机制和管理体制，建立市场监管和服务的长效机制，电子商务交易额达到</w:t>
      </w:r>
      <w:r>
        <w:rPr>
          <w:rFonts w:eastAsia="仿宋_GB2312" w:cs="Times New Roman" w:ascii="Times New Roman" w:hAnsi="Times New Roman"/>
          <w:sz w:val="32"/>
          <w:szCs w:val="32"/>
        </w:rPr>
        <w:t>20</w:t>
      </w:r>
      <w:r>
        <w:rPr>
          <w:rFonts w:ascii="Times New Roman" w:hAnsi="Times New Roman" w:cs="Times New Roman" w:eastAsia="仿宋_GB2312"/>
          <w:sz w:val="32"/>
          <w:szCs w:val="32"/>
        </w:rPr>
        <w:t>亿元。</w:t>
      </w:r>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“十四五”期间，计划新增加油站</w:t>
      </w:r>
      <w:r>
        <w:rPr>
          <w:rFonts w:eastAsia="仿宋_GB2312" w:cs="Times New Roman" w:ascii="Times New Roman" w:hAnsi="Times New Roman"/>
          <w:sz w:val="32"/>
          <w:szCs w:val="32"/>
        </w:rPr>
        <w:t>20</w:t>
      </w:r>
      <w:r>
        <w:rPr>
          <w:rFonts w:ascii="Times New Roman" w:hAnsi="Times New Roman" w:cs="Times New Roman" w:eastAsia="仿宋_GB2312"/>
          <w:sz w:val="32"/>
          <w:szCs w:val="32"/>
        </w:rPr>
        <w:t>座，其分布为：国道</w:t>
      </w:r>
      <w:r>
        <w:rPr>
          <w:rFonts w:eastAsia="仿宋_GB2312" w:cs="Times New Roman" w:ascii="Times New Roman" w:hAnsi="Times New Roman"/>
          <w:sz w:val="32"/>
          <w:szCs w:val="32"/>
        </w:rPr>
        <w:t>7</w:t>
      </w:r>
      <w:r>
        <w:rPr>
          <w:rFonts w:ascii="Times New Roman" w:hAnsi="Times New Roman" w:cs="Times New Roman" w:eastAsia="仿宋_GB2312"/>
          <w:sz w:val="32"/>
          <w:szCs w:val="32"/>
        </w:rPr>
        <w:t>座，县、乡道</w:t>
      </w:r>
      <w:r>
        <w:rPr>
          <w:rFonts w:eastAsia="仿宋_GB2312" w:cs="Times New Roman" w:ascii="Times New Roman" w:hAnsi="Times New Roman"/>
          <w:sz w:val="32"/>
          <w:szCs w:val="32"/>
        </w:rPr>
        <w:t>4</w:t>
      </w:r>
      <w:r>
        <w:rPr>
          <w:rFonts w:ascii="Times New Roman" w:hAnsi="Times New Roman" w:cs="Times New Roman" w:eastAsia="仿宋_GB2312"/>
          <w:sz w:val="32"/>
          <w:szCs w:val="32"/>
        </w:rPr>
        <w:t>座，县城区</w:t>
      </w:r>
      <w:r>
        <w:rPr>
          <w:rFonts w:eastAsia="仿宋_GB2312" w:cs="Times New Roman" w:ascii="Times New Roman" w:hAnsi="Times New Roman"/>
          <w:sz w:val="32"/>
          <w:szCs w:val="32"/>
        </w:rPr>
        <w:t>9</w:t>
      </w:r>
      <w:r>
        <w:rPr>
          <w:rFonts w:ascii="Times New Roman" w:hAnsi="Times New Roman" w:cs="Times New Roman" w:eastAsia="仿宋_GB2312"/>
          <w:sz w:val="32"/>
          <w:szCs w:val="32"/>
        </w:rPr>
        <w:t>座。</w:t>
      </w:r>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龙山县“十四五”商务和外向型经济发展规划主要指标（表</w:t>
      </w:r>
      <w:r>
        <w:rPr>
          <w:rFonts w:eastAsia="仿宋_GB2312" w:cs="Times New Roman" w:ascii="Times New Roman" w:hAnsi="Times New Roman"/>
          <w:sz w:val="32"/>
          <w:szCs w:val="32"/>
        </w:rPr>
        <w:t>2</w:t>
      </w:r>
      <w:r>
        <w:rPr>
          <w:rFonts w:ascii="Times New Roman" w:hAnsi="Times New Roman" w:cs="Times New Roman" w:eastAsia="仿宋_GB2312"/>
          <w:sz w:val="32"/>
          <w:szCs w:val="32"/>
        </w:rPr>
        <w:t>）。</w:t>
      </w:r>
    </w:p>
    <w:p>
      <w:pPr>
        <w:pStyle w:val="Style16"/>
        <w:widowControl/>
        <w:jc w:val="left"/>
        <w:rPr>
          <w:rFonts w:ascii="Times New Roman" w:hAnsi="Times New Roman" w:eastAsia="仿宋_GB2312" w:cs="Times New Roman"/>
          <w:sz w:val="32"/>
          <w:szCs w:val="32"/>
        </w:rPr>
      </w:pPr>
      <w:r>
        <w:rPr>
          <w:rFonts w:eastAsia="仿宋_GB2312" w:cs="Times New Roman" w:ascii="Times New Roman" w:hAnsi="Times New Roman"/>
          <w:sz w:val="32"/>
          <w:szCs w:val="32"/>
        </w:rPr>
      </w:r>
      <w:r>
        <w:br w:type="page"/>
      </w:r>
    </w:p>
    <w:p>
      <w:pPr>
        <w:pStyle w:val="Style16"/>
        <w:spacing w:lineRule="auto" w:line="360"/>
        <w:ind w:firstLineChars="200" w:firstLine="0"/>
        <w:rPr>
          <w:rFonts w:ascii="Times New Roman" w:hAnsi="Times New Roman" w:eastAsia="仿宋_GB2312" w:cs="Times New Roman"/>
          <w:sz w:val="32"/>
          <w:szCs w:val="32"/>
        </w:rPr>
      </w:pPr>
      <w:r>
        <w:rPr>
          <w:rFonts w:eastAsia="仿宋_GB2312" w:cs="Times New Roman" w:ascii="Times New Roman" w:hAnsi="Times New Roman"/>
          <w:sz w:val="32"/>
          <w:szCs w:val="32"/>
        </w:rPr>
      </w:r>
    </w:p>
    <w:tbl>
      <w:tblPr>
        <w:tblW w:w="860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89"/>
        <w:gridCol w:w="709"/>
        <w:gridCol w:w="3103"/>
        <w:gridCol w:w="1134"/>
        <w:gridCol w:w="1101"/>
        <w:gridCol w:w="1012"/>
        <w:gridCol w:w="955"/>
      </w:tblGrid>
      <w:tr>
        <w:trPr>
          <w:trHeight w:val="624" w:hRule="exact"/>
        </w:trPr>
        <w:tc>
          <w:tcPr>
            <w:tcW w:w="8603" w:type="dxa"/>
            <w:gridSpan w:val="7"/>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b/>
                <w:b/>
                <w:bCs/>
                <w:sz w:val="24"/>
                <w:szCs w:val="24"/>
              </w:rPr>
            </w:pPr>
            <w:r>
              <w:rPr>
                <w:rFonts w:ascii="Times New Roman" w:hAnsi="Times New Roman" w:cs="Times New Roman" w:eastAsia="仿宋_GB2312"/>
                <w:b/>
                <w:bCs/>
                <w:sz w:val="24"/>
                <w:szCs w:val="24"/>
              </w:rPr>
              <w:t>表</w:t>
            </w:r>
            <w:r>
              <w:rPr>
                <w:rFonts w:eastAsia="仿宋_GB2312" w:cs="Times New Roman" w:ascii="Times New Roman" w:hAnsi="Times New Roman"/>
                <w:b/>
                <w:bCs/>
                <w:sz w:val="24"/>
                <w:szCs w:val="24"/>
              </w:rPr>
              <w:t xml:space="preserve">2  </w:t>
            </w:r>
            <w:r>
              <w:rPr>
                <w:rFonts w:ascii="Times New Roman" w:hAnsi="Times New Roman" w:cs="Times New Roman" w:eastAsia="仿宋_GB2312"/>
                <w:b/>
                <w:bCs/>
                <w:sz w:val="24"/>
                <w:szCs w:val="24"/>
              </w:rPr>
              <w:t>“十四五”商务和外向型经济发展主要指标</w:t>
            </w:r>
          </w:p>
        </w:tc>
      </w:tr>
      <w:tr>
        <w:trPr>
          <w:trHeight w:val="624" w:hRule="exact"/>
        </w:trPr>
        <w:tc>
          <w:tcPr>
            <w:tcW w:w="589"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类别</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序号</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主要指标</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2020</w:t>
            </w:r>
            <w:r>
              <w:rPr>
                <w:rFonts w:ascii="Times New Roman" w:hAnsi="Times New Roman" w:cs="Times New Roman" w:eastAsia="仿宋_GB2312"/>
                <w:sz w:val="24"/>
                <w:szCs w:val="24"/>
              </w:rPr>
              <w:t>年</w:t>
            </w:r>
          </w:p>
        </w:tc>
        <w:tc>
          <w:tcPr>
            <w:tcW w:w="1101"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2025</w:t>
            </w:r>
            <w:r>
              <w:rPr>
                <w:rFonts w:ascii="Times New Roman" w:hAnsi="Times New Roman" w:cs="Times New Roman" w:eastAsia="仿宋_GB2312"/>
                <w:sz w:val="24"/>
                <w:szCs w:val="24"/>
              </w:rPr>
              <w:t>年</w:t>
            </w:r>
          </w:p>
        </w:tc>
        <w:tc>
          <w:tcPr>
            <w:tcW w:w="1012"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年均增长</w:t>
            </w:r>
            <w:r>
              <w:rPr>
                <w:rFonts w:eastAsia="仿宋_GB2312" w:cs="Times New Roman" w:ascii="Times New Roman" w:hAnsi="Times New Roman"/>
                <w:sz w:val="24"/>
                <w:szCs w:val="24"/>
              </w:rPr>
              <w:t>%</w:t>
            </w:r>
          </w:p>
        </w:tc>
        <w:tc>
          <w:tcPr>
            <w:tcW w:w="955"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属性</w:t>
            </w:r>
          </w:p>
        </w:tc>
      </w:tr>
      <w:tr>
        <w:trPr>
          <w:trHeight w:val="624" w:hRule="exact"/>
        </w:trPr>
        <w:tc>
          <w:tcPr>
            <w:tcW w:w="589" w:type="dxa"/>
            <w:vMerge w:val="restart"/>
            <w:tcBorders>
              <w:top w:val="single" w:sz="4" w:space="0" w:color="000000"/>
              <w:left w:val="single" w:sz="4" w:space="0" w:color="000000"/>
              <w:bottom w:val="single" w:sz="4" w:space="0" w:color="000000"/>
              <w:right w:val="single" w:sz="4" w:space="0" w:color="000000"/>
            </w:tcBorders>
            <w:textDirection w:val="tbRl"/>
            <w:vAlign w:val="bottom"/>
          </w:tcPr>
          <w:p>
            <w:pPr>
              <w:pStyle w:val="Style16"/>
              <w:widowControl w:val="false"/>
              <w:ind w:leftChars="-20" w:left="-42" w:right="-42" w:rightChars="-20"/>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对外</w:t>
            </w:r>
          </w:p>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p>
            <w:pPr>
              <w:pStyle w:val="Style16"/>
              <w:widowControl w:val="false"/>
              <w:ind w:leftChars="53" w:left="111" w:right="-42" w:rightChars="-20"/>
              <w:rPr>
                <w:rFonts w:ascii="Times New Roman" w:hAnsi="Times New Roman" w:eastAsia="仿宋_GB2312" w:cs="Times New Roman"/>
                <w:sz w:val="24"/>
                <w:szCs w:val="24"/>
              </w:rPr>
            </w:pPr>
            <w:r>
              <w:rPr>
                <w:rFonts w:ascii="Times New Roman" w:hAnsi="Times New Roman" w:cs="Times New Roman" w:eastAsia="仿宋_GB2312"/>
                <w:sz w:val="24"/>
                <w:szCs w:val="24"/>
              </w:rPr>
              <w:t>对外贸易</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1</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rPr>
                <w:rFonts w:ascii="Times New Roman" w:hAnsi="Times New Roman" w:eastAsia="仿宋_GB2312" w:cs="Times New Roman"/>
                <w:sz w:val="24"/>
                <w:szCs w:val="24"/>
              </w:rPr>
            </w:pPr>
            <w:r>
              <w:rPr>
                <w:rFonts w:ascii="Times New Roman" w:hAnsi="Times New Roman" w:cs="Times New Roman" w:eastAsia="仿宋_GB2312"/>
                <w:sz w:val="24"/>
                <w:szCs w:val="24"/>
              </w:rPr>
              <w:t>对外贸易总额（亿元）</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1.5</w:t>
            </w:r>
          </w:p>
        </w:tc>
        <w:tc>
          <w:tcPr>
            <w:tcW w:w="1101"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3</w:t>
            </w:r>
          </w:p>
        </w:tc>
        <w:tc>
          <w:tcPr>
            <w:tcW w:w="1012"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14.87</w:t>
            </w:r>
          </w:p>
        </w:tc>
        <w:tc>
          <w:tcPr>
            <w:tcW w:w="955"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预期性</w:t>
            </w:r>
          </w:p>
        </w:tc>
      </w:tr>
      <w:tr>
        <w:trPr>
          <w:trHeight w:val="624" w:hRule="exact"/>
        </w:trPr>
        <w:tc>
          <w:tcPr>
            <w:tcW w:w="589" w:type="dxa"/>
            <w:vMerge w:val="continue"/>
            <w:tcBorders>
              <w:top w:val="single" w:sz="4" w:space="0" w:color="000000"/>
              <w:left w:val="single" w:sz="4" w:space="0" w:color="000000"/>
              <w:bottom w:val="single" w:sz="4" w:space="0" w:color="000000"/>
              <w:right w:val="single" w:sz="4" w:space="0" w:color="000000"/>
            </w:tcBorders>
            <w:vAlign w:val="center"/>
          </w:tcPr>
          <w:p>
            <w:pPr>
              <w:pStyle w:val="Style16"/>
              <w:keepNext w:val="true"/>
              <w:keepLines/>
              <w:widowControl w:val="false"/>
              <w:numPr>
                <w:ilvl w:val="0"/>
                <w:numId w:val="0"/>
              </w:numPr>
              <w:spacing w:before="40" w:beforeAutospacing="0" w:after="40" w:afterAutospacing="0"/>
              <w:ind w:leftChars="-20" w:left="-42" w:right="-42" w:rightChars="-20"/>
              <w:jc w:val="center"/>
              <w:outlineLvl w:val="0"/>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2</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rPr>
                <w:rFonts w:ascii="Times New Roman" w:hAnsi="Times New Roman" w:eastAsia="仿宋_GB2312" w:cs="Times New Roman"/>
                <w:sz w:val="24"/>
                <w:szCs w:val="24"/>
              </w:rPr>
            </w:pPr>
            <w:r>
              <w:rPr>
                <w:rFonts w:ascii="Times New Roman" w:hAnsi="Times New Roman" w:cs="Times New Roman" w:eastAsia="仿宋_GB2312"/>
                <w:sz w:val="24"/>
                <w:szCs w:val="24"/>
              </w:rPr>
              <w:t>对外贸易依存度（</w:t>
            </w:r>
            <w:r>
              <w:rPr>
                <w:rFonts w:eastAsia="仿宋_GB2312" w:cs="Times New Roman" w:ascii="Times New Roman" w:hAnsi="Times New Roman"/>
                <w:sz w:val="24"/>
                <w:szCs w:val="24"/>
              </w:rPr>
              <w:t>%</w:t>
            </w:r>
            <w:r>
              <w:rPr>
                <w:rFonts w:ascii="Times New Roman" w:hAnsi="Times New Roman" w:cs="Times New Roman" w:eastAsia="仿宋_GB2312"/>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1.55</w:t>
            </w:r>
          </w:p>
        </w:tc>
        <w:tc>
          <w:tcPr>
            <w:tcW w:w="1101"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2</w:t>
            </w:r>
          </w:p>
        </w:tc>
        <w:tc>
          <w:tcPr>
            <w:tcW w:w="1012"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w:t>
            </w:r>
          </w:p>
        </w:tc>
        <w:tc>
          <w:tcPr>
            <w:tcW w:w="955"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预期性</w:t>
            </w:r>
          </w:p>
        </w:tc>
      </w:tr>
      <w:tr>
        <w:trPr>
          <w:trHeight w:val="624" w:hRule="exact"/>
        </w:trPr>
        <w:tc>
          <w:tcPr>
            <w:tcW w:w="589"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Style16"/>
              <w:widowControl w:val="false"/>
              <w:ind w:leftChars="53" w:left="111" w:right="-42" w:rightChars="-20"/>
              <w:rPr>
                <w:rFonts w:ascii="Times New Roman" w:hAnsi="Times New Roman" w:eastAsia="仿宋_GB2312" w:cs="Times New Roman"/>
                <w:sz w:val="24"/>
                <w:szCs w:val="24"/>
              </w:rPr>
            </w:pPr>
            <w:r>
              <w:rPr>
                <w:rFonts w:ascii="Times New Roman" w:hAnsi="Times New Roman" w:cs="Times New Roman" w:eastAsia="仿宋_GB2312"/>
                <w:sz w:val="24"/>
                <w:szCs w:val="24"/>
              </w:rPr>
              <w:t>招商引资</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3</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rPr>
                <w:rFonts w:ascii="Times New Roman" w:hAnsi="Times New Roman" w:eastAsia="仿宋_GB2312" w:cs="Times New Roman"/>
                <w:sz w:val="24"/>
                <w:szCs w:val="24"/>
              </w:rPr>
            </w:pPr>
            <w:r>
              <w:rPr>
                <w:rFonts w:ascii="Times New Roman" w:hAnsi="Times New Roman" w:cs="Times New Roman" w:eastAsia="仿宋_GB2312"/>
                <w:sz w:val="24"/>
                <w:szCs w:val="24"/>
              </w:rPr>
              <w:t>利用外资（万美元）</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229.5</w:t>
            </w:r>
          </w:p>
        </w:tc>
        <w:tc>
          <w:tcPr>
            <w:tcW w:w="1101"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600</w:t>
            </w:r>
          </w:p>
        </w:tc>
        <w:tc>
          <w:tcPr>
            <w:tcW w:w="1012"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21.19</w:t>
            </w:r>
          </w:p>
        </w:tc>
        <w:tc>
          <w:tcPr>
            <w:tcW w:w="955"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预期性</w:t>
            </w:r>
          </w:p>
        </w:tc>
      </w:tr>
      <w:tr>
        <w:trPr>
          <w:trHeight w:val="624" w:hRule="exact"/>
        </w:trPr>
        <w:tc>
          <w:tcPr>
            <w:tcW w:w="589" w:type="dxa"/>
            <w:vMerge w:val="continue"/>
            <w:tcBorders>
              <w:top w:val="single" w:sz="4" w:space="0" w:color="000000"/>
              <w:left w:val="single" w:sz="4" w:space="0" w:color="000000"/>
              <w:bottom w:val="single" w:sz="4" w:space="0" w:color="000000"/>
              <w:right w:val="single" w:sz="4" w:space="0" w:color="000000"/>
            </w:tcBorders>
            <w:vAlign w:val="center"/>
          </w:tcPr>
          <w:p>
            <w:pPr>
              <w:pStyle w:val="Style16"/>
              <w:keepNext w:val="true"/>
              <w:keepLines/>
              <w:widowControl w:val="false"/>
              <w:numPr>
                <w:ilvl w:val="0"/>
                <w:numId w:val="0"/>
              </w:numPr>
              <w:spacing w:before="40" w:beforeAutospacing="0" w:after="40" w:afterAutospacing="0"/>
              <w:ind w:leftChars="-20" w:left="-42" w:right="-42" w:rightChars="-20"/>
              <w:jc w:val="center"/>
              <w:outlineLvl w:val="0"/>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4</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rPr>
                <w:rFonts w:ascii="Times New Roman" w:hAnsi="Times New Roman" w:eastAsia="仿宋_GB2312" w:cs="Times New Roman"/>
                <w:sz w:val="24"/>
                <w:szCs w:val="24"/>
              </w:rPr>
            </w:pPr>
            <w:r>
              <w:rPr>
                <w:rFonts w:ascii="Times New Roman" w:hAnsi="Times New Roman" w:cs="Times New Roman" w:eastAsia="仿宋_GB2312"/>
                <w:sz w:val="24"/>
                <w:szCs w:val="24"/>
              </w:rPr>
              <w:t>内联引资（亿元）</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10.2</w:t>
            </w:r>
          </w:p>
        </w:tc>
        <w:tc>
          <w:tcPr>
            <w:tcW w:w="1101"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22</w:t>
            </w:r>
          </w:p>
        </w:tc>
        <w:tc>
          <w:tcPr>
            <w:tcW w:w="1012"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16.62</w:t>
            </w:r>
          </w:p>
        </w:tc>
        <w:tc>
          <w:tcPr>
            <w:tcW w:w="955"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预期性</w:t>
            </w:r>
          </w:p>
        </w:tc>
      </w:tr>
      <w:tr>
        <w:trPr>
          <w:trHeight w:val="624" w:hRule="exact"/>
        </w:trPr>
        <w:tc>
          <w:tcPr>
            <w:tcW w:w="589" w:type="dxa"/>
            <w:vMerge w:val="continue"/>
            <w:tcBorders>
              <w:top w:val="single" w:sz="4" w:space="0" w:color="000000"/>
              <w:left w:val="single" w:sz="4" w:space="0" w:color="000000"/>
              <w:bottom w:val="single" w:sz="4" w:space="0" w:color="000000"/>
              <w:right w:val="single" w:sz="4" w:space="0" w:color="000000"/>
            </w:tcBorders>
            <w:vAlign w:val="center"/>
          </w:tcPr>
          <w:p>
            <w:pPr>
              <w:pStyle w:val="Style16"/>
              <w:keepNext w:val="true"/>
              <w:keepLines/>
              <w:widowControl w:val="false"/>
              <w:numPr>
                <w:ilvl w:val="0"/>
                <w:numId w:val="0"/>
              </w:numPr>
              <w:spacing w:before="40" w:beforeAutospacing="0" w:after="40" w:afterAutospacing="0"/>
              <w:ind w:leftChars="-20" w:left="-42" w:right="-42" w:rightChars="-20"/>
              <w:jc w:val="center"/>
              <w:outlineLvl w:val="0"/>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5</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rPr>
                <w:rFonts w:ascii="Times New Roman" w:hAnsi="Times New Roman" w:eastAsia="仿宋_GB2312" w:cs="Times New Roman"/>
                <w:sz w:val="24"/>
                <w:szCs w:val="24"/>
              </w:rPr>
            </w:pPr>
            <w:r>
              <w:rPr>
                <w:rFonts w:ascii="Times New Roman" w:hAnsi="Times New Roman" w:cs="Times New Roman" w:eastAsia="仿宋_GB2312"/>
                <w:sz w:val="24"/>
                <w:szCs w:val="24"/>
              </w:rPr>
              <w:t>三类</w:t>
            </w:r>
            <w:r>
              <w:rPr>
                <w:rFonts w:eastAsia="仿宋_GB2312" w:cs="Times New Roman" w:ascii="Times New Roman" w:hAnsi="Times New Roman"/>
                <w:sz w:val="24"/>
                <w:szCs w:val="24"/>
              </w:rPr>
              <w:t>500</w:t>
            </w:r>
            <w:r>
              <w:rPr>
                <w:rFonts w:ascii="Times New Roman" w:hAnsi="Times New Roman" w:cs="Times New Roman" w:eastAsia="仿宋_GB2312"/>
                <w:sz w:val="24"/>
                <w:szCs w:val="24"/>
              </w:rPr>
              <w:t>强企业投资项目数</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w:t>
            </w:r>
          </w:p>
        </w:tc>
        <w:tc>
          <w:tcPr>
            <w:tcW w:w="1101"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2</w:t>
            </w:r>
          </w:p>
        </w:tc>
        <w:tc>
          <w:tcPr>
            <w:tcW w:w="1012"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w:t>
            </w:r>
          </w:p>
        </w:tc>
        <w:tc>
          <w:tcPr>
            <w:tcW w:w="955"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预期性</w:t>
            </w:r>
          </w:p>
        </w:tc>
      </w:tr>
      <w:tr>
        <w:trPr>
          <w:trHeight w:val="1603" w:hRule="exact"/>
          <w:cantSplit w:val="true"/>
        </w:trPr>
        <w:tc>
          <w:tcPr>
            <w:tcW w:w="589" w:type="dxa"/>
            <w:tcBorders>
              <w:top w:val="single" w:sz="4" w:space="0" w:color="000000"/>
              <w:left w:val="single" w:sz="4" w:space="0" w:color="000000"/>
              <w:bottom w:val="single" w:sz="4" w:space="0" w:color="000000"/>
              <w:right w:val="single" w:sz="4" w:space="0" w:color="000000"/>
            </w:tcBorders>
            <w:textDirection w:val="tbRl"/>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对外经济合作</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6</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rPr>
                <w:rFonts w:ascii="Times New Roman" w:hAnsi="Times New Roman" w:eastAsia="仿宋_GB2312" w:cs="Times New Roman"/>
                <w:sz w:val="24"/>
                <w:szCs w:val="24"/>
              </w:rPr>
            </w:pPr>
            <w:r>
              <w:rPr>
                <w:rFonts w:ascii="Times New Roman" w:hAnsi="Times New Roman" w:cs="Times New Roman" w:eastAsia="仿宋_GB2312"/>
                <w:sz w:val="24"/>
                <w:szCs w:val="24"/>
              </w:rPr>
              <w:t>对外劳务合作（万美元）</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280</w:t>
            </w:r>
          </w:p>
        </w:tc>
        <w:tc>
          <w:tcPr>
            <w:tcW w:w="1101"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1000</w:t>
            </w:r>
          </w:p>
        </w:tc>
        <w:tc>
          <w:tcPr>
            <w:tcW w:w="1012"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28.99</w:t>
            </w:r>
          </w:p>
        </w:tc>
        <w:tc>
          <w:tcPr>
            <w:tcW w:w="955"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预期性</w:t>
            </w:r>
          </w:p>
        </w:tc>
      </w:tr>
      <w:tr>
        <w:trPr>
          <w:trHeight w:val="624" w:hRule="exact"/>
        </w:trPr>
        <w:tc>
          <w:tcPr>
            <w:tcW w:w="589"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内贸流通</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7</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rPr>
                <w:rFonts w:ascii="Times New Roman" w:hAnsi="Times New Roman" w:eastAsia="仿宋_GB2312" w:cs="Times New Roman"/>
                <w:sz w:val="24"/>
                <w:szCs w:val="24"/>
              </w:rPr>
            </w:pPr>
            <w:bookmarkStart w:id="41" w:name="_Hlk68736843"/>
            <w:r>
              <w:rPr>
                <w:rFonts w:ascii="Times New Roman" w:hAnsi="Times New Roman" w:cs="Times New Roman" w:eastAsia="仿宋_GB2312"/>
                <w:sz w:val="24"/>
                <w:szCs w:val="24"/>
              </w:rPr>
              <w:t>社会消费品零售总额</w:t>
            </w:r>
            <w:bookmarkEnd w:id="41"/>
            <w:r>
              <w:rPr>
                <w:rFonts w:ascii="Times New Roman" w:hAnsi="Times New Roman" w:cs="Times New Roman" w:eastAsia="仿宋_GB2312"/>
                <w:sz w:val="24"/>
                <w:szCs w:val="24"/>
              </w:rPr>
              <w:t>（亿元）</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30.04</w:t>
            </w:r>
          </w:p>
        </w:tc>
        <w:tc>
          <w:tcPr>
            <w:tcW w:w="1101"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60</w:t>
            </w:r>
          </w:p>
        </w:tc>
        <w:tc>
          <w:tcPr>
            <w:tcW w:w="1012"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14.57</w:t>
            </w:r>
          </w:p>
        </w:tc>
        <w:tc>
          <w:tcPr>
            <w:tcW w:w="955"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预期性</w:t>
            </w:r>
          </w:p>
        </w:tc>
      </w:tr>
      <w:tr>
        <w:trPr>
          <w:trHeight w:val="624" w:hRule="exact"/>
        </w:trPr>
        <w:tc>
          <w:tcPr>
            <w:tcW w:w="589" w:type="dxa"/>
            <w:vMerge w:val="continue"/>
            <w:tcBorders>
              <w:top w:val="single" w:sz="4" w:space="0" w:color="000000"/>
              <w:left w:val="single" w:sz="4" w:space="0" w:color="000000"/>
              <w:bottom w:val="single" w:sz="4" w:space="0" w:color="000000"/>
              <w:right w:val="single" w:sz="4" w:space="0" w:color="000000"/>
            </w:tcBorders>
            <w:vAlign w:val="center"/>
          </w:tcPr>
          <w:p>
            <w:pPr>
              <w:pStyle w:val="Style16"/>
              <w:keepNext w:val="true"/>
              <w:keepLines/>
              <w:widowControl w:val="false"/>
              <w:numPr>
                <w:ilvl w:val="0"/>
                <w:numId w:val="0"/>
              </w:numPr>
              <w:spacing w:before="40" w:beforeAutospacing="0" w:after="40" w:afterAutospacing="0"/>
              <w:ind w:leftChars="-20" w:left="-42" w:right="-42" w:rightChars="-20"/>
              <w:jc w:val="center"/>
              <w:outlineLvl w:val="0"/>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8</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rPr>
                <w:rFonts w:ascii="Times New Roman" w:hAnsi="Times New Roman" w:eastAsia="仿宋_GB2312" w:cs="Times New Roman"/>
                <w:sz w:val="24"/>
                <w:szCs w:val="24"/>
              </w:rPr>
            </w:pPr>
            <w:r>
              <w:rPr>
                <w:rFonts w:ascii="Times New Roman" w:hAnsi="Times New Roman" w:cs="Times New Roman" w:eastAsia="仿宋_GB2312"/>
                <w:sz w:val="24"/>
                <w:szCs w:val="24"/>
              </w:rPr>
              <w:t>居民人均消费支出（元）</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13715</w:t>
            </w:r>
          </w:p>
        </w:tc>
        <w:tc>
          <w:tcPr>
            <w:tcW w:w="1101"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24170</w:t>
            </w:r>
          </w:p>
        </w:tc>
        <w:tc>
          <w:tcPr>
            <w:tcW w:w="1012"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12</w:t>
            </w:r>
          </w:p>
        </w:tc>
        <w:tc>
          <w:tcPr>
            <w:tcW w:w="955"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预期性</w:t>
            </w:r>
          </w:p>
        </w:tc>
      </w:tr>
      <w:tr>
        <w:trPr>
          <w:trHeight w:val="624" w:hRule="exact"/>
        </w:trPr>
        <w:tc>
          <w:tcPr>
            <w:tcW w:w="589" w:type="dxa"/>
            <w:vMerge w:val="continue"/>
            <w:tcBorders>
              <w:top w:val="single" w:sz="4" w:space="0" w:color="000000"/>
              <w:left w:val="single" w:sz="4" w:space="0" w:color="000000"/>
              <w:bottom w:val="single" w:sz="4" w:space="0" w:color="000000"/>
              <w:right w:val="single" w:sz="4" w:space="0" w:color="000000"/>
            </w:tcBorders>
            <w:vAlign w:val="center"/>
          </w:tcPr>
          <w:p>
            <w:pPr>
              <w:pStyle w:val="Style16"/>
              <w:keepNext w:val="true"/>
              <w:keepLines/>
              <w:widowControl w:val="false"/>
              <w:numPr>
                <w:ilvl w:val="0"/>
                <w:numId w:val="0"/>
              </w:numPr>
              <w:spacing w:before="40" w:beforeAutospacing="0" w:after="40" w:afterAutospacing="0"/>
              <w:ind w:leftChars="-20" w:left="-42" w:right="-42" w:rightChars="-20"/>
              <w:jc w:val="center"/>
              <w:outlineLvl w:val="0"/>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9</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rPr>
                <w:rFonts w:ascii="Times New Roman" w:hAnsi="Times New Roman" w:eastAsia="仿宋_GB2312" w:cs="Times New Roman"/>
                <w:sz w:val="24"/>
                <w:szCs w:val="24"/>
              </w:rPr>
            </w:pPr>
            <w:bookmarkStart w:id="42" w:name="_Hlk68737186"/>
            <w:r>
              <w:rPr>
                <w:rFonts w:ascii="Times New Roman" w:hAnsi="Times New Roman" w:cs="Times New Roman" w:eastAsia="仿宋_GB2312"/>
                <w:sz w:val="24"/>
                <w:szCs w:val="24"/>
              </w:rPr>
              <w:t>电子商务交易额</w:t>
            </w:r>
            <w:bookmarkEnd w:id="42"/>
            <w:r>
              <w:rPr>
                <w:rFonts w:ascii="Times New Roman" w:hAnsi="Times New Roman" w:cs="Times New Roman" w:eastAsia="仿宋_GB2312"/>
                <w:sz w:val="24"/>
                <w:szCs w:val="24"/>
              </w:rPr>
              <w:t>（亿元）</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11</w:t>
            </w:r>
          </w:p>
        </w:tc>
        <w:tc>
          <w:tcPr>
            <w:tcW w:w="1101"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20</w:t>
            </w:r>
          </w:p>
        </w:tc>
        <w:tc>
          <w:tcPr>
            <w:tcW w:w="1012"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12.7</w:t>
            </w:r>
          </w:p>
        </w:tc>
        <w:tc>
          <w:tcPr>
            <w:tcW w:w="955"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预期性</w:t>
            </w:r>
          </w:p>
        </w:tc>
      </w:tr>
      <w:tr>
        <w:trPr>
          <w:trHeight w:val="624" w:hRule="exact"/>
        </w:trPr>
        <w:tc>
          <w:tcPr>
            <w:tcW w:w="589" w:type="dxa"/>
            <w:vMerge w:val="continue"/>
            <w:tcBorders>
              <w:top w:val="single" w:sz="4" w:space="0" w:color="000000"/>
              <w:left w:val="single" w:sz="4" w:space="0" w:color="000000"/>
              <w:bottom w:val="single" w:sz="4" w:space="0" w:color="000000"/>
              <w:right w:val="single" w:sz="4" w:space="0" w:color="000000"/>
            </w:tcBorders>
            <w:vAlign w:val="center"/>
          </w:tcPr>
          <w:p>
            <w:pPr>
              <w:pStyle w:val="Style16"/>
              <w:keepNext w:val="true"/>
              <w:keepLines/>
              <w:widowControl w:val="false"/>
              <w:numPr>
                <w:ilvl w:val="0"/>
                <w:numId w:val="0"/>
              </w:numPr>
              <w:spacing w:before="40" w:beforeAutospacing="0" w:after="40" w:afterAutospacing="0"/>
              <w:ind w:leftChars="-20" w:left="-42" w:right="-42" w:rightChars="-20"/>
              <w:jc w:val="center"/>
              <w:outlineLvl w:val="0"/>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10</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rPr>
                <w:rFonts w:ascii="Times New Roman" w:hAnsi="Times New Roman" w:eastAsia="仿宋_GB2312" w:cs="Times New Roman"/>
                <w:sz w:val="24"/>
                <w:szCs w:val="24"/>
              </w:rPr>
            </w:pPr>
            <w:r>
              <w:rPr>
                <w:rFonts w:ascii="Times New Roman" w:hAnsi="Times New Roman" w:cs="Times New Roman" w:eastAsia="仿宋_GB2312"/>
                <w:sz w:val="24"/>
                <w:szCs w:val="24"/>
              </w:rPr>
              <w:t>现代物流产业总产值（亿元）</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50</w:t>
            </w:r>
          </w:p>
        </w:tc>
        <w:tc>
          <w:tcPr>
            <w:tcW w:w="1101"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100</w:t>
            </w:r>
          </w:p>
        </w:tc>
        <w:tc>
          <w:tcPr>
            <w:tcW w:w="1012"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t>14.87</w:t>
            </w:r>
          </w:p>
        </w:tc>
        <w:tc>
          <w:tcPr>
            <w:tcW w:w="955"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ind w:leftChars="-20" w:left="-42" w:right="-42" w:rightChars="-20"/>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预期性</w:t>
            </w:r>
          </w:p>
        </w:tc>
      </w:tr>
    </w:tbl>
    <w:p>
      <w:pPr>
        <w:pStyle w:val="Style16"/>
        <w:spacing w:lineRule="auto" w:line="360"/>
        <w:ind w:firstLineChars="200" w:firstLine="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p>
      <w:pPr>
        <w:pStyle w:val="Style16"/>
        <w:widowControl/>
        <w:jc w:val="left"/>
        <w:rPr>
          <w:rFonts w:ascii="Times New Roman" w:hAnsi="Times New Roman" w:eastAsia="仿宋_GB2312" w:cs="Times New Roman"/>
          <w:b/>
          <w:b/>
          <w:kern w:val="0"/>
          <w:sz w:val="32"/>
          <w:szCs w:val="32"/>
        </w:rPr>
      </w:pPr>
      <w:r>
        <w:rPr>
          <w:rFonts w:eastAsia="仿宋_GB2312" w:cs="Times New Roman" w:ascii="Times New Roman" w:hAnsi="Times New Roman"/>
          <w:b/>
          <w:kern w:val="0"/>
          <w:sz w:val="32"/>
          <w:szCs w:val="32"/>
        </w:rPr>
      </w:r>
      <w:bookmarkStart w:id="43" w:name="_Toc46750234"/>
      <w:bookmarkStart w:id="44" w:name="_Toc46750234"/>
      <w:r>
        <w:br w:type="page"/>
      </w:r>
    </w:p>
    <w:p>
      <w:pPr>
        <w:pStyle w:val="1"/>
        <w:rPr>
          <w:rFonts w:ascii="Times New Roman" w:hAnsi="Times New Roman" w:eastAsia="仿宋_GB2312" w:cs="Times New Roman"/>
          <w:b/>
          <w:b/>
          <w:bCs/>
          <w:lang w:val="zh-CN"/>
        </w:rPr>
      </w:pPr>
      <w:bookmarkStart w:id="45" w:name="_Toc46750234"/>
      <w:bookmarkStart w:id="46" w:name="_Toc82074849"/>
      <w:r>
        <w:rPr/>
        <w:t>第四章  “十四五”时期重点任务</w:t>
      </w:r>
      <w:bookmarkEnd w:id="45"/>
      <w:bookmarkEnd w:id="46"/>
    </w:p>
    <w:p>
      <w:pPr>
        <w:pStyle w:val="2"/>
        <w:rPr>
          <w:rFonts w:ascii="Times New Roman" w:hAnsi="Times New Roman" w:eastAsia="仿宋_GB2312" w:cs="Times New Roman"/>
          <w:b/>
          <w:b/>
          <w:bCs/>
          <w:lang w:val="zh-CN"/>
        </w:rPr>
      </w:pPr>
      <w:bookmarkStart w:id="47" w:name="_Toc82074850"/>
      <w:bookmarkStart w:id="48" w:name="_Toc46750235"/>
      <w:r>
        <w:rPr/>
        <w:t>第一节  围绕四大愿景目标，做好招商引资</w:t>
      </w:r>
      <w:bookmarkEnd w:id="48"/>
      <w:r>
        <w:rPr/>
        <w:t>工作</w:t>
      </w:r>
      <w:bookmarkEnd w:id="47"/>
    </w:p>
    <w:p>
      <w:pPr>
        <w:pStyle w:val="3"/>
        <w:ind/>
        <w:rPr>
          <w:rFonts w:ascii="Times New Roman" w:hAnsi="Times New Roman" w:eastAsia="仿宋_GB2312" w:cs="Times New Roman"/>
          <w:b/>
          <w:b/>
          <w:bCs/>
          <w:lang w:val="zh-CN"/>
        </w:rPr>
      </w:pPr>
      <w:bookmarkStart w:id="49" w:name="_Toc82074851"/>
      <w:r>
        <w:rPr/>
        <w:t>一、着力创新招商引资方法</w:t>
      </w:r>
      <w:bookmarkEnd w:id="49"/>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在坚持展会招商、园区招商的基础上，借鉴外地先进经验，着力推进招商方法创新。一是开展驻点招商。在招商信息富集之地设立招商点，配备专门人员驻点开展招商引资工作。二是开展小分队招商。从相关职能部门抽调专人组成招商小分队，深入重点招商地区，主攻重点项目，开展上门招商、敲门招商。三是开展产业链招商。根据县工业园区企业有针对性的引进上中下游市场资源，形成产业链集群。四是开展以商招商。企业处于市场的前沿，掌握的信息多，充分借助企业的信息渠道、商务渠道、人脉资源进行招商引资。</w:t>
      </w:r>
    </w:p>
    <w:p>
      <w:pPr>
        <w:pStyle w:val="3"/>
        <w:ind/>
        <w:rPr>
          <w:rFonts w:ascii="Times New Roman" w:hAnsi="Times New Roman" w:eastAsia="仿宋_GB2312" w:cs="Times New Roman"/>
          <w:b/>
          <w:b/>
          <w:bCs/>
          <w:lang w:val="zh-CN"/>
        </w:rPr>
      </w:pPr>
      <w:bookmarkStart w:id="50" w:name="_Toc82074852"/>
      <w:r>
        <w:rPr/>
        <w:t>二、着力健全招商引资机制</w:t>
      </w:r>
      <w:bookmarkEnd w:id="50"/>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建立健全储备一批、签约一批、落地一批、建成一批的招商引资工作推进机制。储备一批。立足全县产业优势、市场需求、资源禀赋，紧盯国家产业政策和投资导向，储备一批具有吸引力的招商引资项目，并建立全县招商引资动态项目储备库。签约一批。建立重点项目洽谈跟踪制度，对在谈项目尤其是对有合作意向的项目，及时跟进洽谈，加强跟踪调度，争取尽快正式签约。落地一批。对已签约尚未开工的项目、新签约的项目，严格落实全程跟踪服务和全程代办制度，加强联系跟进，及时解决项目落地中的瓶颈制约，推动项目落地、成型、见效。建成一批。对已落地的项目，逐个制定推进时间表、路线图和任务书，用目标倒逼责任，用时间倒逼进度，用督查倒逼落实，争取项目早建成、早投产、早见效。</w:t>
      </w:r>
    </w:p>
    <w:p>
      <w:pPr>
        <w:pStyle w:val="3"/>
        <w:ind/>
        <w:rPr>
          <w:rFonts w:ascii="Times New Roman" w:hAnsi="Times New Roman" w:eastAsia="仿宋_GB2312" w:cs="Times New Roman"/>
          <w:b/>
          <w:b/>
          <w:bCs/>
          <w:lang w:val="zh-CN"/>
        </w:rPr>
      </w:pPr>
      <w:bookmarkStart w:id="51" w:name="_Toc82074853"/>
      <w:r>
        <w:rPr/>
        <w:t>三、着力规范招商引资程序</w:t>
      </w:r>
      <w:bookmarkEnd w:id="51"/>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一是规范项目信息收集。建立信息收集报送机制和信息初步甄别机制。对符合龙山县招商引资准入标准且有一定投资兴趣的项目信息进行收集，每月进行一次信息甄别。二是规范项目考察洽谈。投资方来县考察，实行有函接待原则和及时上报原则。对投资方进行实地考察，实行考察前外出报备制度和考察后书面报告制度。三是规范项目评审会商。建立项目评审机制。对经实地考察、有明确投资意向并提交投资计划书的项目，开展项目可行性评审。四是规范项目签约。县招商引资领导小组会议或县政府常务会议研究决定后，县人民政府签订招商引资意向或框架协议。</w:t>
      </w:r>
    </w:p>
    <w:p>
      <w:pPr>
        <w:pStyle w:val="3"/>
        <w:ind/>
        <w:rPr>
          <w:rFonts w:ascii="Times New Roman" w:hAnsi="Times New Roman" w:eastAsia="仿宋_GB2312" w:cs="Times New Roman"/>
          <w:b/>
          <w:b/>
          <w:bCs/>
          <w:lang w:val="zh-CN"/>
        </w:rPr>
      </w:pPr>
      <w:bookmarkStart w:id="52" w:name="_Toc82074854"/>
      <w:r>
        <w:rPr/>
        <w:t>四、着力保障招商引资要素</w:t>
      </w:r>
      <w:bookmarkEnd w:id="52"/>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一是确保优惠政策落地见效。要牢牢抓住平台载体建设、政务服务环境、相关政策、金融服务等关键环节，进一步深化研究，推动龙山县招商引资优惠政策具体化，确保财税规费政策、土地政策、服务政策等各项政策落到实处。进一步梳理相关政策，明确政策实施时限和落实举措，坚持结果导向，细化政策措施，确保发挥实效。</w:t>
      </w:r>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二是确保营商环境持续优化。大力营造“招商引资没有局外人、人人都是招商主体、个个都是投资环境”的营商氛围。要采取无微不至的保姆式服务、随叫随到的店小二式服务、责权利相统一的契约式服务，随时解决企业遇到的困难和问题，不断优化全程代办、不断规范行政执法，充分保障企业合法权益，使企业进得来、留得住、见效好、发展快。</w:t>
      </w:r>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三是确保招商队伍精干高效。加强招商队伍人员培训，壮大专业招商人员力量，不断提高招商人员综合素质，建立一批真正懂经济、会谈判、沟通能力强的高素质专业招商人员。进一步加强驻点招商，实现招商引资的专业化、组织化、高效化运作。</w:t>
      </w:r>
    </w:p>
    <w:p>
      <w:pPr>
        <w:pStyle w:val="3"/>
        <w:ind/>
        <w:rPr>
          <w:rFonts w:ascii="Times New Roman" w:hAnsi="Times New Roman" w:eastAsia="仿宋_GB2312" w:cs="Times New Roman"/>
          <w:b/>
          <w:b/>
          <w:bCs/>
          <w:lang w:val="zh-CN"/>
        </w:rPr>
      </w:pPr>
      <w:bookmarkStart w:id="53" w:name="_Toc82074855"/>
      <w:r>
        <w:rPr/>
        <w:t>五、着力拓宽招商引资视野</w:t>
      </w:r>
      <w:bookmarkEnd w:id="53"/>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紧盯国家政策导向、产业规划动向，善于在国家重大改革开放战略中抢抓新机遇，特别是要抓住国内产业梯度转移的重大机遇，进一步拓展资源优势、区位优势、产业优势。抓住长沙市对口帮扶的机遇，主动融入长株潭经济圈，把发展配角经济作为招商引资的突破口，以配角强规模、以配角树品牌、以配角求技术、以配角扩市场，把龙山建设成为长沙市及至长株潭农副产品生产供应基地、承接工业产业转型基地和产业配套件生产基地、劳动力输出培养基地，实现资源共享、互利共赢、错位发展。</w:t>
      </w:r>
    </w:p>
    <w:p>
      <w:pPr>
        <w:pStyle w:val="2"/>
        <w:rPr>
          <w:rFonts w:ascii="Times New Roman" w:hAnsi="Times New Roman" w:eastAsia="仿宋_GB2312" w:cs="Times New Roman"/>
          <w:b/>
          <w:b/>
          <w:bCs/>
          <w:lang w:val="zh-CN"/>
        </w:rPr>
      </w:pPr>
      <w:bookmarkStart w:id="54" w:name="_Toc82074856"/>
      <w:bookmarkStart w:id="55" w:name="_Toc46750241"/>
      <w:r>
        <w:rPr/>
        <w:t>第二节  适应消费升级要求，促进城乡市场建设</w:t>
      </w:r>
      <w:bookmarkEnd w:id="54"/>
      <w:bookmarkEnd w:id="55"/>
    </w:p>
    <w:p>
      <w:pPr>
        <w:pStyle w:val="3"/>
        <w:ind/>
        <w:rPr>
          <w:rFonts w:ascii="Times New Roman" w:hAnsi="Times New Roman" w:eastAsia="仿宋_GB2312" w:cs="Times New Roman"/>
          <w:b/>
          <w:b/>
          <w:bCs/>
          <w:lang w:val="zh-CN"/>
        </w:rPr>
      </w:pPr>
      <w:bookmarkStart w:id="56" w:name="_Toc82074857"/>
      <w:r>
        <w:rPr/>
        <w:t>一、优化消费业态布局</w:t>
      </w:r>
      <w:bookmarkEnd w:id="56"/>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推进县城商圈合理布局，分层分类打造升级版的消费集聚区，推动商务区提档升级发展，构建消费吸附力和对外影响力强的城市商业体系。着力培育和建设红星美凯龙家居城、万汇国际汽贸城、洗洛百合交易物流中心、高铁新城中药材交易中心、民安综合市场、城东物流园和龙凤小商品市场等一批规模较大、辐射带动作用明显的区域性专业市场。积极引进一批大型购物中心、精品店、专卖店等中高端业态，落地一批大型高端商贸综合体，完善综合商业配套建设，推动传统商圈提档升级；根据县城现状，推进特色餐饮、特色农产品、休闲娱乐等特色商业街区建设，加快中介市场、游乐场、文旅商品市场建设，引导相关特色商业服务资源高度聚集。注重消费质量体验，实施对美丽时尚、绿色餐饮、贴心家政等生活服务业提质工程，顺应人民对美好生活的向往，对服务业的高要求、新需求；积极培育购物、娱乐、教育等线上消费，扶持智慧超市、智慧餐厅等新零售业态，加快发展时尚消费，积极引进全球时尚品牌，鼓励品牌企业开设旗舰店。</w:t>
      </w:r>
    </w:p>
    <w:p>
      <w:pPr>
        <w:pStyle w:val="3"/>
        <w:ind/>
        <w:rPr>
          <w:rFonts w:ascii="Times New Roman" w:hAnsi="Times New Roman" w:eastAsia="仿宋_GB2312" w:cs="Times New Roman"/>
          <w:b/>
          <w:b/>
          <w:bCs/>
          <w:lang w:val="zh-CN"/>
        </w:rPr>
      </w:pPr>
      <w:bookmarkStart w:id="57" w:name="_Toc82074858"/>
      <w:r>
        <w:rPr/>
        <w:t>二、加快完善城乡市场体系建设</w:t>
      </w:r>
      <w:bookmarkEnd w:id="57"/>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一是规划建设一批农产品批发市场和农贸市场。取消城乡马路市场，进一步优化城乡农贸市场布局与结构。通过新建、改扩建的方式，进一步规范城乡农贸市场。到</w:t>
      </w:r>
      <w:r>
        <w:rPr>
          <w:rFonts w:eastAsia="仿宋_GB2312" w:cs="Times New Roman" w:ascii="Times New Roman" w:hAnsi="Times New Roman"/>
          <w:sz w:val="32"/>
          <w:szCs w:val="32"/>
        </w:rPr>
        <w:t>2025</w:t>
      </w:r>
      <w:r>
        <w:rPr>
          <w:rFonts w:ascii="Times New Roman" w:hAnsi="Times New Roman" w:cs="Times New Roman" w:eastAsia="仿宋_GB2312"/>
          <w:sz w:val="32"/>
          <w:szCs w:val="32"/>
        </w:rPr>
        <w:t>年，建成</w:t>
      </w:r>
      <w:r>
        <w:rPr>
          <w:rFonts w:eastAsia="仿宋_GB2312" w:cs="Times New Roman" w:ascii="Times New Roman" w:hAnsi="Times New Roman"/>
          <w:sz w:val="32"/>
          <w:szCs w:val="32"/>
        </w:rPr>
        <w:t>3</w:t>
      </w:r>
      <w:r>
        <w:rPr>
          <w:rFonts w:ascii="Times New Roman" w:hAnsi="Times New Roman" w:cs="Times New Roman" w:eastAsia="仿宋_GB2312"/>
          <w:sz w:val="32"/>
          <w:szCs w:val="32"/>
        </w:rPr>
        <w:t>个一级农贸批发市场：土城坝一级批发市场、城东商贸物流园一级批发市场、螺蛳滩一级批发市场；</w:t>
      </w:r>
      <w:r>
        <w:rPr>
          <w:rFonts w:eastAsia="仿宋_GB2312" w:cs="Times New Roman" w:ascii="Times New Roman" w:hAnsi="Times New Roman"/>
          <w:sz w:val="32"/>
          <w:szCs w:val="32"/>
        </w:rPr>
        <w:t>28</w:t>
      </w:r>
      <w:r>
        <w:rPr>
          <w:rFonts w:ascii="Times New Roman" w:hAnsi="Times New Roman" w:cs="Times New Roman" w:eastAsia="仿宋_GB2312"/>
          <w:sz w:val="32"/>
          <w:szCs w:val="32"/>
        </w:rPr>
        <w:t>个大型农贸市场（图</w:t>
      </w:r>
      <w:r>
        <w:rPr>
          <w:rFonts w:eastAsia="仿宋_GB2312" w:cs="Times New Roman" w:ascii="Times New Roman" w:hAnsi="Times New Roman"/>
          <w:sz w:val="32"/>
          <w:szCs w:val="32"/>
        </w:rPr>
        <w:t>1</w:t>
      </w:r>
      <w:r>
        <w:rPr>
          <w:rFonts w:ascii="Times New Roman" w:hAnsi="Times New Roman" w:cs="Times New Roman" w:eastAsia="仿宋_GB2312"/>
          <w:sz w:val="32"/>
          <w:szCs w:val="32"/>
        </w:rPr>
        <w:t>），其中县城</w:t>
      </w:r>
      <w:r>
        <w:rPr>
          <w:rFonts w:eastAsia="仿宋_GB2312" w:cs="Times New Roman" w:ascii="Times New Roman" w:hAnsi="Times New Roman"/>
          <w:sz w:val="32"/>
          <w:szCs w:val="32"/>
        </w:rPr>
        <w:t>9</w:t>
      </w:r>
      <w:r>
        <w:rPr>
          <w:rFonts w:ascii="Times New Roman" w:hAnsi="Times New Roman" w:cs="Times New Roman" w:eastAsia="仿宋_GB2312"/>
          <w:sz w:val="32"/>
          <w:szCs w:val="32"/>
        </w:rPr>
        <w:t>个（图</w:t>
      </w:r>
      <w:r>
        <w:rPr>
          <w:rFonts w:eastAsia="仿宋_GB2312" w:cs="Times New Roman" w:ascii="Times New Roman" w:hAnsi="Times New Roman"/>
          <w:sz w:val="32"/>
          <w:szCs w:val="32"/>
        </w:rPr>
        <w:t>2</w:t>
      </w:r>
      <w:r>
        <w:rPr>
          <w:rFonts w:ascii="Times New Roman" w:hAnsi="Times New Roman" w:cs="Times New Roman" w:eastAsia="仿宋_GB2312"/>
          <w:sz w:val="32"/>
          <w:szCs w:val="32"/>
        </w:rPr>
        <w:t>），即官渡社区农贸市场、螺蛳滩农贸市场、华塘新区农贸市场、土城坝农贸市场、城东商贸物流园农贸市场、亿利农贸市场、城中农贸市场、湖湘商贸农贸市场和高铁新城农贸市场，改扩建乡镇农贸市场共</w:t>
      </w:r>
      <w:r>
        <w:rPr>
          <w:rFonts w:eastAsia="仿宋_GB2312" w:cs="Times New Roman" w:ascii="Times New Roman" w:hAnsi="Times New Roman"/>
          <w:sz w:val="32"/>
          <w:szCs w:val="32"/>
        </w:rPr>
        <w:t>19</w:t>
      </w:r>
      <w:r>
        <w:rPr>
          <w:rFonts w:ascii="Times New Roman" w:hAnsi="Times New Roman" w:cs="Times New Roman" w:eastAsia="仿宋_GB2312"/>
          <w:sz w:val="32"/>
          <w:szCs w:val="32"/>
        </w:rPr>
        <w:t>个；建成</w:t>
      </w:r>
      <w:r>
        <w:rPr>
          <w:rFonts w:eastAsia="仿宋_GB2312" w:cs="Times New Roman" w:ascii="Times New Roman" w:hAnsi="Times New Roman"/>
          <w:sz w:val="32"/>
          <w:szCs w:val="32"/>
        </w:rPr>
        <w:t>1</w:t>
      </w:r>
      <w:r>
        <w:rPr>
          <w:rFonts w:ascii="Times New Roman" w:hAnsi="Times New Roman" w:cs="Times New Roman" w:eastAsia="仿宋_GB2312"/>
          <w:sz w:val="32"/>
          <w:szCs w:val="32"/>
        </w:rPr>
        <w:t>个家禽宰杀场，实行统一宰杀，力争</w:t>
      </w:r>
      <w:r>
        <w:rPr>
          <w:rFonts w:eastAsia="仿宋_GB2312" w:cs="Times New Roman" w:ascii="Times New Roman" w:hAnsi="Times New Roman"/>
          <w:sz w:val="32"/>
          <w:szCs w:val="32"/>
        </w:rPr>
        <w:t>5</w:t>
      </w:r>
      <w:r>
        <w:rPr>
          <w:rFonts w:ascii="Times New Roman" w:hAnsi="Times New Roman" w:cs="Times New Roman" w:eastAsia="仿宋_GB2312"/>
          <w:sz w:val="32"/>
          <w:szCs w:val="32"/>
        </w:rPr>
        <w:t>年内取缔县城内所有家畜家禽宰杀场。建设</w:t>
      </w:r>
      <w:r>
        <w:rPr>
          <w:rFonts w:eastAsia="仿宋_GB2312" w:cs="Times New Roman" w:ascii="Times New Roman" w:hAnsi="Times New Roman"/>
          <w:sz w:val="32"/>
          <w:szCs w:val="32"/>
        </w:rPr>
        <w:t>1</w:t>
      </w:r>
      <w:r>
        <w:rPr>
          <w:rFonts w:ascii="Times New Roman" w:hAnsi="Times New Roman" w:cs="Times New Roman" w:eastAsia="仿宋_GB2312"/>
          <w:sz w:val="32"/>
          <w:szCs w:val="32"/>
        </w:rPr>
        <w:t>个</w:t>
      </w:r>
      <w:r>
        <w:rPr>
          <w:rFonts w:eastAsia="仿宋_GB2312" w:cs="Times New Roman" w:ascii="Times New Roman" w:hAnsi="Times New Roman"/>
          <w:sz w:val="32"/>
          <w:szCs w:val="32"/>
        </w:rPr>
        <w:t>10</w:t>
      </w:r>
      <w:r>
        <w:rPr>
          <w:rFonts w:ascii="Times New Roman" w:hAnsi="Times New Roman" w:cs="Times New Roman" w:eastAsia="仿宋_GB2312"/>
          <w:sz w:val="32"/>
          <w:szCs w:val="32"/>
        </w:rPr>
        <w:t>万吨级生猪屠宰仓储冷链交易市场。二是规划建设一批以百合、中药材、柑橘、建材家居、汽车、小商品等大型专业市场。着力培育和建设洗洛百合交易物流中心、高铁新城中药材交易中心、里耶</w:t>
      </w:r>
      <w:r>
        <w:rPr>
          <w:rFonts w:eastAsia="仿宋_GB2312" w:cs="Times New Roman" w:ascii="Times New Roman" w:hAnsi="Times New Roman"/>
          <w:sz w:val="32"/>
          <w:szCs w:val="32"/>
        </w:rPr>
        <w:t>10</w:t>
      </w:r>
      <w:r>
        <w:rPr>
          <w:rFonts w:ascii="Times New Roman" w:hAnsi="Times New Roman" w:cs="Times New Roman" w:eastAsia="仿宋_GB2312"/>
          <w:sz w:val="32"/>
          <w:szCs w:val="32"/>
        </w:rPr>
        <w:t>万吨级柑橘洗选、仓储、物流交易市场等一批规模较大、辐射带动作用明显的区域性专业批发交易市场。三是积极引进一批大型购物中心、故事小镇、精品店、专卖店等中高端业态，落地一批“商贸</w:t>
      </w:r>
      <w:r>
        <w:rPr>
          <w:rFonts w:eastAsia="仿宋_GB2312" w:cs="Times New Roman" w:ascii="Times New Roman" w:hAnsi="Times New Roman"/>
          <w:sz w:val="32"/>
          <w:szCs w:val="32"/>
        </w:rPr>
        <w:t>+</w:t>
      </w:r>
      <w:r>
        <w:rPr>
          <w:rFonts w:ascii="Times New Roman" w:hAnsi="Times New Roman" w:cs="Times New Roman" w:eastAsia="仿宋_GB2312"/>
          <w:sz w:val="32"/>
          <w:szCs w:val="32"/>
        </w:rPr>
        <w:t>旅游”项目，完善综合商业配套建设，推动传统商圈提档升级。四是是根据县城现状，推进特色餐饮、特色农产品、休闲娱乐等特色商业街区建设，引导相关特色商业服务资源高度聚集。注重消费质量体验，实施对美丽时尚、特色餐饮、贴心家政等生活服务业提质工程，顺应人民对美好生活的向往，对服务业的高要求、新需求；积极培育购物、娱乐、教育等线上消费，扶持智慧超市、智慧餐厅等新零售业态，加快发展时尚消费，积极引进全球时尚品牌，鼓励品牌企业开设旗舰店。</w:t>
      </w:r>
    </w:p>
    <w:p>
      <w:pPr>
        <w:pStyle w:val="Style16"/>
        <w:spacing w:lineRule="auto" w:line="360"/>
        <w:ind w:firstLineChars="200" w:firstLine="0"/>
        <w:rPr>
          <w:rFonts w:ascii="Times New Roman" w:hAnsi="Times New Roman" w:eastAsia="仿宋_GB2312" w:cs="Times New Roman"/>
          <w:sz w:val="32"/>
          <w:szCs w:val="32"/>
        </w:rPr>
      </w:pPr>
      <w:r>
        <w:rPr>
          <w:rFonts w:eastAsia="仿宋_GB2312" w:cs="Times New Roman" w:ascii="Times New Roman" w:hAnsi="Times New Roman"/>
          <w:sz w:val="32"/>
          <w:szCs w:val="32"/>
        </w:rPr>
      </w:r>
    </w:p>
    <w:tbl>
      <w:tblPr>
        <w:tblW w:w="852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522"/>
      </w:tblGrid>
      <w:tr>
        <w:trPr>
          <w:trHeight w:val="567" w:hRule="exact"/>
        </w:trPr>
        <w:tc>
          <w:tcPr>
            <w:tcW w:w="8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16"/>
              <w:widowControl w:val="false"/>
              <w:snapToGrid w:val="false"/>
              <w:ind w:firstLineChars="200" w:firstLine="0"/>
              <w:jc w:val="center"/>
              <w:rPr>
                <w:rFonts w:ascii="Times New Roman" w:hAnsi="Times New Roman" w:eastAsia="仿宋_GB2312" w:cs="Times New Roman"/>
                <w:b/>
                <w:b/>
                <w:sz w:val="24"/>
                <w:szCs w:val="24"/>
              </w:rPr>
            </w:pPr>
            <w:r>
              <w:rPr>
                <w:rFonts w:ascii="Times New Roman" w:hAnsi="Times New Roman" w:cs="Times New Roman" w:eastAsia="仿宋_GB2312"/>
                <w:b/>
                <w:sz w:val="24"/>
                <w:szCs w:val="24"/>
              </w:rPr>
              <w:t>专栏</w:t>
            </w:r>
            <w:r>
              <w:rPr>
                <w:rFonts w:eastAsia="仿宋_GB2312" w:cs="Times New Roman" w:ascii="Times New Roman" w:hAnsi="Times New Roman"/>
                <w:b/>
                <w:sz w:val="24"/>
                <w:szCs w:val="24"/>
              </w:rPr>
              <w:t xml:space="preserve">1  </w:t>
            </w:r>
            <w:r>
              <w:rPr>
                <w:rFonts w:ascii="Times New Roman" w:hAnsi="Times New Roman" w:cs="Times New Roman" w:eastAsia="仿宋_GB2312"/>
                <w:b/>
                <w:sz w:val="24"/>
                <w:szCs w:val="24"/>
              </w:rPr>
              <w:t>龙山县城</w:t>
            </w:r>
            <w:r>
              <w:rPr>
                <w:rFonts w:eastAsia="仿宋_GB2312" w:cs="Times New Roman" w:ascii="Times New Roman" w:hAnsi="Times New Roman"/>
                <w:b/>
                <w:sz w:val="24"/>
                <w:szCs w:val="24"/>
              </w:rPr>
              <w:t>9</w:t>
            </w:r>
            <w:r>
              <w:rPr>
                <w:rFonts w:ascii="Times New Roman" w:hAnsi="Times New Roman" w:cs="Times New Roman" w:eastAsia="仿宋_GB2312"/>
                <w:b/>
                <w:sz w:val="24"/>
                <w:szCs w:val="24"/>
              </w:rPr>
              <w:t>个大型农贸市场规划布局</w:t>
            </w:r>
          </w:p>
        </w:tc>
      </w:tr>
      <w:tr>
        <w:trPr/>
        <w:tc>
          <w:tcPr>
            <w:tcW w:w="8522" w:type="dxa"/>
            <w:tcBorders>
              <w:top w:val="single" w:sz="4" w:space="0" w:color="000000"/>
              <w:left w:val="single" w:sz="4" w:space="0" w:color="000000"/>
              <w:bottom w:val="single" w:sz="4" w:space="0" w:color="000000"/>
              <w:right w:val="single" w:sz="4" w:space="0" w:color="000000"/>
            </w:tcBorders>
            <w:shd w:color="auto" w:fill="auto" w:val="clear"/>
          </w:tcPr>
          <w:p>
            <w:pPr>
              <w:pStyle w:val="Style16"/>
              <w:widowControl w:val="false"/>
              <w:snapToGrid w:val="false"/>
              <w:rPr>
                <w:rFonts w:ascii="Times New Roman" w:hAnsi="Times New Roman" w:eastAsia="仿宋_GB2312" w:cs="Times New Roman"/>
                <w:b/>
                <w:b/>
                <w:bCs/>
                <w:sz w:val="24"/>
                <w:szCs w:val="24"/>
              </w:rPr>
            </w:pPr>
            <w:r>
              <w:rPr>
                <w:rFonts w:eastAsia="仿宋_GB2312" w:cs="Times New Roman" w:ascii="Times New Roman" w:hAnsi="Times New Roman"/>
                <w:b/>
                <w:bCs/>
                <w:sz w:val="24"/>
                <w:szCs w:val="24"/>
              </w:rPr>
              <w:t>1.</w:t>
            </w:r>
            <w:r>
              <w:rPr>
                <w:rFonts w:ascii="Times New Roman" w:hAnsi="Times New Roman" w:cs="Times New Roman" w:eastAsia="仿宋_GB2312"/>
                <w:b/>
                <w:bCs/>
                <w:sz w:val="24"/>
                <w:szCs w:val="24"/>
              </w:rPr>
              <w:t>官渡社区农贸市场</w:t>
            </w:r>
          </w:p>
          <w:p>
            <w:pPr>
              <w:pStyle w:val="Style16"/>
              <w:widowControl w:val="false"/>
              <w:snapToGrid w:val="false"/>
              <w:ind w:firstLineChars="200" w:firstLine="0"/>
              <w:rPr>
                <w:rFonts w:ascii="Times New Roman" w:hAnsi="Times New Roman" w:eastAsia="仿宋_GB2312" w:cs="Times New Roman"/>
                <w:sz w:val="24"/>
                <w:szCs w:val="24"/>
              </w:rPr>
            </w:pPr>
            <w:r>
              <w:rPr>
                <w:rFonts w:ascii="Times New Roman" w:hAnsi="Times New Roman" w:cs="Times New Roman" w:eastAsia="仿宋_GB2312"/>
                <w:sz w:val="24"/>
                <w:szCs w:val="24"/>
              </w:rPr>
              <w:t>主要服务于新城区，在酉水附近新建官渡社区农贸市场，方便周边居民购物。</w:t>
            </w:r>
          </w:p>
          <w:p>
            <w:pPr>
              <w:pStyle w:val="Style16"/>
              <w:widowControl w:val="false"/>
              <w:snapToGrid w:val="false"/>
              <w:rPr>
                <w:rFonts w:ascii="Times New Roman" w:hAnsi="Times New Roman" w:eastAsia="仿宋_GB2312" w:cs="Times New Roman"/>
                <w:b/>
                <w:b/>
                <w:bCs/>
                <w:sz w:val="24"/>
                <w:szCs w:val="24"/>
              </w:rPr>
            </w:pPr>
            <w:r>
              <w:rPr>
                <w:rFonts w:eastAsia="仿宋_GB2312" w:cs="Times New Roman" w:ascii="Times New Roman" w:hAnsi="Times New Roman"/>
                <w:b/>
                <w:bCs/>
                <w:sz w:val="24"/>
                <w:szCs w:val="24"/>
              </w:rPr>
              <w:t>2.</w:t>
            </w:r>
            <w:r>
              <w:rPr>
                <w:rFonts w:ascii="Times New Roman" w:hAnsi="Times New Roman" w:cs="Times New Roman" w:eastAsia="仿宋_GB2312"/>
                <w:b/>
                <w:bCs/>
                <w:sz w:val="24"/>
                <w:szCs w:val="24"/>
              </w:rPr>
              <w:t>螺蛳滩村农贸市场</w:t>
            </w:r>
          </w:p>
          <w:p>
            <w:pPr>
              <w:pStyle w:val="Style16"/>
              <w:widowControl w:val="false"/>
              <w:snapToGrid w:val="false"/>
              <w:ind w:firstLineChars="200" w:firstLine="0"/>
              <w:rPr>
                <w:rFonts w:ascii="Times New Roman" w:hAnsi="Times New Roman" w:eastAsia="仿宋_GB2312" w:cs="Times New Roman"/>
                <w:sz w:val="24"/>
                <w:szCs w:val="24"/>
              </w:rPr>
            </w:pPr>
            <w:r>
              <w:rPr>
                <w:rFonts w:ascii="Times New Roman" w:hAnsi="Times New Roman" w:cs="Times New Roman" w:eastAsia="仿宋_GB2312"/>
                <w:sz w:val="24"/>
                <w:szCs w:val="24"/>
              </w:rPr>
              <w:t>主要服务于新城区，在酉水附近新建螺蛳滩大型农贸市场。</w:t>
            </w:r>
          </w:p>
          <w:p>
            <w:pPr>
              <w:pStyle w:val="Style16"/>
              <w:widowControl w:val="false"/>
              <w:snapToGrid w:val="false"/>
              <w:rPr>
                <w:rFonts w:ascii="Times New Roman" w:hAnsi="Times New Roman" w:eastAsia="仿宋_GB2312" w:cs="Times New Roman"/>
                <w:b/>
                <w:b/>
                <w:bCs/>
                <w:sz w:val="24"/>
                <w:szCs w:val="24"/>
              </w:rPr>
            </w:pPr>
            <w:r>
              <w:rPr>
                <w:rFonts w:eastAsia="仿宋_GB2312" w:cs="Times New Roman" w:ascii="Times New Roman" w:hAnsi="Times New Roman"/>
                <w:b/>
                <w:bCs/>
                <w:sz w:val="24"/>
                <w:szCs w:val="24"/>
              </w:rPr>
              <w:t>3.</w:t>
            </w:r>
            <w:r>
              <w:rPr>
                <w:rFonts w:ascii="Times New Roman" w:hAnsi="Times New Roman" w:cs="Times New Roman" w:eastAsia="仿宋_GB2312"/>
                <w:b/>
                <w:bCs/>
                <w:sz w:val="24"/>
                <w:szCs w:val="24"/>
              </w:rPr>
              <w:t>华塘新区农贸市场</w:t>
            </w:r>
          </w:p>
          <w:p>
            <w:pPr>
              <w:pStyle w:val="Style16"/>
              <w:widowControl w:val="false"/>
              <w:snapToGrid w:val="false"/>
              <w:ind w:firstLineChars="200" w:firstLine="0"/>
              <w:rPr>
                <w:rFonts w:ascii="Times New Roman" w:hAnsi="Times New Roman" w:eastAsia="仿宋_GB2312" w:cs="Times New Roman"/>
                <w:sz w:val="24"/>
                <w:szCs w:val="24"/>
              </w:rPr>
            </w:pPr>
            <w:r>
              <w:rPr>
                <w:rFonts w:ascii="Times New Roman" w:hAnsi="Times New Roman" w:cs="Times New Roman" w:eastAsia="仿宋_GB2312"/>
                <w:sz w:val="24"/>
                <w:szCs w:val="24"/>
              </w:rPr>
              <w:t>主要服务于新城区，在华塘商居城对面的居民安置房后，新建华塘新区农贸市场，将其打造成优质的星级农贸市场。</w:t>
            </w:r>
          </w:p>
          <w:p>
            <w:pPr>
              <w:pStyle w:val="Style16"/>
              <w:widowControl w:val="false"/>
              <w:snapToGrid w:val="false"/>
              <w:rPr>
                <w:rFonts w:ascii="Times New Roman" w:hAnsi="Times New Roman" w:eastAsia="仿宋_GB2312" w:cs="Times New Roman"/>
                <w:b/>
                <w:b/>
                <w:bCs/>
                <w:sz w:val="24"/>
                <w:szCs w:val="24"/>
              </w:rPr>
            </w:pPr>
            <w:r>
              <w:rPr>
                <w:rFonts w:eastAsia="仿宋_GB2312" w:cs="Times New Roman" w:ascii="Times New Roman" w:hAnsi="Times New Roman"/>
                <w:b/>
                <w:bCs/>
                <w:sz w:val="24"/>
                <w:szCs w:val="24"/>
              </w:rPr>
              <w:t>4.</w:t>
            </w:r>
            <w:r>
              <w:rPr>
                <w:rFonts w:ascii="Times New Roman" w:hAnsi="Times New Roman" w:cs="Times New Roman" w:eastAsia="仿宋_GB2312"/>
                <w:b/>
                <w:bCs/>
                <w:sz w:val="24"/>
                <w:szCs w:val="24"/>
              </w:rPr>
              <w:t>土城坝农贸市场</w:t>
            </w:r>
          </w:p>
          <w:p>
            <w:pPr>
              <w:pStyle w:val="Style16"/>
              <w:widowControl w:val="false"/>
              <w:snapToGrid w:val="false"/>
              <w:ind w:firstLineChars="200" w:firstLine="0"/>
              <w:rPr>
                <w:rFonts w:ascii="Times New Roman" w:hAnsi="Times New Roman" w:eastAsia="仿宋_GB2312" w:cs="Times New Roman"/>
                <w:sz w:val="24"/>
                <w:szCs w:val="24"/>
              </w:rPr>
            </w:pPr>
            <w:r>
              <w:rPr>
                <w:rFonts w:ascii="Times New Roman" w:hAnsi="Times New Roman" w:cs="Times New Roman" w:eastAsia="仿宋_GB2312"/>
                <w:sz w:val="24"/>
                <w:szCs w:val="24"/>
              </w:rPr>
              <w:t>主要服务于老城区，在土城坝新建</w:t>
            </w:r>
            <w:r>
              <w:rPr>
                <w:rFonts w:eastAsia="仿宋_GB2312" w:cs="Times New Roman" w:ascii="Times New Roman" w:hAnsi="Times New Roman"/>
                <w:sz w:val="24"/>
                <w:szCs w:val="24"/>
              </w:rPr>
              <w:t>1</w:t>
            </w:r>
            <w:r>
              <w:rPr>
                <w:rFonts w:ascii="Times New Roman" w:hAnsi="Times New Roman" w:cs="Times New Roman" w:eastAsia="仿宋_GB2312"/>
                <w:sz w:val="24"/>
                <w:szCs w:val="24"/>
              </w:rPr>
              <w:t>个大型农贸市场。</w:t>
            </w:r>
          </w:p>
          <w:p>
            <w:pPr>
              <w:pStyle w:val="Style16"/>
              <w:widowControl w:val="false"/>
              <w:snapToGrid w:val="false"/>
              <w:rPr>
                <w:rFonts w:ascii="Times New Roman" w:hAnsi="Times New Roman" w:eastAsia="仿宋_GB2312" w:cs="Times New Roman"/>
                <w:b/>
                <w:b/>
                <w:bCs/>
                <w:sz w:val="24"/>
                <w:szCs w:val="24"/>
              </w:rPr>
            </w:pPr>
            <w:r>
              <w:rPr>
                <w:rFonts w:eastAsia="仿宋_GB2312" w:cs="Times New Roman" w:ascii="Times New Roman" w:hAnsi="Times New Roman"/>
                <w:b/>
                <w:bCs/>
                <w:sz w:val="24"/>
                <w:szCs w:val="24"/>
              </w:rPr>
              <w:t>5.</w:t>
            </w:r>
            <w:r>
              <w:rPr>
                <w:rFonts w:ascii="Times New Roman" w:hAnsi="Times New Roman" w:cs="Times New Roman" w:eastAsia="仿宋_GB2312"/>
                <w:b/>
                <w:bCs/>
                <w:sz w:val="24"/>
                <w:szCs w:val="24"/>
              </w:rPr>
              <w:t>城东物流园农贸市场</w:t>
            </w:r>
          </w:p>
          <w:p>
            <w:pPr>
              <w:pStyle w:val="Style16"/>
              <w:widowControl w:val="false"/>
              <w:snapToGrid w:val="false"/>
              <w:ind w:firstLineChars="200" w:firstLine="0"/>
              <w:rPr>
                <w:rFonts w:ascii="Times New Roman" w:hAnsi="Times New Roman" w:eastAsia="仿宋_GB2312" w:cs="Times New Roman"/>
                <w:sz w:val="24"/>
                <w:szCs w:val="24"/>
              </w:rPr>
            </w:pPr>
            <w:r>
              <w:rPr>
                <w:rFonts w:ascii="Times New Roman" w:hAnsi="Times New Roman" w:cs="Times New Roman" w:eastAsia="仿宋_GB2312"/>
                <w:sz w:val="24"/>
                <w:szCs w:val="24"/>
              </w:rPr>
              <w:t>主要服务于老城区，方便周边居民购物。</w:t>
            </w:r>
          </w:p>
          <w:p>
            <w:pPr>
              <w:pStyle w:val="Style16"/>
              <w:widowControl w:val="false"/>
              <w:snapToGrid w:val="false"/>
              <w:rPr>
                <w:rFonts w:ascii="Times New Roman" w:hAnsi="Times New Roman" w:eastAsia="仿宋_GB2312" w:cs="Times New Roman"/>
                <w:b/>
                <w:b/>
                <w:bCs/>
                <w:sz w:val="24"/>
                <w:szCs w:val="24"/>
              </w:rPr>
            </w:pPr>
            <w:r>
              <w:rPr>
                <w:rFonts w:eastAsia="仿宋_GB2312" w:cs="Times New Roman" w:ascii="Times New Roman" w:hAnsi="Times New Roman"/>
                <w:b/>
                <w:bCs/>
                <w:sz w:val="24"/>
                <w:szCs w:val="24"/>
              </w:rPr>
              <w:t>6.</w:t>
            </w:r>
            <w:r>
              <w:rPr>
                <w:rFonts w:ascii="Times New Roman" w:hAnsi="Times New Roman" w:cs="Times New Roman" w:eastAsia="仿宋_GB2312"/>
                <w:b/>
                <w:bCs/>
                <w:sz w:val="24"/>
                <w:szCs w:val="24"/>
              </w:rPr>
              <w:t>亿利农贸市场</w:t>
            </w:r>
          </w:p>
          <w:p>
            <w:pPr>
              <w:pStyle w:val="Style16"/>
              <w:widowControl w:val="false"/>
              <w:snapToGrid w:val="false"/>
              <w:ind w:firstLineChars="200" w:firstLine="0"/>
              <w:rPr>
                <w:rFonts w:ascii="Times New Roman" w:hAnsi="Times New Roman" w:eastAsia="仿宋_GB2312" w:cs="Times New Roman"/>
                <w:sz w:val="24"/>
                <w:szCs w:val="24"/>
              </w:rPr>
            </w:pPr>
            <w:r>
              <w:rPr>
                <w:rFonts w:ascii="Times New Roman" w:hAnsi="Times New Roman" w:cs="Times New Roman" w:eastAsia="仿宋_GB2312"/>
                <w:sz w:val="24"/>
                <w:szCs w:val="24"/>
              </w:rPr>
              <w:t>主要服务于老城区，利用亿利农贸市场的地理优势和良好的基础配套设施，将其打造成优质的星级农贸市场。</w:t>
            </w:r>
          </w:p>
          <w:p>
            <w:pPr>
              <w:pStyle w:val="Style16"/>
              <w:widowControl w:val="false"/>
              <w:snapToGrid w:val="false"/>
              <w:rPr>
                <w:rFonts w:ascii="Times New Roman" w:hAnsi="Times New Roman" w:eastAsia="仿宋_GB2312" w:cs="Times New Roman"/>
                <w:b/>
                <w:b/>
                <w:bCs/>
                <w:sz w:val="24"/>
                <w:szCs w:val="24"/>
              </w:rPr>
            </w:pPr>
            <w:r>
              <w:rPr>
                <w:rFonts w:eastAsia="仿宋_GB2312" w:cs="Times New Roman" w:ascii="Times New Roman" w:hAnsi="Times New Roman"/>
                <w:b/>
                <w:bCs/>
                <w:sz w:val="24"/>
                <w:szCs w:val="24"/>
              </w:rPr>
              <w:t>7.</w:t>
            </w:r>
            <w:r>
              <w:rPr>
                <w:rFonts w:ascii="Times New Roman" w:hAnsi="Times New Roman" w:cs="Times New Roman" w:eastAsia="仿宋_GB2312"/>
                <w:b/>
                <w:bCs/>
                <w:sz w:val="24"/>
                <w:szCs w:val="24"/>
              </w:rPr>
              <w:t>城中农贸市场</w:t>
            </w:r>
          </w:p>
          <w:p>
            <w:pPr>
              <w:pStyle w:val="Style16"/>
              <w:widowControl w:val="false"/>
              <w:snapToGrid w:val="false"/>
              <w:ind w:firstLineChars="200" w:firstLine="0"/>
              <w:rPr>
                <w:rFonts w:ascii="Times New Roman" w:hAnsi="Times New Roman" w:eastAsia="仿宋_GB2312" w:cs="Times New Roman"/>
                <w:sz w:val="24"/>
                <w:szCs w:val="24"/>
              </w:rPr>
            </w:pPr>
            <w:r>
              <w:rPr>
                <w:rFonts w:ascii="Times New Roman" w:hAnsi="Times New Roman" w:cs="Times New Roman" w:eastAsia="仿宋_GB2312"/>
                <w:sz w:val="24"/>
                <w:szCs w:val="24"/>
              </w:rPr>
              <w:t>主要服务于老城区，对城中农贸市场进行提质改造，使其在基础设施、卫生条件、管理制度和经营条件等方面达到很高水平。</w:t>
            </w:r>
          </w:p>
          <w:p>
            <w:pPr>
              <w:pStyle w:val="Style16"/>
              <w:widowControl w:val="false"/>
              <w:snapToGrid w:val="false"/>
              <w:rPr>
                <w:rFonts w:ascii="Times New Roman" w:hAnsi="Times New Roman" w:eastAsia="仿宋_GB2312" w:cs="Times New Roman"/>
                <w:b/>
                <w:b/>
                <w:bCs/>
                <w:sz w:val="24"/>
                <w:szCs w:val="24"/>
              </w:rPr>
            </w:pPr>
            <w:r>
              <w:rPr>
                <w:rFonts w:eastAsia="仿宋_GB2312" w:cs="Times New Roman" w:ascii="Times New Roman" w:hAnsi="Times New Roman"/>
                <w:b/>
                <w:bCs/>
                <w:sz w:val="24"/>
                <w:szCs w:val="24"/>
              </w:rPr>
              <w:t>8.</w:t>
            </w:r>
            <w:r>
              <w:rPr>
                <w:rFonts w:ascii="Times New Roman" w:hAnsi="Times New Roman" w:cs="Times New Roman" w:eastAsia="仿宋_GB2312"/>
                <w:b/>
                <w:bCs/>
                <w:sz w:val="24"/>
                <w:szCs w:val="24"/>
              </w:rPr>
              <w:t>湖湘商贸农贸市场</w:t>
            </w:r>
          </w:p>
          <w:p>
            <w:pPr>
              <w:pStyle w:val="Style16"/>
              <w:widowControl w:val="false"/>
              <w:snapToGrid w:val="false"/>
              <w:ind w:firstLineChars="200" w:firstLine="0"/>
              <w:rPr>
                <w:rFonts w:ascii="Times New Roman" w:hAnsi="Times New Roman" w:eastAsia="仿宋_GB2312" w:cs="Times New Roman"/>
                <w:sz w:val="24"/>
                <w:szCs w:val="24"/>
              </w:rPr>
            </w:pPr>
            <w:r>
              <w:rPr>
                <w:rFonts w:ascii="Times New Roman" w:hAnsi="Times New Roman" w:cs="Times New Roman" w:eastAsia="仿宋_GB2312"/>
                <w:sz w:val="24"/>
                <w:szCs w:val="24"/>
              </w:rPr>
              <w:t>主要服务于老城区，充分利用湖湘农贸市场的地理优势和良好的基础配套设施，将其打造成优质的星级农贸市场。</w:t>
            </w:r>
          </w:p>
          <w:p>
            <w:pPr>
              <w:pStyle w:val="Style16"/>
              <w:widowControl w:val="false"/>
              <w:snapToGrid w:val="false"/>
              <w:rPr>
                <w:rFonts w:ascii="Times New Roman" w:hAnsi="Times New Roman" w:eastAsia="仿宋_GB2312" w:cs="Times New Roman"/>
                <w:b/>
                <w:b/>
                <w:bCs/>
                <w:sz w:val="24"/>
                <w:szCs w:val="24"/>
              </w:rPr>
            </w:pPr>
            <w:r>
              <w:rPr>
                <w:rFonts w:eastAsia="仿宋_GB2312" w:cs="Times New Roman" w:ascii="Times New Roman" w:hAnsi="Times New Roman"/>
                <w:b/>
                <w:bCs/>
                <w:sz w:val="24"/>
                <w:szCs w:val="24"/>
              </w:rPr>
              <w:t>9.</w:t>
            </w:r>
            <w:r>
              <w:rPr>
                <w:rFonts w:ascii="Times New Roman" w:hAnsi="Times New Roman" w:cs="Times New Roman" w:eastAsia="仿宋_GB2312"/>
                <w:b/>
                <w:bCs/>
                <w:sz w:val="24"/>
                <w:szCs w:val="24"/>
              </w:rPr>
              <w:t>高铁新城农贸市场</w:t>
            </w:r>
          </w:p>
          <w:p>
            <w:pPr>
              <w:pStyle w:val="Style16"/>
              <w:widowControl w:val="false"/>
              <w:snapToGrid w:val="false"/>
              <w:ind w:firstLineChars="200" w:firstLine="0"/>
              <w:rPr>
                <w:rFonts w:ascii="Times New Roman" w:hAnsi="Times New Roman" w:eastAsia="仿宋_GB2312" w:cs="Times New Roman"/>
                <w:szCs w:val="21"/>
              </w:rPr>
            </w:pPr>
            <w:r>
              <w:rPr>
                <w:rFonts w:ascii="Times New Roman" w:hAnsi="Times New Roman" w:cs="Times New Roman" w:eastAsia="仿宋_GB2312"/>
                <w:sz w:val="24"/>
                <w:szCs w:val="24"/>
              </w:rPr>
              <w:t>主要服务于高铁新城，在高铁新城南端新建高铁新城农贸市场。充分利用龙山高铁新城区位优势，打造高铁新城优质的大型农贸市场。</w:t>
            </w:r>
            <w:bookmarkStart w:id="58" w:name="_Hlk39262763"/>
            <w:bookmarkEnd w:id="58"/>
          </w:p>
        </w:tc>
      </w:tr>
    </w:tbl>
    <w:p>
      <w:pPr>
        <w:pStyle w:val="Style16"/>
        <w:spacing w:lineRule="auto" w:line="360"/>
        <w:rPr>
          <w:rFonts w:ascii="Times New Roman" w:hAnsi="Times New Roman" w:eastAsia="仿宋_GB2312" w:cs="Times New Roman"/>
          <w:szCs w:val="21"/>
        </w:rPr>
      </w:pPr>
      <w:r>
        <w:rPr>
          <w:rFonts w:eastAsia="仿宋_GB2312" w:cs="Times New Roman" w:ascii="Times New Roman" w:hAnsi="Times New Roman"/>
          <w:szCs w:val="21"/>
        </w:rPr>
      </w:r>
    </w:p>
    <w:p>
      <w:pPr>
        <w:pStyle w:val="Style16"/>
        <w:spacing w:lineRule="auto" w:line="360"/>
        <w:jc w:val="center"/>
        <w:rPr>
          <w:rFonts w:ascii="Times New Roman" w:hAnsi="Times New Roman" w:eastAsia="仿宋_GB2312" w:cs="Times New Roman"/>
          <w:szCs w:val="21"/>
        </w:rPr>
      </w:pPr>
      <w:r>
        <w:rPr/>
        <w:drawing>
          <wp:inline distT="0" distB="0" distL="0" distR="0">
            <wp:extent cx="5274310" cy="7456170"/>
            <wp:effectExtent l="0" t="0" r="0" b="0"/>
            <wp:docPr id="1" name="图片 1" descr="地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地图&#10;&#10;描述已自动生成"/>
                    <pic:cNvPicPr>
                      <a:picLocks noChangeAspect="1" noChangeArrowheads="1"/>
                    </pic:cNvPicPr>
                  </pic:nvPicPr>
                  <pic:blipFill>
                    <a:blip r:embed="rId3"/>
                    <a:stretch>
                      <a:fillRect/>
                    </a:stretch>
                  </pic:blipFill>
                  <pic:spPr bwMode="auto">
                    <a:xfrm>
                      <a:off x="0" y="0"/>
                      <a:ext cx="5274310" cy="7456170"/>
                    </a:xfrm>
                    <a:prstGeom prst="rect">
                      <a:avLst/>
                    </a:prstGeom>
                  </pic:spPr>
                </pic:pic>
              </a:graphicData>
            </a:graphic>
          </wp:inline>
        </w:drawing>
      </w:r>
    </w:p>
    <w:p>
      <w:pPr>
        <w:pStyle w:val="Style16"/>
        <w:spacing w:lineRule="auto" w:line="360"/>
        <w:jc w:val="center"/>
        <w:rPr>
          <w:rFonts w:ascii="Times New Roman" w:hAnsi="Times New Roman" w:eastAsia="仿宋_GB2312" w:cs="Times New Roman"/>
          <w:sz w:val="24"/>
          <w:szCs w:val="24"/>
        </w:rPr>
      </w:pPr>
      <w:r>
        <w:rPr>
          <w:rFonts w:ascii="Times New Roman" w:hAnsi="Times New Roman" w:cs="Times New Roman" w:eastAsia="仿宋_GB2312"/>
          <w:b/>
          <w:sz w:val="24"/>
          <w:szCs w:val="24"/>
        </w:rPr>
        <w:t>图</w:t>
      </w:r>
      <w:r>
        <w:rPr>
          <w:rFonts w:eastAsia="仿宋_GB2312" w:cs="Times New Roman" w:ascii="Times New Roman" w:hAnsi="Times New Roman"/>
          <w:b/>
          <w:sz w:val="24"/>
          <w:szCs w:val="24"/>
        </w:rPr>
        <w:t xml:space="preserve">1  </w:t>
      </w:r>
      <w:r>
        <w:rPr>
          <w:rFonts w:ascii="Times New Roman" w:hAnsi="Times New Roman" w:cs="Times New Roman" w:eastAsia="仿宋_GB2312"/>
          <w:b/>
          <w:sz w:val="24"/>
          <w:szCs w:val="24"/>
        </w:rPr>
        <w:t>龙山县县域规划建设农贸市场示意图</w:t>
      </w:r>
    </w:p>
    <w:p>
      <w:pPr>
        <w:pStyle w:val="Style16"/>
        <w:spacing w:lineRule="auto" w:line="360"/>
        <w:rPr>
          <w:rFonts w:ascii="Times New Roman" w:hAnsi="Times New Roman" w:eastAsia="仿宋_GB2312" w:cs="Times New Roman"/>
          <w:szCs w:val="21"/>
        </w:rPr>
      </w:pPr>
      <w:r>
        <w:rPr>
          <w:rFonts w:eastAsia="仿宋_GB2312" w:cs="Times New Roman" w:ascii="Times New Roman" w:hAnsi="Times New Roman"/>
          <w:szCs w:val="21"/>
        </w:rPr>
      </w:r>
    </w:p>
    <w:p>
      <w:pPr>
        <w:pStyle w:val="Style16"/>
        <w:spacing w:lineRule="auto" w:line="360"/>
        <w:rPr>
          <w:rFonts w:ascii="Times New Roman" w:hAnsi="Times New Roman" w:eastAsia="仿宋_GB2312" w:cs="Times New Roman"/>
          <w:szCs w:val="21"/>
        </w:rPr>
      </w:pPr>
      <w:r>
        <w:rPr>
          <w:rFonts w:eastAsia="仿宋_GB2312" w:cs="Times New Roman" w:ascii="Times New Roman" w:hAnsi="Times New Roman"/>
          <w:szCs w:val="21"/>
        </w:rPr>
      </w:r>
    </w:p>
    <w:p>
      <w:pPr>
        <w:pStyle w:val="Style16"/>
        <w:spacing w:lineRule="auto" w:line="360"/>
        <w:rPr>
          <w:rFonts w:ascii="Times New Roman" w:hAnsi="Times New Roman" w:eastAsia="仿宋_GB2312" w:cs="Times New Roman"/>
          <w:szCs w:val="21"/>
        </w:rPr>
      </w:pPr>
      <w:r>
        <w:rPr/>
        <w:drawing>
          <wp:inline distT="0" distB="0" distL="0" distR="0">
            <wp:extent cx="5274310" cy="7453630"/>
            <wp:effectExtent l="0" t="0" r="0" b="0"/>
            <wp:docPr id="2" name="图片 3" descr="地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地图&#10;&#10;描述已自动生成"/>
                    <pic:cNvPicPr>
                      <a:picLocks noChangeAspect="1" noChangeArrowheads="1"/>
                    </pic:cNvPicPr>
                  </pic:nvPicPr>
                  <pic:blipFill>
                    <a:blip r:embed="rId4"/>
                    <a:stretch>
                      <a:fillRect/>
                    </a:stretch>
                  </pic:blipFill>
                  <pic:spPr bwMode="auto">
                    <a:xfrm>
                      <a:off x="0" y="0"/>
                      <a:ext cx="5274310" cy="7453630"/>
                    </a:xfrm>
                    <a:prstGeom prst="rect">
                      <a:avLst/>
                    </a:prstGeom>
                  </pic:spPr>
                </pic:pic>
              </a:graphicData>
            </a:graphic>
          </wp:inline>
        </w:drawing>
      </w:r>
    </w:p>
    <w:p>
      <w:pPr>
        <w:pStyle w:val="Style16"/>
        <w:spacing w:lineRule="auto" w:line="360"/>
        <w:jc w:val="center"/>
        <w:rPr>
          <w:rFonts w:ascii="Times New Roman" w:hAnsi="Times New Roman" w:eastAsia="仿宋_GB2312" w:cs="Times New Roman"/>
          <w:b/>
          <w:b/>
          <w:sz w:val="24"/>
          <w:szCs w:val="24"/>
        </w:rPr>
      </w:pPr>
      <w:r>
        <w:rPr>
          <w:rFonts w:ascii="Times New Roman" w:hAnsi="Times New Roman" w:cs="Times New Roman" w:eastAsia="仿宋_GB2312"/>
          <w:b/>
          <w:sz w:val="24"/>
          <w:szCs w:val="24"/>
        </w:rPr>
        <w:t>图</w:t>
      </w:r>
      <w:r>
        <w:rPr>
          <w:rFonts w:eastAsia="仿宋_GB2312" w:cs="Times New Roman" w:ascii="Times New Roman" w:hAnsi="Times New Roman"/>
          <w:b/>
          <w:sz w:val="24"/>
          <w:szCs w:val="24"/>
        </w:rPr>
        <w:t xml:space="preserve">2  </w:t>
      </w:r>
      <w:r>
        <w:rPr>
          <w:rFonts w:ascii="Times New Roman" w:hAnsi="Times New Roman" w:cs="Times New Roman" w:eastAsia="仿宋_GB2312"/>
          <w:b/>
          <w:sz w:val="24"/>
          <w:szCs w:val="24"/>
        </w:rPr>
        <w:t>龙山县县城规划建设农贸市场示意图</w:t>
      </w:r>
    </w:p>
    <w:p>
      <w:pPr>
        <w:pStyle w:val="Style16"/>
        <w:spacing w:lineRule="auto" w:line="360"/>
        <w:rPr>
          <w:rFonts w:ascii="Times New Roman" w:hAnsi="Times New Roman" w:eastAsia="仿宋_GB2312" w:cs="Times New Roman"/>
          <w:szCs w:val="21"/>
        </w:rPr>
      </w:pPr>
      <w:r>
        <w:rPr>
          <w:rFonts w:eastAsia="仿宋_GB2312" w:cs="Times New Roman" w:ascii="Times New Roman" w:hAnsi="Times New Roman"/>
          <w:szCs w:val="21"/>
        </w:rPr>
      </w:r>
    </w:p>
    <w:p>
      <w:pPr>
        <w:pStyle w:val="Style16"/>
        <w:spacing w:lineRule="auto" w:line="360"/>
        <w:rPr>
          <w:rFonts w:ascii="Times New Roman" w:hAnsi="Times New Roman" w:eastAsia="仿宋_GB2312" w:cs="Times New Roman"/>
          <w:szCs w:val="21"/>
        </w:rPr>
      </w:pPr>
      <w:r>
        <w:rPr>
          <w:rFonts w:eastAsia="仿宋_GB2312" w:cs="Times New Roman" w:ascii="Times New Roman" w:hAnsi="Times New Roman"/>
          <w:szCs w:val="21"/>
        </w:rPr>
      </w:r>
    </w:p>
    <w:p>
      <w:pPr>
        <w:pStyle w:val="Style16"/>
        <w:spacing w:lineRule="auto" w:line="360"/>
        <w:jc w:val="center"/>
        <w:rPr>
          <w:rFonts w:ascii="Times New Roman" w:hAnsi="Times New Roman" w:eastAsia="仿宋_GB2312" w:cs="Times New Roman"/>
          <w:b/>
          <w:b/>
          <w:szCs w:val="21"/>
        </w:rPr>
      </w:pPr>
      <w:r>
        <w:rPr>
          <w:rFonts w:eastAsia="仿宋_GB2312" w:cs="Times New Roman" w:ascii="Times New Roman" w:hAnsi="Times New Roman"/>
          <w:b/>
          <w:szCs w:val="21"/>
        </w:rPr>
      </w:r>
    </w:p>
    <w:tbl>
      <w:tblPr>
        <w:tblW w:w="85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522"/>
      </w:tblGrid>
      <w:tr>
        <w:trPr/>
        <w:tc>
          <w:tcPr>
            <w:tcW w:w="8522" w:type="dxa"/>
            <w:tcBorders>
              <w:top w:val="single" w:sz="4" w:space="0" w:color="000000"/>
              <w:left w:val="single" w:sz="4" w:space="0" w:color="000000"/>
              <w:bottom w:val="single" w:sz="4" w:space="0" w:color="000000"/>
              <w:right w:val="single" w:sz="4" w:space="0" w:color="000000"/>
            </w:tcBorders>
            <w:shd w:color="auto" w:fill="auto" w:val="clear"/>
          </w:tcPr>
          <w:p>
            <w:pPr>
              <w:pStyle w:val="Style16"/>
              <w:widowControl w:val="false"/>
              <w:spacing w:lineRule="auto" w:line="360"/>
              <w:jc w:val="center"/>
              <w:rPr>
                <w:rFonts w:ascii="Times New Roman" w:hAnsi="Times New Roman" w:eastAsia="仿宋_GB2312" w:cs="Times New Roman"/>
                <w:sz w:val="24"/>
                <w:szCs w:val="24"/>
              </w:rPr>
            </w:pPr>
            <w:r>
              <w:rPr>
                <w:rFonts w:ascii="Times New Roman" w:hAnsi="Times New Roman" w:cs="Times New Roman" w:eastAsia="仿宋_GB2312"/>
                <w:b/>
                <w:bCs/>
                <w:sz w:val="24"/>
                <w:szCs w:val="24"/>
              </w:rPr>
              <w:t>专栏</w:t>
            </w:r>
            <w:r>
              <w:rPr>
                <w:rFonts w:eastAsia="仿宋_GB2312" w:cs="Times New Roman" w:ascii="Times New Roman" w:hAnsi="Times New Roman"/>
                <w:b/>
                <w:bCs/>
                <w:sz w:val="24"/>
                <w:szCs w:val="24"/>
              </w:rPr>
              <w:t xml:space="preserve">2  </w:t>
            </w:r>
            <w:r>
              <w:rPr>
                <w:rFonts w:ascii="Times New Roman" w:hAnsi="Times New Roman" w:cs="Times New Roman" w:eastAsia="仿宋_GB2312"/>
                <w:b/>
                <w:bCs/>
                <w:sz w:val="24"/>
                <w:szCs w:val="24"/>
              </w:rPr>
              <w:t>农贸商业网点设施重点工程</w:t>
            </w:r>
          </w:p>
        </w:tc>
      </w:tr>
      <w:tr>
        <w:trPr/>
        <w:tc>
          <w:tcPr>
            <w:tcW w:w="8522" w:type="dxa"/>
            <w:tcBorders>
              <w:top w:val="single" w:sz="4" w:space="0" w:color="000000"/>
              <w:left w:val="single" w:sz="4" w:space="0" w:color="000000"/>
              <w:bottom w:val="single" w:sz="4" w:space="0" w:color="000000"/>
              <w:right w:val="single" w:sz="4" w:space="0" w:color="000000"/>
            </w:tcBorders>
            <w:shd w:color="auto" w:fill="auto" w:val="clear"/>
          </w:tcPr>
          <w:p>
            <w:pPr>
              <w:pStyle w:val="Style16"/>
              <w:widowControl w:val="false"/>
              <w:snapToGrid w:val="false"/>
              <w:rPr>
                <w:rFonts w:ascii="Times New Roman" w:hAnsi="Times New Roman" w:eastAsia="仿宋_GB2312" w:cs="Times New Roman"/>
                <w:sz w:val="24"/>
                <w:szCs w:val="24"/>
              </w:rPr>
            </w:pPr>
            <w:r>
              <w:rPr>
                <w:rFonts w:eastAsia="仿宋_GB2312" w:cs="Times New Roman" w:ascii="Times New Roman" w:hAnsi="Times New Roman"/>
                <w:b/>
                <w:bCs/>
                <w:sz w:val="24"/>
                <w:szCs w:val="24"/>
              </w:rPr>
              <w:t>1.</w:t>
            </w:r>
            <w:r>
              <w:rPr>
                <w:rFonts w:ascii="Times New Roman" w:hAnsi="Times New Roman" w:cs="Times New Roman" w:eastAsia="仿宋_GB2312"/>
                <w:b/>
                <w:bCs/>
                <w:sz w:val="24"/>
                <w:szCs w:val="24"/>
              </w:rPr>
              <w:t>龙山县城乡集贸市场项目：</w:t>
            </w:r>
            <w:r>
              <w:rPr>
                <w:rFonts w:ascii="Times New Roman" w:hAnsi="Times New Roman" w:cs="Times New Roman" w:eastAsia="仿宋_GB2312"/>
                <w:sz w:val="24"/>
                <w:szCs w:val="24"/>
              </w:rPr>
              <w:t>华塘街道</w:t>
            </w:r>
            <w:r>
              <w:rPr>
                <w:rFonts w:eastAsia="仿宋_GB2312" w:cs="Times New Roman" w:ascii="Times New Roman" w:hAnsi="Times New Roman"/>
                <w:sz w:val="24"/>
                <w:szCs w:val="24"/>
              </w:rPr>
              <w:t>209</w:t>
            </w:r>
            <w:r>
              <w:rPr>
                <w:rFonts w:ascii="Times New Roman" w:hAnsi="Times New Roman" w:cs="Times New Roman" w:eastAsia="仿宋_GB2312"/>
                <w:sz w:val="24"/>
                <w:szCs w:val="24"/>
              </w:rPr>
              <w:t>国道旁市场占地约</w:t>
            </w:r>
            <w:r>
              <w:rPr>
                <w:rFonts w:eastAsia="仿宋_GB2312" w:cs="Times New Roman" w:ascii="Times New Roman" w:hAnsi="Times New Roman"/>
                <w:sz w:val="24"/>
                <w:szCs w:val="24"/>
              </w:rPr>
              <w:t>60</w:t>
            </w:r>
            <w:r>
              <w:rPr>
                <w:rFonts w:ascii="Times New Roman" w:hAnsi="Times New Roman" w:cs="Times New Roman" w:eastAsia="仿宋_GB2312"/>
                <w:sz w:val="24"/>
                <w:szCs w:val="24"/>
              </w:rPr>
              <w:t>亩，建设综合农贸市场、商铺，检测中心，地下批发中心及给排水、电力等配套；华塘街道岳麓大道旁市场占地约</w:t>
            </w:r>
            <w:r>
              <w:rPr>
                <w:rFonts w:eastAsia="仿宋_GB2312" w:cs="Times New Roman" w:ascii="Times New Roman" w:hAnsi="Times New Roman"/>
                <w:sz w:val="24"/>
                <w:szCs w:val="24"/>
              </w:rPr>
              <w:t>60</w:t>
            </w:r>
            <w:r>
              <w:rPr>
                <w:rFonts w:ascii="Times New Roman" w:hAnsi="Times New Roman" w:cs="Times New Roman" w:eastAsia="仿宋_GB2312"/>
                <w:sz w:val="24"/>
                <w:szCs w:val="24"/>
              </w:rPr>
              <w:t>亩，建设综合农贸市场、商铺，检测中心，地下批发中心及给排水、电力等配套；民安街道民安市场占地约</w:t>
            </w:r>
            <w:r>
              <w:rPr>
                <w:rFonts w:eastAsia="仿宋_GB2312" w:cs="Times New Roman" w:ascii="Times New Roman" w:hAnsi="Times New Roman"/>
                <w:sz w:val="24"/>
                <w:szCs w:val="24"/>
              </w:rPr>
              <w:t>20</w:t>
            </w:r>
            <w:r>
              <w:rPr>
                <w:rFonts w:ascii="Times New Roman" w:hAnsi="Times New Roman" w:cs="Times New Roman" w:eastAsia="仿宋_GB2312"/>
                <w:sz w:val="24"/>
                <w:szCs w:val="24"/>
              </w:rPr>
              <w:t>亩，建设综合农贸市场、商铺，检测中心，地下停车位及相关配套等；召市、石羔市场占地约</w:t>
            </w:r>
            <w:r>
              <w:rPr>
                <w:rFonts w:eastAsia="仿宋_GB2312" w:cs="Times New Roman" w:ascii="Times New Roman" w:hAnsi="Times New Roman"/>
                <w:sz w:val="24"/>
                <w:szCs w:val="24"/>
              </w:rPr>
              <w:t>10</w:t>
            </w:r>
            <w:r>
              <w:rPr>
                <w:rFonts w:ascii="Times New Roman" w:hAnsi="Times New Roman" w:cs="Times New Roman" w:eastAsia="仿宋_GB2312"/>
                <w:sz w:val="24"/>
                <w:szCs w:val="24"/>
              </w:rPr>
              <w:t>亩，建设门面、摊位、鱼池、坐凳、停车位等。</w:t>
            </w:r>
          </w:p>
          <w:p>
            <w:pPr>
              <w:pStyle w:val="Style16"/>
              <w:widowControl w:val="false"/>
              <w:snapToGrid w:val="false"/>
              <w:rPr>
                <w:rFonts w:ascii="Times New Roman" w:hAnsi="Times New Roman" w:eastAsia="仿宋_GB2312" w:cs="Times New Roman"/>
                <w:sz w:val="24"/>
                <w:szCs w:val="24"/>
              </w:rPr>
            </w:pPr>
            <w:r>
              <w:rPr>
                <w:rFonts w:eastAsia="仿宋_GB2312" w:cs="Times New Roman" w:ascii="Times New Roman" w:hAnsi="Times New Roman"/>
                <w:b/>
                <w:bCs/>
                <w:sz w:val="24"/>
                <w:szCs w:val="24"/>
              </w:rPr>
              <w:t>2.</w:t>
            </w:r>
            <w:r>
              <w:rPr>
                <w:rFonts w:ascii="Times New Roman" w:hAnsi="Times New Roman" w:cs="Times New Roman" w:eastAsia="仿宋_GB2312"/>
                <w:b/>
                <w:bCs/>
                <w:sz w:val="24"/>
                <w:szCs w:val="24"/>
              </w:rPr>
              <w:t>龙山县城区老旧菜市场改造升级项目：</w:t>
            </w:r>
            <w:r>
              <w:rPr>
                <w:rFonts w:ascii="Times New Roman" w:hAnsi="Times New Roman" w:cs="Times New Roman" w:eastAsia="仿宋_GB2312"/>
                <w:sz w:val="24"/>
                <w:szCs w:val="24"/>
              </w:rPr>
              <w:t>计划对原城区范围内民安街道城南、城北、西门垅菜市场进行改造升级</w:t>
            </w:r>
            <w:r>
              <w:rPr>
                <w:rFonts w:eastAsia="仿宋_GB2312" w:cs="Times New Roman" w:ascii="Times New Roman" w:hAnsi="Times New Roman"/>
                <w:sz w:val="24"/>
                <w:szCs w:val="24"/>
              </w:rPr>
              <w:t>;</w:t>
            </w:r>
            <w:r>
              <w:rPr>
                <w:rFonts w:ascii="Times New Roman" w:hAnsi="Times New Roman" w:cs="Times New Roman" w:eastAsia="仿宋_GB2312"/>
                <w:sz w:val="24"/>
                <w:szCs w:val="24"/>
              </w:rPr>
              <w:t>新建城东菜市场</w:t>
            </w:r>
            <w:r>
              <w:rPr>
                <w:rFonts w:eastAsia="仿宋_GB2312" w:cs="Times New Roman" w:ascii="Times New Roman" w:hAnsi="Times New Roman"/>
                <w:sz w:val="24"/>
                <w:szCs w:val="24"/>
              </w:rPr>
              <w:t>3000</w:t>
            </w:r>
            <w:r>
              <w:rPr>
                <w:rFonts w:ascii="Times New Roman" w:hAnsi="Times New Roman" w:cs="Times New Roman" w:eastAsia="仿宋_GB2312"/>
                <w:sz w:val="24"/>
                <w:szCs w:val="24"/>
              </w:rPr>
              <w:t>平方米及配套设施建设。</w:t>
            </w:r>
          </w:p>
        </w:tc>
      </w:tr>
    </w:tbl>
    <w:p>
      <w:pPr>
        <w:pStyle w:val="Style16"/>
        <w:spacing w:lineRule="auto" w:line="360"/>
        <w:jc w:val="center"/>
        <w:rPr>
          <w:rFonts w:ascii="Times New Roman" w:hAnsi="Times New Roman" w:eastAsia="仿宋_GB2312" w:cs="Times New Roman"/>
          <w:b/>
          <w:b/>
          <w:szCs w:val="21"/>
        </w:rPr>
      </w:pPr>
      <w:r>
        <w:rPr>
          <w:rFonts w:eastAsia="仿宋_GB2312" w:cs="Times New Roman" w:ascii="Times New Roman" w:hAnsi="Times New Roman"/>
          <w:b/>
          <w:szCs w:val="21"/>
        </w:rPr>
      </w:r>
    </w:p>
    <w:p>
      <w:pPr>
        <w:pStyle w:val="Style16"/>
        <w:widowControl/>
        <w:jc w:val="left"/>
        <w:rPr>
          <w:rFonts w:ascii="Times New Roman" w:hAnsi="Times New Roman" w:eastAsia="仿宋_GB2312" w:cs="Times New Roman"/>
          <w:sz w:val="32"/>
          <w:szCs w:val="32"/>
        </w:rPr>
      </w:pPr>
      <w:r>
        <w:rPr>
          <w:rFonts w:eastAsia="仿宋_GB2312" w:cs="Times New Roman" w:ascii="Times New Roman" w:hAnsi="Times New Roman"/>
          <w:sz w:val="32"/>
          <w:szCs w:val="32"/>
        </w:rPr>
      </w:r>
      <w:r>
        <w:br w:type="page"/>
      </w:r>
    </w:p>
    <w:p>
      <w:pPr>
        <w:pStyle w:val="3"/>
        <w:ind/>
        <w:rPr>
          <w:rFonts w:ascii="Times New Roman" w:hAnsi="Times New Roman" w:eastAsia="仿宋_GB2312" w:cs="Times New Roman"/>
          <w:b/>
          <w:b/>
          <w:bCs/>
          <w:lang w:val="zh-CN"/>
        </w:rPr>
      </w:pPr>
      <w:bookmarkStart w:id="59" w:name="_Toc82074859"/>
      <w:bookmarkStart w:id="60" w:name="_Toc46750246"/>
      <w:r>
        <w:rPr/>
        <w:t>三、完善便民社区服务网络</w:t>
      </w:r>
      <w:bookmarkEnd w:id="59"/>
      <w:bookmarkEnd w:id="60"/>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以社区服务社会化、市场化、产业化为目的，建立服务门类齐全、服务质量和效益较高的社区服务网络。全面推进社区商业“双进工程”（便利服务进社区、便民服务进家庭），促进社区便民利民服务业发展。鼓励有条件的商业服务企业在社区服务站设点，开展“四上门”（送货上门、送餐上门、修理上门、回收废旧物品上门）服务，发展网上购物、网上服务，促进社区商业服务网络化、规范化、产业化。新建居住区要按住宅面积的一定比例，设置以经营生活日用品为主的各类便民商业服务点。通过直营、特许或连锁等方式，大力推进社区便民、便利连锁网络建设，不断完善居民区的便民商业服务设施，增强商业网点服务功能，方便居民日常生活，基本满足社区居民生活需求。大力实施“社区蔬菜流通网络建设”工程，支持建设销地蔬菜等农产品生鲜配送中心，标准化菜市场以及蔬菜便民店，进一步完善社区蔬菜流通网络。加快发展社区医药、保健、洗染维修、代理服务、家政服务等新兴服务网点，努力培育和发展连锁化、品牌化、规范化的社区服务企业。加强早餐示范工程建设，完善食品安全监测系统、信息化管理系统、物流配送系统，逐步推广午餐配送，形成便民利民的城市大众化综合餐饮服务体系。建设功能强大的家政服务体系，促进社区家政服务业发展，以“信息发布、供需对接、咨询互动”三大功能为主要服务内容，引导建设龙山家政服务网络中心，提高其综合服务水平。鼓励发展家庭保洁、烹饪、保姆、老年人护理等多种类型的社区家政服务，重点扶持规模较大的家政服务企业进入社区，依托各社区服务中心，建立覆盖各社区的家政服务信息网络系统。加强培训，提升家政服务人员的整体素质和业务技能。到</w:t>
      </w:r>
      <w:r>
        <w:rPr>
          <w:rFonts w:eastAsia="仿宋_GB2312" w:cs="Times New Roman" w:ascii="Times New Roman" w:hAnsi="Times New Roman"/>
          <w:sz w:val="32"/>
          <w:szCs w:val="32"/>
        </w:rPr>
        <w:t>2025</w:t>
      </w:r>
      <w:r>
        <w:rPr>
          <w:rFonts w:ascii="Times New Roman" w:hAnsi="Times New Roman" w:cs="Times New Roman" w:eastAsia="仿宋_GB2312"/>
          <w:sz w:val="32"/>
          <w:szCs w:val="32"/>
        </w:rPr>
        <w:t>年，实现县乡家政服务标准化、便捷化、一体化，实现家政服务网络社区全覆盖。</w:t>
      </w:r>
    </w:p>
    <w:p>
      <w:pPr>
        <w:pStyle w:val="2"/>
        <w:rPr>
          <w:rFonts w:ascii="Times New Roman" w:hAnsi="Times New Roman" w:eastAsia="仿宋_GB2312" w:cs="Times New Roman"/>
          <w:b/>
          <w:b/>
          <w:bCs/>
          <w:lang w:val="zh-CN"/>
        </w:rPr>
      </w:pPr>
      <w:bookmarkStart w:id="61" w:name="_Toc82074860"/>
      <w:r>
        <w:rPr/>
        <w:t>第三节  加快发展商贸流通，促进内贸经济发展</w:t>
      </w:r>
      <w:bookmarkEnd w:id="61"/>
    </w:p>
    <w:p>
      <w:pPr>
        <w:pStyle w:val="3"/>
        <w:ind/>
        <w:rPr>
          <w:rFonts w:ascii="Times New Roman" w:hAnsi="Times New Roman" w:eastAsia="仿宋_GB2312" w:cs="Times New Roman"/>
          <w:b/>
          <w:b/>
          <w:bCs/>
          <w:lang w:val="zh-CN"/>
        </w:rPr>
      </w:pPr>
      <w:bookmarkStart w:id="62" w:name="_Toc46750244"/>
      <w:bookmarkStart w:id="63" w:name="_Toc82074861"/>
      <w:r>
        <w:rPr/>
        <w:t>一、合理规划商贸物流发展布局</w:t>
      </w:r>
      <w:bookmarkEnd w:id="63"/>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按照规划先行原则，利用“十四五”规划的机会高起点、高站位做好商贸物流专项规划，放大县城作为全县政治、经济、信息、医疗、文化教育等中心优势，着力打造</w:t>
      </w:r>
      <w:r>
        <w:rPr>
          <w:rFonts w:eastAsia="仿宋_GB2312" w:cs="Times New Roman" w:ascii="Times New Roman" w:hAnsi="Times New Roman"/>
          <w:sz w:val="32"/>
          <w:szCs w:val="32"/>
        </w:rPr>
        <w:t>10</w:t>
      </w:r>
      <w:r>
        <w:rPr>
          <w:rFonts w:ascii="Times New Roman" w:hAnsi="Times New Roman" w:cs="Times New Roman" w:eastAsia="仿宋_GB2312"/>
          <w:sz w:val="32"/>
          <w:szCs w:val="32"/>
        </w:rPr>
        <w:t>平方公里范围的核心商圈、中央商务区。在该区域内，积极运用现代营销方式，重点发展现代商贸物流，建设大型购物中心、物流配送网络、星级宾馆、高档品牌专卖店、特色街、集贸市场、社区超市和连锁超市实现全覆盖。努力形成特色鲜明，布局合理，层次分明，功能配套，名店云集，名品荟萃的高档次商业聚集区。吸引零售业巨头、大型商务集团、高科技企业总部入驻县内，提高电子科技信息聚集度，提升城市综合竞争力。同时，大力扶持以现代服务为特征的金融保险、信息商务等现代服务业，着力发展以法律公证、资产评估、信用担保为主要形式的中介服务业，构建现代服务业核心区。</w:t>
      </w:r>
    </w:p>
    <w:p>
      <w:pPr>
        <w:pStyle w:val="3"/>
        <w:ind/>
        <w:rPr>
          <w:rFonts w:ascii="Times New Roman" w:hAnsi="Times New Roman" w:eastAsia="仿宋_GB2312" w:cs="Times New Roman"/>
          <w:b/>
          <w:b/>
          <w:bCs/>
          <w:lang w:val="zh-CN"/>
        </w:rPr>
      </w:pPr>
      <w:bookmarkStart w:id="64" w:name="_Toc82074862"/>
      <w:r>
        <w:rPr/>
        <w:t>二、积极培育壮大商贸企业</w:t>
      </w:r>
      <w:bookmarkEnd w:id="64"/>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鼓励成立商贸产业联盟，支持各批发市场、零售市场建立全县商贸企业行业协会，按照统筹规划、政策引导、信息互通、利益联动、龙头带动的原则，在自主经营、独立核算的基础上，按行业分产业统一品牌、统一商标、统一包装、统一价格、统一营销、统一融资，组建产业联盟。优先发展全县农产品流通企业行业协会，促进成员单位资源共享、业务互动、票据互认、客服互查，积极抱团发展、培育品牌、开拓市场。按照政府引导、企业主体、市场运作的原则，支持县内商贸企业通过参股、兼并、合作等方式做大做强，组建一批大型商贸企业，培育龙山县骨干商贸市场主体，力争到</w:t>
      </w:r>
      <w:r>
        <w:rPr>
          <w:rFonts w:eastAsia="仿宋_GB2312" w:cs="Times New Roman" w:ascii="Times New Roman" w:hAnsi="Times New Roman"/>
          <w:sz w:val="32"/>
          <w:szCs w:val="32"/>
        </w:rPr>
        <w:t>2025</w:t>
      </w:r>
      <w:r>
        <w:rPr>
          <w:rFonts w:ascii="Times New Roman" w:hAnsi="Times New Roman" w:cs="Times New Roman" w:eastAsia="仿宋_GB2312"/>
          <w:sz w:val="32"/>
          <w:szCs w:val="32"/>
        </w:rPr>
        <w:t>年引进和培育商贸龙头骨干企业突破</w:t>
      </w:r>
      <w:r>
        <w:rPr>
          <w:rFonts w:eastAsia="仿宋_GB2312" w:cs="Times New Roman" w:ascii="Times New Roman" w:hAnsi="Times New Roman"/>
          <w:sz w:val="32"/>
          <w:szCs w:val="32"/>
        </w:rPr>
        <w:t>10</w:t>
      </w:r>
      <w:r>
        <w:rPr>
          <w:rFonts w:ascii="Times New Roman" w:hAnsi="Times New Roman" w:cs="Times New Roman" w:eastAsia="仿宋_GB2312"/>
          <w:sz w:val="32"/>
          <w:szCs w:val="32"/>
        </w:rPr>
        <w:t>家，商贸供应链产值突破</w:t>
      </w:r>
      <w:r>
        <w:rPr>
          <w:rFonts w:eastAsia="仿宋_GB2312" w:cs="Times New Roman" w:ascii="Times New Roman" w:hAnsi="Times New Roman"/>
          <w:sz w:val="32"/>
          <w:szCs w:val="32"/>
        </w:rPr>
        <w:t>100</w:t>
      </w:r>
      <w:r>
        <w:rPr>
          <w:rFonts w:ascii="Times New Roman" w:hAnsi="Times New Roman" w:cs="Times New Roman" w:eastAsia="仿宋_GB2312"/>
          <w:sz w:val="32"/>
          <w:szCs w:val="32"/>
        </w:rPr>
        <w:t>亿元。探索建立跨区域商贸流通合作发展机制，推动规划对接、政策联动、资源共享、业务合作。</w:t>
      </w:r>
    </w:p>
    <w:p>
      <w:pPr>
        <w:pStyle w:val="3"/>
        <w:ind/>
        <w:rPr>
          <w:rFonts w:ascii="Times New Roman" w:hAnsi="Times New Roman" w:eastAsia="仿宋_GB2312" w:cs="Times New Roman"/>
          <w:b/>
          <w:b/>
          <w:bCs/>
          <w:lang w:val="zh-CN"/>
        </w:rPr>
      </w:pPr>
      <w:bookmarkStart w:id="65" w:name="_Toc46750244"/>
      <w:bookmarkStart w:id="66" w:name="_Toc82074863"/>
      <w:r>
        <w:rPr/>
        <w:t>三、打造城乡商贸流通载体</w:t>
      </w:r>
      <w:bookmarkEnd w:id="65"/>
      <w:bookmarkEnd w:id="66"/>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认真贯彻落实《湖南省实施商贸流通“千百工程”工作方案》有关要求，切实深化龙山县商贸流通领域供给侧结构性改革，培育壮大全县商贸流通主体，打造城乡商贸流通载体网络。完善县、镇（乡）、村三级商贸网点建设规划，推进城乡商贸一体化发展。建设以龙山县城为商贸核心区，</w:t>
      </w:r>
      <w:r>
        <w:rPr>
          <w:rFonts w:eastAsia="仿宋_GB2312" w:cs="Times New Roman" w:ascii="Times New Roman" w:hAnsi="Times New Roman"/>
          <w:sz w:val="32"/>
          <w:szCs w:val="32"/>
        </w:rPr>
        <w:t>17</w:t>
      </w:r>
      <w:r>
        <w:rPr>
          <w:rFonts w:ascii="Times New Roman" w:hAnsi="Times New Roman" w:cs="Times New Roman" w:eastAsia="仿宋_GB2312"/>
          <w:sz w:val="32"/>
          <w:szCs w:val="32"/>
        </w:rPr>
        <w:t>个乡（镇）为商业中心，</w:t>
      </w:r>
      <w:r>
        <w:rPr>
          <w:rFonts w:eastAsia="仿宋_GB2312" w:cs="Times New Roman" w:ascii="Times New Roman" w:hAnsi="Times New Roman"/>
          <w:sz w:val="32"/>
          <w:szCs w:val="32"/>
        </w:rPr>
        <w:t>397</w:t>
      </w:r>
      <w:r>
        <w:rPr>
          <w:rFonts w:ascii="Times New Roman" w:hAnsi="Times New Roman" w:cs="Times New Roman" w:eastAsia="仿宋_GB2312"/>
          <w:sz w:val="32"/>
          <w:szCs w:val="32"/>
        </w:rPr>
        <w:t>个村（社区）为农贸商业网点的城乡商贸流通网络。建设覆盖城乡社区的连锁店、专卖店和便利店网络。围绕商贸龙头企业，大力实施县城和乡镇商贸载体建设工程，发展中心商业区、大型综合超市或连锁超市、大型农产品综合批零市场、餐饮娱乐夜市街、物流配送中心、专业市场、定点屠宰场等，打造快捷、高效的商贸流通载体。按照《龙山县农贸商业网点布局规划（</w:t>
      </w:r>
      <w:r>
        <w:rPr>
          <w:rFonts w:eastAsia="仿宋_GB2312" w:cs="Times New Roman" w:ascii="Times New Roman" w:hAnsi="Times New Roman"/>
          <w:sz w:val="32"/>
          <w:szCs w:val="32"/>
        </w:rPr>
        <w:t>2019-2035</w:t>
      </w:r>
      <w:r>
        <w:rPr>
          <w:rFonts w:ascii="Times New Roman" w:hAnsi="Times New Roman" w:cs="Times New Roman" w:eastAsia="仿宋_GB2312"/>
          <w:sz w:val="32"/>
          <w:szCs w:val="32"/>
        </w:rPr>
        <w:t>）》和城乡居民实际生活需要，到</w:t>
      </w:r>
      <w:r>
        <w:rPr>
          <w:rFonts w:eastAsia="仿宋_GB2312" w:cs="Times New Roman" w:ascii="Times New Roman" w:hAnsi="Times New Roman"/>
          <w:sz w:val="32"/>
          <w:szCs w:val="32"/>
        </w:rPr>
        <w:t>2025</w:t>
      </w:r>
      <w:r>
        <w:rPr>
          <w:rFonts w:ascii="Times New Roman" w:hAnsi="Times New Roman" w:cs="Times New Roman" w:eastAsia="仿宋_GB2312"/>
          <w:sz w:val="32"/>
          <w:szCs w:val="32"/>
        </w:rPr>
        <w:t>年，全县建成</w:t>
      </w:r>
      <w:r>
        <w:rPr>
          <w:rFonts w:eastAsia="仿宋_GB2312" w:cs="Times New Roman" w:ascii="Times New Roman" w:hAnsi="Times New Roman"/>
          <w:sz w:val="32"/>
          <w:szCs w:val="32"/>
        </w:rPr>
        <w:t>11</w:t>
      </w:r>
      <w:r>
        <w:rPr>
          <w:rFonts w:ascii="Times New Roman" w:hAnsi="Times New Roman" w:cs="Times New Roman" w:eastAsia="仿宋_GB2312"/>
          <w:sz w:val="32"/>
          <w:szCs w:val="32"/>
        </w:rPr>
        <w:t>个大型综合超市或连锁超市、</w:t>
      </w:r>
      <w:r>
        <w:rPr>
          <w:rFonts w:eastAsia="仿宋_GB2312" w:cs="Times New Roman" w:ascii="Times New Roman" w:hAnsi="Times New Roman"/>
          <w:sz w:val="32"/>
          <w:szCs w:val="32"/>
        </w:rPr>
        <w:t>3</w:t>
      </w:r>
      <w:r>
        <w:rPr>
          <w:rFonts w:ascii="Times New Roman" w:hAnsi="Times New Roman" w:cs="Times New Roman" w:eastAsia="仿宋_GB2312"/>
          <w:sz w:val="32"/>
          <w:szCs w:val="32"/>
        </w:rPr>
        <w:t>个大型农产品综合批零市场，</w:t>
      </w:r>
      <w:r>
        <w:rPr>
          <w:rFonts w:eastAsia="仿宋_GB2312" w:cs="Times New Roman" w:ascii="Times New Roman" w:hAnsi="Times New Roman"/>
          <w:sz w:val="32"/>
          <w:szCs w:val="32"/>
        </w:rPr>
        <w:t>3</w:t>
      </w:r>
      <w:r>
        <w:rPr>
          <w:rFonts w:ascii="Times New Roman" w:hAnsi="Times New Roman" w:cs="Times New Roman" w:eastAsia="仿宋_GB2312"/>
          <w:sz w:val="32"/>
          <w:szCs w:val="32"/>
        </w:rPr>
        <w:t>个夜市街区，各乡镇共建设</w:t>
      </w:r>
      <w:r>
        <w:rPr>
          <w:rFonts w:eastAsia="仿宋_GB2312" w:cs="Times New Roman" w:ascii="Times New Roman" w:hAnsi="Times New Roman"/>
          <w:sz w:val="32"/>
          <w:szCs w:val="32"/>
        </w:rPr>
        <w:t>30</w:t>
      </w:r>
      <w:r>
        <w:rPr>
          <w:rFonts w:ascii="Times New Roman" w:hAnsi="Times New Roman" w:cs="Times New Roman" w:eastAsia="仿宋_GB2312"/>
          <w:sz w:val="32"/>
          <w:szCs w:val="32"/>
        </w:rPr>
        <w:t>个综合超市或品牌连锁店，重点农村社区建设</w:t>
      </w:r>
      <w:r>
        <w:rPr>
          <w:rFonts w:eastAsia="仿宋_GB2312" w:cs="Times New Roman" w:ascii="Times New Roman" w:hAnsi="Times New Roman"/>
          <w:sz w:val="32"/>
          <w:szCs w:val="32"/>
        </w:rPr>
        <w:t>426</w:t>
      </w:r>
      <w:r>
        <w:rPr>
          <w:rFonts w:ascii="Times New Roman" w:hAnsi="Times New Roman" w:cs="Times New Roman" w:eastAsia="仿宋_GB2312"/>
          <w:sz w:val="32"/>
          <w:szCs w:val="32"/>
        </w:rPr>
        <w:t>个以上标准化农家店或是便民店。规范成品油销售及标准化建设，期间全县新建加油站</w:t>
      </w:r>
      <w:r>
        <w:rPr>
          <w:rFonts w:eastAsia="仿宋_GB2312" w:cs="Times New Roman" w:ascii="Times New Roman" w:hAnsi="Times New Roman"/>
          <w:sz w:val="32"/>
          <w:szCs w:val="32"/>
        </w:rPr>
        <w:t>20</w:t>
      </w:r>
      <w:r>
        <w:rPr>
          <w:rFonts w:ascii="Times New Roman" w:hAnsi="Times New Roman" w:cs="Times New Roman" w:eastAsia="仿宋_GB2312"/>
          <w:sz w:val="32"/>
          <w:szCs w:val="32"/>
        </w:rPr>
        <w:t>座（含</w:t>
      </w:r>
      <w:r>
        <w:rPr>
          <w:rFonts w:eastAsia="仿宋_GB2312" w:cs="Times New Roman" w:ascii="Times New Roman" w:hAnsi="Times New Roman"/>
          <w:sz w:val="32"/>
          <w:szCs w:val="32"/>
        </w:rPr>
        <w:t>2</w:t>
      </w:r>
      <w:r>
        <w:rPr>
          <w:rFonts w:ascii="Times New Roman" w:hAnsi="Times New Roman" w:cs="Times New Roman" w:eastAsia="仿宋_GB2312"/>
          <w:sz w:val="32"/>
          <w:szCs w:val="32"/>
        </w:rPr>
        <w:t>座迁建加油站），使成品油分销网络覆盖全县（图</w:t>
      </w:r>
      <w:r>
        <w:rPr>
          <w:rFonts w:eastAsia="仿宋_GB2312" w:cs="Times New Roman" w:ascii="Times New Roman" w:hAnsi="Times New Roman"/>
          <w:sz w:val="32"/>
          <w:szCs w:val="32"/>
        </w:rPr>
        <w:t>3</w:t>
      </w:r>
      <w:r>
        <w:rPr>
          <w:rFonts w:ascii="Times New Roman" w:hAnsi="Times New Roman" w:cs="Times New Roman" w:eastAsia="仿宋_GB2312"/>
          <w:sz w:val="32"/>
          <w:szCs w:val="32"/>
        </w:rPr>
        <w:t>）。</w:t>
      </w:r>
    </w:p>
    <w:p>
      <w:pPr>
        <w:pStyle w:val="Style16"/>
        <w:spacing w:lineRule="auto" w:line="360"/>
        <w:rPr>
          <w:rFonts w:ascii="Times New Roman" w:hAnsi="Times New Roman" w:eastAsia="仿宋_GB2312" w:cs="Times New Roman"/>
          <w:sz w:val="24"/>
          <w:szCs w:val="24"/>
        </w:rPr>
      </w:pPr>
      <w:r>
        <w:rPr/>
        <w:drawing>
          <wp:inline distT="0" distB="0" distL="0" distR="0">
            <wp:extent cx="5429250" cy="7673340"/>
            <wp:effectExtent l="0" t="0" r="0" b="0"/>
            <wp:docPr id="3" name="图片 4" descr="地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地图&#10;&#10;描述已自动生成"/>
                    <pic:cNvPicPr>
                      <a:picLocks noChangeAspect="1" noChangeArrowheads="1"/>
                    </pic:cNvPicPr>
                  </pic:nvPicPr>
                  <pic:blipFill>
                    <a:blip r:embed="rId5"/>
                    <a:stretch>
                      <a:fillRect/>
                    </a:stretch>
                  </pic:blipFill>
                  <pic:spPr bwMode="auto">
                    <a:xfrm>
                      <a:off x="0" y="0"/>
                      <a:ext cx="5429250" cy="7673340"/>
                    </a:xfrm>
                    <a:prstGeom prst="rect">
                      <a:avLst/>
                    </a:prstGeom>
                  </pic:spPr>
                </pic:pic>
              </a:graphicData>
            </a:graphic>
          </wp:inline>
        </w:drawing>
      </w:r>
    </w:p>
    <w:p>
      <w:pPr>
        <w:pStyle w:val="Style16"/>
        <w:spacing w:lineRule="auto" w:line="360"/>
        <w:jc w:val="center"/>
        <w:rPr>
          <w:rFonts w:ascii="Times New Roman" w:hAnsi="Times New Roman" w:eastAsia="仿宋_GB2312" w:cs="Times New Roman"/>
          <w:b/>
          <w:b/>
          <w:sz w:val="24"/>
          <w:szCs w:val="24"/>
        </w:rPr>
      </w:pPr>
      <w:r>
        <w:rPr>
          <w:rFonts w:ascii="Times New Roman" w:hAnsi="Times New Roman" w:cs="Times New Roman" w:eastAsia="仿宋_GB2312"/>
          <w:b/>
          <w:sz w:val="24"/>
          <w:szCs w:val="24"/>
        </w:rPr>
        <w:t>图</w:t>
      </w:r>
      <w:r>
        <w:rPr>
          <w:rFonts w:eastAsia="仿宋_GB2312" w:cs="Times New Roman" w:ascii="Times New Roman" w:hAnsi="Times New Roman"/>
          <w:b/>
          <w:sz w:val="24"/>
          <w:szCs w:val="24"/>
        </w:rPr>
        <w:t xml:space="preserve">3  </w:t>
      </w:r>
      <w:r>
        <w:rPr>
          <w:rFonts w:ascii="Times New Roman" w:hAnsi="Times New Roman" w:cs="Times New Roman" w:eastAsia="仿宋_GB2312"/>
          <w:b/>
          <w:sz w:val="24"/>
          <w:szCs w:val="24"/>
        </w:rPr>
        <w:t>龙山县县域规划建设加油站示意图</w:t>
      </w:r>
    </w:p>
    <w:p>
      <w:pPr>
        <w:pStyle w:val="Style16"/>
        <w:spacing w:lineRule="auto" w:line="360"/>
        <w:ind w:firstLineChars="200" w:firstLine="0"/>
        <w:rPr>
          <w:rFonts w:ascii="Times New Roman" w:hAnsi="Times New Roman" w:eastAsia="仿宋_GB2312" w:cs="Times New Roman"/>
          <w:sz w:val="32"/>
          <w:szCs w:val="32"/>
        </w:rPr>
      </w:pPr>
      <w:r>
        <w:rPr>
          <w:rFonts w:eastAsia="仿宋_GB2312" w:cs="Times New Roman" w:ascii="Times New Roman" w:hAnsi="Times New Roman"/>
          <w:sz w:val="32"/>
          <w:szCs w:val="32"/>
        </w:rPr>
      </w:r>
    </w:p>
    <w:p>
      <w:pPr>
        <w:pStyle w:val="Style16"/>
        <w:spacing w:lineRule="auto" w:line="360"/>
        <w:ind w:firstLineChars="200" w:firstLine="0"/>
        <w:rPr>
          <w:rFonts w:ascii="Times New Roman" w:hAnsi="Times New Roman" w:eastAsia="仿宋_GB2312" w:cs="Times New Roman"/>
          <w:sz w:val="32"/>
          <w:szCs w:val="32"/>
        </w:rPr>
      </w:pPr>
      <w:r>
        <w:rPr>
          <w:rFonts w:eastAsia="仿宋_GB2312" w:cs="Times New Roman" w:ascii="Times New Roman" w:hAnsi="Times New Roman"/>
          <w:sz w:val="32"/>
          <w:szCs w:val="32"/>
        </w:rPr>
      </w:r>
    </w:p>
    <w:p>
      <w:pPr>
        <w:pStyle w:val="3"/>
        <w:ind/>
        <w:rPr>
          <w:rFonts w:ascii="Times New Roman" w:hAnsi="Times New Roman" w:eastAsia="仿宋_GB2312" w:cs="Times New Roman"/>
          <w:b/>
          <w:b/>
          <w:bCs/>
          <w:lang w:val="zh-CN"/>
        </w:rPr>
      </w:pPr>
      <w:bookmarkStart w:id="67" w:name="_Toc82074864"/>
      <w:r>
        <w:rPr/>
        <w:t>四、加快物流园区建设</w:t>
      </w:r>
      <w:bookmarkEnd w:id="67"/>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一是按照功能完善、定位科学的要求，利用黔张常铁路、龙永高速公路的区位交通优势，加快规划建设城东物流园、高铁新区物流园，坚持内外结合，将培植壮大本地物流企业与招商引资结合起来，努力构建内资、外资等多种经济成分共同发展的格局。二是利用和整合现有商贸物流资源，鼓励引导骨干企业，改变经营管理理念，将一部分物流活动从生产和营销过程中分离出来，交给特定的第三方物流企业来进行，从而提高流通效率，促进第三方物流企业的发展。三是大力实施“引进来、走出去”的发展战略，着力招商引资、对接资本，坚持引资与引智并重、扩大外资与激活内资并举，引进一批为制造业、专业市场和城乡经济服务的仓储、冷链、物流、转运、配送型的第三方物流知名企业入驻园区，促进各种物流资源和物流要素向园区集聚，提高物资配送能力和辐射能力，提升现代商贸物流服务水平。</w:t>
      </w:r>
    </w:p>
    <w:p>
      <w:pPr>
        <w:pStyle w:val="3"/>
        <w:ind/>
        <w:rPr>
          <w:rFonts w:ascii="Times New Roman" w:hAnsi="Times New Roman" w:eastAsia="仿宋_GB2312" w:cs="Times New Roman"/>
          <w:b/>
          <w:b/>
          <w:bCs/>
          <w:lang w:val="zh-CN"/>
        </w:rPr>
      </w:pPr>
      <w:bookmarkStart w:id="68" w:name="_Toc82074865"/>
      <w:r>
        <w:rPr/>
        <w:t>五、不断健全县乡村三级物流配送体系</w:t>
      </w:r>
      <w:bookmarkEnd w:id="68"/>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一是加快交通网络建设，加快桑龙高速建设，规划建设龙山火车货运北站、湘渝复线高速公路，力争</w:t>
      </w:r>
      <w:r>
        <w:rPr>
          <w:rFonts w:eastAsia="仿宋_GB2312" w:cs="Times New Roman" w:ascii="Times New Roman" w:hAnsi="Times New Roman"/>
          <w:sz w:val="32"/>
          <w:szCs w:val="32"/>
        </w:rPr>
        <w:t>2025</w:t>
      </w:r>
      <w:r>
        <w:rPr>
          <w:rFonts w:ascii="Times New Roman" w:hAnsi="Times New Roman" w:cs="Times New Roman" w:eastAsia="仿宋_GB2312"/>
          <w:sz w:val="32"/>
          <w:szCs w:val="32"/>
        </w:rPr>
        <w:t>年开工建设，逐步完善县、乡、村三级网络公路建设，构建通畅的交通运输体系。二是规划建设</w:t>
      </w:r>
      <w:r>
        <w:rPr>
          <w:rFonts w:eastAsia="仿宋_GB2312" w:cs="Times New Roman" w:ascii="Times New Roman" w:hAnsi="Times New Roman"/>
          <w:sz w:val="32"/>
          <w:szCs w:val="32"/>
        </w:rPr>
        <w:t>1</w:t>
      </w:r>
      <w:r>
        <w:rPr>
          <w:rFonts w:ascii="Times New Roman" w:hAnsi="Times New Roman" w:cs="Times New Roman" w:eastAsia="仿宋_GB2312"/>
          <w:sz w:val="32"/>
          <w:szCs w:val="32"/>
        </w:rPr>
        <w:t>个设备先进、功能齐全的县级物流分拣中心，实行集中分拣，分城乡统一配送，降低物流成本。三是完善全县</w:t>
      </w:r>
      <w:r>
        <w:rPr>
          <w:rFonts w:eastAsia="仿宋_GB2312" w:cs="Times New Roman" w:ascii="Times New Roman" w:hAnsi="Times New Roman"/>
          <w:sz w:val="32"/>
          <w:szCs w:val="32"/>
        </w:rPr>
        <w:t>18</w:t>
      </w:r>
      <w:r>
        <w:rPr>
          <w:rFonts w:ascii="Times New Roman" w:hAnsi="Times New Roman" w:cs="Times New Roman" w:eastAsia="仿宋_GB2312"/>
          <w:sz w:val="32"/>
          <w:szCs w:val="32"/>
        </w:rPr>
        <w:t>个乡镇及</w:t>
      </w:r>
      <w:r>
        <w:rPr>
          <w:rFonts w:eastAsia="仿宋_GB2312" w:cs="Times New Roman" w:ascii="Times New Roman" w:hAnsi="Times New Roman"/>
          <w:sz w:val="32"/>
          <w:szCs w:val="32"/>
        </w:rPr>
        <w:t>397</w:t>
      </w:r>
      <w:r>
        <w:rPr>
          <w:rFonts w:ascii="Times New Roman" w:hAnsi="Times New Roman" w:cs="Times New Roman" w:eastAsia="仿宋_GB2312"/>
          <w:sz w:val="32"/>
          <w:szCs w:val="32"/>
        </w:rPr>
        <w:t>个便民服务网点基础设施配套建设，加快建设城区社区智慧快递驿站项目，城区布点</w:t>
      </w:r>
      <w:r>
        <w:rPr>
          <w:rFonts w:eastAsia="仿宋_GB2312" w:cs="Times New Roman" w:ascii="Times New Roman" w:hAnsi="Times New Roman"/>
          <w:sz w:val="32"/>
          <w:szCs w:val="32"/>
        </w:rPr>
        <w:t>50</w:t>
      </w:r>
      <w:r>
        <w:rPr>
          <w:rFonts w:ascii="Times New Roman" w:hAnsi="Times New Roman" w:cs="Times New Roman" w:eastAsia="仿宋_GB2312"/>
          <w:sz w:val="32"/>
          <w:szCs w:val="32"/>
        </w:rPr>
        <w:t>个，提供派件自提、寄件服务。四是整合邮政、供销和四通一达等快递公司资源，构建覆盖县乡村的快递物流服务体系，解决好农村配送“最后</w:t>
      </w:r>
      <w:r>
        <w:rPr>
          <w:rFonts w:eastAsia="仿宋_GB2312" w:cs="Times New Roman" w:ascii="Times New Roman" w:hAnsi="Times New Roman"/>
          <w:sz w:val="32"/>
          <w:szCs w:val="32"/>
        </w:rPr>
        <w:t>1</w:t>
      </w:r>
      <w:r>
        <w:rPr>
          <w:rFonts w:ascii="Times New Roman" w:hAnsi="Times New Roman" w:cs="Times New Roman" w:eastAsia="仿宋_GB2312"/>
          <w:sz w:val="32"/>
          <w:szCs w:val="32"/>
        </w:rPr>
        <w:t>公里”问题。五是大力发展冷链物流，重点发展农产品冷链物流，鼓励商贸物流企业在肉类、水产品、果蔬、速冻食品等主产区和销地市场，建设储存、加工、运输、配送及冷链车等冷链物流设施。完善流程管理和标准对接，提高冷链流通率和行业监管水平，减少污染，降低损耗，形成设施先进、上下游衔接、功能完善、管理规范、标准健全的冷链物流配送服务体系，确保产品质量和居民消费安全，助力实施乡村振兴战略。</w:t>
      </w:r>
    </w:p>
    <w:tbl>
      <w:tblPr>
        <w:tblW w:w="842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20"/>
      </w:tblGrid>
      <w:tr>
        <w:trPr>
          <w:trHeight w:val="244" w:hRule="atLeast"/>
        </w:trPr>
        <w:tc>
          <w:tcPr>
            <w:tcW w:w="8420" w:type="dxa"/>
            <w:tcBorders>
              <w:top w:val="single" w:sz="4" w:space="0" w:color="000000"/>
              <w:left w:val="single" w:sz="4" w:space="0" w:color="000000"/>
              <w:bottom w:val="single" w:sz="4" w:space="0" w:color="000000"/>
              <w:right w:val="single" w:sz="4" w:space="0" w:color="000000"/>
            </w:tcBorders>
            <w:shd w:color="auto" w:fill="auto" w:val="clear"/>
          </w:tcPr>
          <w:p>
            <w:pPr>
              <w:pStyle w:val="Style16"/>
              <w:widowControl w:val="false"/>
              <w:spacing w:lineRule="auto" w:line="360"/>
              <w:jc w:val="center"/>
              <w:rPr>
                <w:rFonts w:ascii="Times New Roman" w:hAnsi="Times New Roman" w:eastAsia="仿宋_GB2312" w:cs="Times New Roman"/>
                <w:sz w:val="24"/>
                <w:szCs w:val="24"/>
              </w:rPr>
            </w:pPr>
            <w:r>
              <w:rPr>
                <w:rFonts w:ascii="Times New Roman" w:hAnsi="Times New Roman" w:cs="Times New Roman" w:eastAsia="仿宋_GB2312"/>
                <w:b/>
                <w:bCs/>
                <w:sz w:val="24"/>
                <w:szCs w:val="24"/>
              </w:rPr>
              <w:t>专栏</w:t>
            </w:r>
            <w:r>
              <w:rPr>
                <w:rFonts w:eastAsia="仿宋_GB2312" w:cs="Times New Roman" w:ascii="Times New Roman" w:hAnsi="Times New Roman"/>
                <w:b/>
                <w:bCs/>
                <w:sz w:val="24"/>
                <w:szCs w:val="24"/>
              </w:rPr>
              <w:t xml:space="preserve">3  </w:t>
            </w:r>
            <w:r>
              <w:rPr>
                <w:rFonts w:ascii="Times New Roman" w:hAnsi="Times New Roman" w:cs="Times New Roman" w:eastAsia="仿宋_GB2312"/>
                <w:b/>
                <w:bCs/>
                <w:sz w:val="24"/>
                <w:szCs w:val="24"/>
              </w:rPr>
              <w:t>物流设施重点工程</w:t>
            </w:r>
          </w:p>
        </w:tc>
      </w:tr>
      <w:tr>
        <w:trPr/>
        <w:tc>
          <w:tcPr>
            <w:tcW w:w="8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16"/>
              <w:widowControl w:val="false"/>
              <w:snapToGrid w:val="false"/>
              <w:rPr>
                <w:rFonts w:ascii="Times New Roman" w:hAnsi="Times New Roman" w:eastAsia="仿宋_GB2312" w:cs="Times New Roman"/>
                <w:sz w:val="24"/>
                <w:szCs w:val="24"/>
              </w:rPr>
            </w:pPr>
            <w:r>
              <w:rPr>
                <w:rFonts w:eastAsia="仿宋_GB2312" w:cs="Times New Roman" w:ascii="Times New Roman" w:hAnsi="Times New Roman"/>
                <w:b/>
                <w:bCs/>
                <w:sz w:val="24"/>
                <w:szCs w:val="24"/>
              </w:rPr>
              <w:t>1.</w:t>
            </w:r>
            <w:r>
              <w:rPr>
                <w:rFonts w:ascii="Times New Roman" w:hAnsi="Times New Roman" w:cs="Times New Roman" w:eastAsia="仿宋_GB2312"/>
                <w:b/>
                <w:bCs/>
                <w:sz w:val="24"/>
                <w:szCs w:val="24"/>
              </w:rPr>
              <w:t>湘鄂渝边区龙山商贸物流中心项目：</w:t>
            </w:r>
            <w:r>
              <w:rPr>
                <w:rFonts w:ascii="Times New Roman" w:hAnsi="Times New Roman" w:cs="Times New Roman" w:eastAsia="仿宋_GB2312"/>
                <w:sz w:val="24"/>
                <w:szCs w:val="24"/>
              </w:rPr>
              <w:t>建筑面积</w:t>
            </w:r>
            <w:r>
              <w:rPr>
                <w:rFonts w:eastAsia="仿宋_GB2312" w:cs="Times New Roman" w:ascii="Times New Roman" w:hAnsi="Times New Roman"/>
                <w:sz w:val="24"/>
                <w:szCs w:val="24"/>
              </w:rPr>
              <w:t>60</w:t>
            </w:r>
            <w:r>
              <w:rPr>
                <w:rFonts w:ascii="Times New Roman" w:hAnsi="Times New Roman" w:cs="Times New Roman" w:eastAsia="仿宋_GB2312"/>
                <w:sz w:val="24"/>
                <w:szCs w:val="24"/>
              </w:rPr>
              <w:t>万平方米，主要建设农产批发市场、中药材交易中心、龙凤（义乌）小商品城、农产物流仓储、粮食储备库、冷链物流仓储区、公交首末站、大宗物品物流仓储、货车停车及装卸载区、生活用品物流仓储区、园区管理服务功能区等。</w:t>
            </w:r>
          </w:p>
          <w:p>
            <w:pPr>
              <w:pStyle w:val="Style16"/>
              <w:widowControl w:val="false"/>
              <w:snapToGrid w:val="false"/>
              <w:rPr>
                <w:rFonts w:ascii="Times New Roman" w:hAnsi="Times New Roman" w:eastAsia="仿宋_GB2312" w:cs="Times New Roman"/>
                <w:sz w:val="24"/>
                <w:szCs w:val="24"/>
              </w:rPr>
            </w:pPr>
            <w:r>
              <w:rPr>
                <w:rFonts w:eastAsia="仿宋_GB2312" w:cs="Times New Roman" w:ascii="Times New Roman" w:hAnsi="Times New Roman"/>
                <w:b/>
                <w:bCs/>
                <w:sz w:val="24"/>
                <w:szCs w:val="24"/>
              </w:rPr>
              <w:t>2.</w:t>
            </w:r>
            <w:r>
              <w:rPr>
                <w:rFonts w:ascii="Times New Roman" w:hAnsi="Times New Roman" w:cs="Times New Roman" w:eastAsia="仿宋_GB2312"/>
                <w:b/>
                <w:bCs/>
                <w:sz w:val="24"/>
                <w:szCs w:val="24"/>
              </w:rPr>
              <w:t>镇村物流服务站项目：</w:t>
            </w:r>
            <w:r>
              <w:rPr>
                <w:rFonts w:ascii="Times New Roman" w:hAnsi="Times New Roman" w:cs="Times New Roman" w:eastAsia="仿宋_GB2312"/>
                <w:sz w:val="24"/>
                <w:szCs w:val="24"/>
              </w:rPr>
              <w:t>全县</w:t>
            </w:r>
            <w:r>
              <w:rPr>
                <w:rFonts w:eastAsia="仿宋_GB2312" w:cs="Times New Roman" w:ascii="Times New Roman" w:hAnsi="Times New Roman"/>
                <w:sz w:val="24"/>
                <w:szCs w:val="24"/>
              </w:rPr>
              <w:t>17</w:t>
            </w:r>
            <w:r>
              <w:rPr>
                <w:rFonts w:ascii="Times New Roman" w:hAnsi="Times New Roman" w:cs="Times New Roman" w:eastAsia="仿宋_GB2312"/>
                <w:sz w:val="24"/>
                <w:szCs w:val="24"/>
              </w:rPr>
              <w:t>个乡镇及</w:t>
            </w:r>
            <w:r>
              <w:rPr>
                <w:rFonts w:eastAsia="仿宋_GB2312" w:cs="Times New Roman" w:ascii="Times New Roman" w:hAnsi="Times New Roman"/>
                <w:sz w:val="24"/>
                <w:szCs w:val="24"/>
              </w:rPr>
              <w:t>397</w:t>
            </w:r>
            <w:r>
              <w:rPr>
                <w:rFonts w:ascii="Times New Roman" w:hAnsi="Times New Roman" w:cs="Times New Roman" w:eastAsia="仿宋_GB2312"/>
                <w:sz w:val="24"/>
                <w:szCs w:val="24"/>
              </w:rPr>
              <w:t>个便民服务网点基础设施配套建设。</w:t>
            </w:r>
          </w:p>
          <w:p>
            <w:pPr>
              <w:pStyle w:val="Style16"/>
              <w:widowControl w:val="false"/>
              <w:snapToGrid w:val="false"/>
              <w:rPr>
                <w:rFonts w:ascii="Times New Roman" w:hAnsi="Times New Roman" w:eastAsia="仿宋_GB2312" w:cs="Times New Roman"/>
                <w:sz w:val="24"/>
                <w:szCs w:val="24"/>
              </w:rPr>
            </w:pPr>
            <w:r>
              <w:rPr>
                <w:rFonts w:eastAsia="仿宋_GB2312" w:cs="Times New Roman" w:ascii="Times New Roman" w:hAnsi="Times New Roman"/>
                <w:b/>
                <w:bCs/>
                <w:sz w:val="24"/>
                <w:szCs w:val="24"/>
              </w:rPr>
              <w:t>3.</w:t>
            </w:r>
            <w:r>
              <w:rPr>
                <w:rFonts w:ascii="Times New Roman" w:hAnsi="Times New Roman" w:cs="Times New Roman" w:eastAsia="仿宋_GB2312"/>
                <w:b/>
                <w:bCs/>
                <w:sz w:val="24"/>
                <w:szCs w:val="24"/>
              </w:rPr>
              <w:t>武陵山片区物流分拣中心项目：</w:t>
            </w:r>
            <w:r>
              <w:rPr>
                <w:rFonts w:ascii="Times New Roman" w:hAnsi="Times New Roman" w:cs="Times New Roman" w:eastAsia="仿宋_GB2312"/>
                <w:sz w:val="24"/>
                <w:szCs w:val="24"/>
              </w:rPr>
              <w:t>占地约</w:t>
            </w:r>
            <w:r>
              <w:rPr>
                <w:rFonts w:eastAsia="仿宋_GB2312" w:cs="Times New Roman" w:ascii="Times New Roman" w:hAnsi="Times New Roman"/>
                <w:sz w:val="24"/>
                <w:szCs w:val="24"/>
              </w:rPr>
              <w:t>50</w:t>
            </w:r>
            <w:r>
              <w:rPr>
                <w:rFonts w:ascii="Times New Roman" w:hAnsi="Times New Roman" w:cs="Times New Roman" w:eastAsia="仿宋_GB2312"/>
                <w:sz w:val="24"/>
                <w:szCs w:val="24"/>
              </w:rPr>
              <w:t>亩，建设分拣加工、仓储配送、商品展示、办公休息等内容。</w:t>
            </w:r>
          </w:p>
          <w:p>
            <w:pPr>
              <w:pStyle w:val="Style16"/>
              <w:widowControl w:val="false"/>
              <w:snapToGrid w:val="false"/>
              <w:rPr>
                <w:rFonts w:ascii="Times New Roman" w:hAnsi="Times New Roman" w:eastAsia="仿宋_GB2312" w:cs="Times New Roman"/>
                <w:sz w:val="24"/>
                <w:szCs w:val="24"/>
              </w:rPr>
            </w:pPr>
            <w:r>
              <w:rPr>
                <w:rFonts w:eastAsia="仿宋_GB2312" w:cs="Times New Roman" w:ascii="Times New Roman" w:hAnsi="Times New Roman"/>
                <w:b/>
                <w:bCs/>
                <w:sz w:val="24"/>
                <w:szCs w:val="24"/>
              </w:rPr>
              <w:t>4.</w:t>
            </w:r>
            <w:r>
              <w:rPr>
                <w:rFonts w:ascii="Times New Roman" w:hAnsi="Times New Roman" w:cs="Times New Roman" w:eastAsia="仿宋_GB2312"/>
                <w:b/>
                <w:bCs/>
                <w:sz w:val="24"/>
                <w:szCs w:val="24"/>
              </w:rPr>
              <w:t>城区社区智慧快递驿站项目：</w:t>
            </w:r>
            <w:r>
              <w:rPr>
                <w:rFonts w:ascii="Times New Roman" w:hAnsi="Times New Roman" w:cs="Times New Roman" w:eastAsia="仿宋_GB2312"/>
                <w:sz w:val="24"/>
                <w:szCs w:val="24"/>
              </w:rPr>
              <w:t>城区布点</w:t>
            </w:r>
            <w:r>
              <w:rPr>
                <w:rFonts w:eastAsia="仿宋_GB2312" w:cs="Times New Roman" w:ascii="Times New Roman" w:hAnsi="Times New Roman"/>
                <w:sz w:val="24"/>
                <w:szCs w:val="24"/>
              </w:rPr>
              <w:t>50</w:t>
            </w:r>
            <w:r>
              <w:rPr>
                <w:rFonts w:ascii="Times New Roman" w:hAnsi="Times New Roman" w:cs="Times New Roman" w:eastAsia="仿宋_GB2312"/>
                <w:sz w:val="24"/>
                <w:szCs w:val="24"/>
              </w:rPr>
              <w:t>个，提供派件自提、寄件两项服务，</w:t>
            </w:r>
          </w:p>
          <w:p>
            <w:pPr>
              <w:pStyle w:val="Style16"/>
              <w:widowControl w:val="false"/>
              <w:snapToGrid w:val="false"/>
              <w:rPr>
                <w:rFonts w:ascii="Times New Roman" w:hAnsi="Times New Roman" w:eastAsia="仿宋_GB2312" w:cs="Times New Roman"/>
                <w:sz w:val="24"/>
                <w:szCs w:val="24"/>
              </w:rPr>
            </w:pPr>
            <w:r>
              <w:rPr>
                <w:rFonts w:eastAsia="仿宋_GB2312" w:cs="Times New Roman" w:ascii="Times New Roman" w:hAnsi="Times New Roman"/>
                <w:b/>
                <w:bCs/>
                <w:sz w:val="24"/>
                <w:szCs w:val="24"/>
              </w:rPr>
              <w:t>5.</w:t>
            </w:r>
            <w:r>
              <w:rPr>
                <w:rFonts w:ascii="Times New Roman" w:hAnsi="Times New Roman" w:cs="Times New Roman" w:eastAsia="仿宋_GB2312"/>
                <w:b/>
                <w:bCs/>
                <w:sz w:val="24"/>
                <w:szCs w:val="24"/>
              </w:rPr>
              <w:t>里耶物流中心项目：</w:t>
            </w:r>
            <w:r>
              <w:rPr>
                <w:rFonts w:ascii="Times New Roman" w:hAnsi="Times New Roman" w:cs="Times New Roman" w:eastAsia="仿宋_GB2312"/>
                <w:sz w:val="24"/>
                <w:szCs w:val="24"/>
              </w:rPr>
              <w:t>占地约</w:t>
            </w:r>
            <w:r>
              <w:rPr>
                <w:rFonts w:eastAsia="仿宋_GB2312" w:cs="Times New Roman" w:ascii="Times New Roman" w:hAnsi="Times New Roman"/>
                <w:sz w:val="24"/>
                <w:szCs w:val="24"/>
              </w:rPr>
              <w:t>200</w:t>
            </w:r>
            <w:r>
              <w:rPr>
                <w:rFonts w:ascii="Times New Roman" w:hAnsi="Times New Roman" w:cs="Times New Roman" w:eastAsia="仿宋_GB2312"/>
                <w:sz w:val="24"/>
                <w:szCs w:val="24"/>
              </w:rPr>
              <w:t>亩，主要建设绿色食品、轻工纺织及农产品批发市场、冷链仓储、农产品洗选保鲜中心。</w:t>
            </w:r>
          </w:p>
          <w:p>
            <w:pPr>
              <w:pStyle w:val="Style16"/>
              <w:widowControl w:val="false"/>
              <w:snapToGrid w:val="false"/>
              <w:rPr>
                <w:rFonts w:ascii="Times New Roman" w:hAnsi="Times New Roman" w:eastAsia="仿宋_GB2312" w:cs="Times New Roman"/>
                <w:sz w:val="24"/>
                <w:szCs w:val="24"/>
              </w:rPr>
            </w:pPr>
            <w:r>
              <w:rPr>
                <w:rFonts w:eastAsia="仿宋_GB2312" w:cs="Times New Roman" w:ascii="Times New Roman" w:hAnsi="Times New Roman"/>
                <w:b/>
                <w:bCs/>
                <w:sz w:val="24"/>
                <w:szCs w:val="24"/>
              </w:rPr>
              <w:t>6.</w:t>
            </w:r>
            <w:r>
              <w:rPr>
                <w:rFonts w:ascii="Times New Roman" w:hAnsi="Times New Roman" w:cs="Times New Roman" w:eastAsia="仿宋_GB2312"/>
                <w:b/>
                <w:bCs/>
                <w:sz w:val="24"/>
                <w:szCs w:val="24"/>
              </w:rPr>
              <w:t>洗洛百合交易物流中心项目：</w:t>
            </w:r>
            <w:r>
              <w:rPr>
                <w:rFonts w:ascii="Times New Roman" w:hAnsi="Times New Roman" w:cs="Times New Roman" w:eastAsia="仿宋_GB2312"/>
                <w:sz w:val="24"/>
                <w:szCs w:val="24"/>
              </w:rPr>
              <w:t>占地约</w:t>
            </w:r>
            <w:r>
              <w:rPr>
                <w:rFonts w:eastAsia="仿宋_GB2312" w:cs="Times New Roman" w:ascii="Times New Roman" w:hAnsi="Times New Roman"/>
                <w:sz w:val="24"/>
                <w:szCs w:val="24"/>
              </w:rPr>
              <w:t>100</w:t>
            </w:r>
            <w:r>
              <w:rPr>
                <w:rFonts w:ascii="Times New Roman" w:hAnsi="Times New Roman" w:cs="Times New Roman" w:eastAsia="仿宋_GB2312"/>
                <w:sz w:val="24"/>
                <w:szCs w:val="24"/>
              </w:rPr>
              <w:t>亩，主要规划建设冷链仓储、批发市场、服务配套等内容。</w:t>
            </w:r>
          </w:p>
        </w:tc>
      </w:tr>
    </w:tbl>
    <w:p>
      <w:pPr>
        <w:pStyle w:val="Style16"/>
        <w:spacing w:lineRule="auto" w:line="360"/>
        <w:ind w:firstLineChars="200" w:firstLine="0"/>
        <w:rPr>
          <w:rFonts w:ascii="Times New Roman" w:hAnsi="Times New Roman" w:eastAsia="仿宋_GB2312" w:cs="Times New Roman"/>
          <w:sz w:val="32"/>
          <w:szCs w:val="32"/>
        </w:rPr>
      </w:pPr>
      <w:r>
        <w:rPr>
          <w:rFonts w:eastAsia="仿宋_GB2312" w:cs="Times New Roman" w:ascii="Times New Roman" w:hAnsi="Times New Roman"/>
          <w:sz w:val="32"/>
          <w:szCs w:val="32"/>
        </w:rPr>
      </w:r>
    </w:p>
    <w:p>
      <w:pPr>
        <w:pStyle w:val="2"/>
        <w:rPr>
          <w:rFonts w:ascii="Times New Roman" w:hAnsi="Times New Roman" w:eastAsia="仿宋_GB2312" w:cs="Times New Roman"/>
          <w:b/>
          <w:b/>
          <w:bCs/>
          <w:lang w:val="zh-CN"/>
        </w:rPr>
      </w:pPr>
      <w:bookmarkStart w:id="69" w:name="_Toc82074866"/>
      <w:bookmarkStart w:id="70" w:name="_Toc46750248"/>
      <w:r>
        <w:rPr/>
        <w:t>第四节  紧跟国际市场形势，提升外经外贸水平</w:t>
      </w:r>
      <w:bookmarkEnd w:id="69"/>
      <w:bookmarkEnd w:id="70"/>
    </w:p>
    <w:p>
      <w:pPr>
        <w:pStyle w:val="3"/>
        <w:ind/>
        <w:rPr>
          <w:rFonts w:ascii="Times New Roman" w:hAnsi="Times New Roman" w:eastAsia="仿宋_GB2312" w:cs="Times New Roman"/>
          <w:b/>
          <w:b/>
          <w:bCs/>
          <w:lang w:val="zh-CN"/>
        </w:rPr>
      </w:pPr>
      <w:bookmarkStart w:id="71" w:name="_Toc82074867"/>
      <w:bookmarkStart w:id="72" w:name="_Toc46750249"/>
      <w:r>
        <w:rPr/>
        <w:t>一、大力促进外贸发展</w:t>
      </w:r>
      <w:bookmarkEnd w:id="71"/>
      <w:bookmarkEnd w:id="72"/>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加快培育外贸进出口主体队伍，做好形势宣传和政策解读，引导更多企业通过备案登记成为外贸新军。组织好企业培训，着力解决中小外贸企业实际操作中寻找客户、开拓市场等难题，助力企业发展。广泛宣传，帮助企业用足、用好国家有关政策支持。着力扶持冠美美发、恒澎新能源、丽尔服饰、七星野葛等已有实绩的</w:t>
      </w:r>
      <w:r>
        <w:rPr>
          <w:rFonts w:eastAsia="仿宋_GB2312" w:cs="Times New Roman" w:ascii="Times New Roman" w:hAnsi="Times New Roman"/>
          <w:sz w:val="32"/>
          <w:szCs w:val="32"/>
        </w:rPr>
        <w:t>13</w:t>
      </w:r>
      <w:r>
        <w:rPr>
          <w:rFonts w:ascii="Times New Roman" w:hAnsi="Times New Roman" w:cs="Times New Roman" w:eastAsia="仿宋_GB2312"/>
          <w:sz w:val="32"/>
          <w:szCs w:val="32"/>
        </w:rPr>
        <w:t>家外贸企业进一步拓宽业务渠道，同时，培植更多企业成为外贸新军，搞好出口服务，大力培育和不断壮大有地方特色的出口产业，优化出口结构，转变外贸发展方式，提质升级外向型经济，壮大出口规模。加大招大引强力度，扩大农业利用外资规模，千方百计推动农产品出口，发展外向型农业。发挥特色优势，主动承接国际产业和技术转移，改造和提升传统产业，加快发展基础产业和高新技术产业，积极参与国际竞争。通过引进先进设备、技术和人才，加快标准件产业上档升级，实施品牌发展战略，提升出口产品的质量和附加值。加大产品研发力度，培育出口品牌，不断提高出口产品的科技含量和附加值，减少粗放型、低附加值产品出口，以适销对路产品满足国际市场的需求。推动加工贸易转型升级。创立自主品牌，提高产品附加值，延伸产业链，拓展国内销售市场；以信息技术推动加工企业国际化管理；通过完善加工贸易管理协调机制，提高政府对加工贸易的管理服务水平。努力实现加工贸易发展速度、结构、质量和效益的统一，提升龙山县加工贸易发展水平。力争“十四五”期间出口额突破</w:t>
      </w:r>
      <w:r>
        <w:rPr>
          <w:rFonts w:eastAsia="仿宋_GB2312" w:cs="Times New Roman" w:ascii="Times New Roman" w:hAnsi="Times New Roman"/>
          <w:sz w:val="32"/>
          <w:szCs w:val="32"/>
        </w:rPr>
        <w:t>15</w:t>
      </w:r>
      <w:r>
        <w:rPr>
          <w:rFonts w:ascii="Times New Roman" w:hAnsi="Times New Roman" w:cs="Times New Roman" w:eastAsia="仿宋_GB2312"/>
          <w:sz w:val="32"/>
          <w:szCs w:val="32"/>
        </w:rPr>
        <w:t>亿元。</w:t>
      </w:r>
    </w:p>
    <w:p>
      <w:pPr>
        <w:pStyle w:val="3"/>
        <w:ind/>
        <w:rPr>
          <w:rFonts w:ascii="Times New Roman" w:hAnsi="Times New Roman" w:eastAsia="仿宋_GB2312" w:cs="Times New Roman"/>
          <w:b/>
          <w:b/>
          <w:bCs/>
          <w:lang w:val="zh-CN"/>
        </w:rPr>
      </w:pPr>
      <w:bookmarkStart w:id="73" w:name="_Toc82074868"/>
      <w:bookmarkStart w:id="74" w:name="_Toc46750250"/>
      <w:r>
        <w:rPr/>
        <w:t>二、加强对外经济合作</w:t>
      </w:r>
      <w:bookmarkEnd w:id="73"/>
      <w:bookmarkEnd w:id="74"/>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注重引导促进，做好外资外经工作。按照“外贸带外经、外经促外贸、外贸引外资”的思路，积极做好各项基础工作，努力推动全县外资利用、外经合作工作实现新突破。积极搭建交流合作平台，组织县内相关企业参加中非经贸博览会、广交会、上交会等各类国内外投资洽谈会，推动外贸增长，鼓励企业开展小团组、多频率出国推介洽谈，扩大成交规模和市场占有率。支持一批中小型外贸企业加入并借助电子商务平台抓出口机遇；大力开拓与我国签署自由贸易协定的国家和地区市场，利用自贸区之间贸易和投资相互自由化、便利化的优势，进一步扩大贸易规模。积极稳妥发展对外劳务合作，加大外派劳务工作的宣传力度。加强培训和管理，大力培育县第一职中外派劳务培训基地，提高劳务人员整体素质，规范外派行为，进一步扩大外派规模和提高外派质量，保持外经业绩持续增长。</w:t>
      </w:r>
    </w:p>
    <w:p>
      <w:pPr>
        <w:pStyle w:val="3"/>
        <w:ind/>
        <w:rPr>
          <w:rFonts w:ascii="Times New Roman" w:hAnsi="Times New Roman" w:eastAsia="仿宋_GB2312" w:cs="Times New Roman"/>
          <w:b/>
          <w:b/>
          <w:bCs/>
          <w:lang w:val="zh-CN"/>
        </w:rPr>
      </w:pPr>
      <w:bookmarkStart w:id="75" w:name="_Toc82074869"/>
      <w:r>
        <w:rPr/>
        <w:t>三、抢抓对外开放新机遇</w:t>
      </w:r>
      <w:bookmarkEnd w:id="75"/>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加快推进与长株潭、粤港澳大湾区、长三角、成渝地区区域合作，积极参与湖南</w:t>
      </w:r>
      <w:r>
        <w:rPr>
          <w:rFonts w:eastAsia="仿宋_GB2312" w:cs="Times New Roman" w:ascii="Times New Roman" w:hAnsi="Times New Roman"/>
          <w:sz w:val="32"/>
          <w:szCs w:val="32"/>
        </w:rPr>
        <w:t>-</w:t>
      </w:r>
      <w:r>
        <w:rPr>
          <w:rFonts w:ascii="Times New Roman" w:hAnsi="Times New Roman" w:cs="Times New Roman" w:eastAsia="仿宋_GB2312"/>
          <w:sz w:val="32"/>
          <w:szCs w:val="32"/>
        </w:rPr>
        <w:t>粤港澳大湾区投资贸易洽谈周、长三角经贸合作洽谈周、湖南异地商会等合作平台，推进对接合作。深化长株潭、粤港澳大湾区、长三角、成渝地区在教育科技领域合作，做好对接长株潭、粤港澳大湾区、长三角、成渝地区等科技创新资源溢出工作。以承接产业转移和产业合作为引进技术的主要形式，以科技园区共建和高校合作作为对接技术转移的重要载体，搭建科技转移平台，开展重大技术联合攻关，强化人才交流合作，建立科技成果转移转化长效机制。建设农副产品供应基地。通过种好“菜园子”，打造“果盘子”，抢占长株潭、粤港澳大湾区、长三角、成渝地区的大市场，指导开发百合等一批受消费者喜爱的农副产品，提升农产品附加值，重点从长株潭、粤港澳大湾区、长三角、成渝地区引进和培育一批农副产品加工企业，带动农业企业抱团发展，实现产业链向下游发展、价值链向高端攀升。</w:t>
      </w:r>
    </w:p>
    <w:p>
      <w:pPr>
        <w:pStyle w:val="3"/>
        <w:ind/>
        <w:rPr>
          <w:rFonts w:ascii="Times New Roman" w:hAnsi="Times New Roman" w:eastAsia="仿宋_GB2312" w:cs="Times New Roman"/>
          <w:b/>
          <w:b/>
          <w:bCs/>
          <w:lang w:val="zh-CN"/>
        </w:rPr>
      </w:pPr>
      <w:bookmarkStart w:id="76" w:name="_Toc82074870"/>
      <w:r>
        <w:rPr/>
        <w:t>四、形成全面开放新局面</w:t>
      </w:r>
      <w:bookmarkEnd w:id="76"/>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积极融入中国（湖南）自由贸易试验区和成渝都市圈。重点围绕龙山的优势产业和战略性新兴产业，实施“点对点”的精准招商。提升长沙对口帮扶龙山成色，着力推动对外贸易发展，让龙山民族服饰和手工艺品、中药材、生态绿色食品等特色产品等走出国门、走向世界。抓开放、稳外贸、增外资、促外经，不断培育外贸出口主体，指导企业积极开拓国际市场，充分利用外资，扎实做好外经工作，积极创建省级外派劳务输出基地，“十四五”期末，实现有外贸实绩的企业</w:t>
      </w:r>
      <w:r>
        <w:rPr>
          <w:rFonts w:eastAsia="仿宋_GB2312" w:cs="Times New Roman" w:ascii="Times New Roman" w:hAnsi="Times New Roman"/>
          <w:sz w:val="32"/>
          <w:szCs w:val="32"/>
        </w:rPr>
        <w:t>6</w:t>
      </w:r>
      <w:r>
        <w:rPr>
          <w:rFonts w:ascii="Times New Roman" w:hAnsi="Times New Roman" w:cs="Times New Roman" w:eastAsia="仿宋_GB2312"/>
          <w:sz w:val="32"/>
          <w:szCs w:val="32"/>
        </w:rPr>
        <w:t>家，累计引进外资</w:t>
      </w:r>
      <w:r>
        <w:rPr>
          <w:rFonts w:eastAsia="仿宋_GB2312" w:cs="Times New Roman" w:ascii="Times New Roman" w:hAnsi="Times New Roman"/>
          <w:sz w:val="32"/>
          <w:szCs w:val="32"/>
        </w:rPr>
        <w:t>500</w:t>
      </w:r>
      <w:r>
        <w:rPr>
          <w:rFonts w:ascii="Times New Roman" w:hAnsi="Times New Roman" w:cs="Times New Roman" w:eastAsia="仿宋_GB2312"/>
          <w:sz w:val="32"/>
          <w:szCs w:val="32"/>
        </w:rPr>
        <w:t>万美元，外派劳务达</w:t>
      </w:r>
      <w:r>
        <w:rPr>
          <w:rFonts w:eastAsia="仿宋_GB2312" w:cs="Times New Roman" w:ascii="Times New Roman" w:hAnsi="Times New Roman"/>
          <w:sz w:val="32"/>
          <w:szCs w:val="32"/>
        </w:rPr>
        <w:t>100</w:t>
      </w:r>
      <w:r>
        <w:rPr>
          <w:rFonts w:ascii="Times New Roman" w:hAnsi="Times New Roman" w:cs="Times New Roman" w:eastAsia="仿宋_GB2312"/>
          <w:sz w:val="32"/>
          <w:szCs w:val="32"/>
        </w:rPr>
        <w:t>人以上，完成对外合作营业额</w:t>
      </w:r>
      <w:r>
        <w:rPr>
          <w:rFonts w:eastAsia="仿宋_GB2312" w:cs="Times New Roman" w:ascii="Times New Roman" w:hAnsi="Times New Roman"/>
          <w:sz w:val="32"/>
          <w:szCs w:val="32"/>
        </w:rPr>
        <w:t>1000</w:t>
      </w:r>
      <w:r>
        <w:rPr>
          <w:rFonts w:ascii="Times New Roman" w:hAnsi="Times New Roman" w:cs="Times New Roman" w:eastAsia="仿宋_GB2312"/>
          <w:sz w:val="32"/>
          <w:szCs w:val="32"/>
        </w:rPr>
        <w:t>万美元以上。</w:t>
      </w:r>
    </w:p>
    <w:p>
      <w:pPr>
        <w:pStyle w:val="2"/>
        <w:rPr>
          <w:rFonts w:ascii="Times New Roman" w:hAnsi="Times New Roman" w:eastAsia="仿宋_GB2312" w:cs="Times New Roman"/>
          <w:b/>
          <w:b/>
          <w:bCs/>
          <w:lang w:val="zh-CN"/>
        </w:rPr>
      </w:pPr>
      <w:bookmarkStart w:id="77" w:name="_Toc82074871"/>
      <w:r>
        <w:rPr/>
        <w:t>第五节  建设县电商产业园，促进电子商务繁荣发展</w:t>
      </w:r>
      <w:bookmarkEnd w:id="77"/>
    </w:p>
    <w:p>
      <w:pPr>
        <w:pStyle w:val="3"/>
        <w:ind/>
        <w:rPr>
          <w:rFonts w:ascii="Times New Roman" w:hAnsi="Times New Roman" w:eastAsia="仿宋_GB2312" w:cs="Times New Roman"/>
          <w:b/>
          <w:b/>
          <w:bCs/>
          <w:lang w:val="zh-CN"/>
        </w:rPr>
      </w:pPr>
      <w:bookmarkStart w:id="78" w:name="_Toc82074872"/>
      <w:bookmarkStart w:id="79" w:name="_Toc46750247"/>
      <w:r>
        <w:rPr/>
        <w:t>一、培育壮大电子</w:t>
      </w:r>
      <w:bookmarkEnd w:id="79"/>
      <w:r>
        <w:rPr/>
        <w:t>商务规模</w:t>
      </w:r>
      <w:bookmarkEnd w:id="78"/>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以全国电子商务进农村综合示范整体推进县为基础，建立和完善电子商务市场体系，基本形成技术先进、功能齐全的电子商务市场格局。建立电子商务创新服务体系，建设龙山县电子商务服务中心，鼓励电子商务技术创新和模式创新，推动商业模式、商业业态创新。继续开展电商服务站建设工作，引入和支持电商企业和电商服务企业打造农村电子商务信息及交易网络平台，实现农村电子商务信息化服务和交易功能。扶持从事日用消费品、农业生产资料连锁经营和农产品流通的骨干企业、供销社、邮政和民营电商企业进入农村市场，支持商品配送中心、商场（超市）、农产品集配中心（批发市场）、乡镇商贸中心，农家店、邮政服务网店等实施信息化改造。支持开展农村电子商务培训，培训对象包括对相关政府部门、企业和农村经济组织、专业合作社和创业青年等。支持服务电商进农村的物流配送企业，建立完善的县、乡、村三级物流配送机制，加强农产品网销的配套设施建设。建立电商质量安全追溯体系，依托乡镇农产品检测站开展农产品质量抽样检测，加强电商产品监管。加强与农业部门协调配合，加快冷链仓储物流设施建设，推动百合、橘橙等特色农产品建设区域性电子商务专区，开展生鲜农产品和农业生产资料电子商务试点，促进农业商品电子商务发展。为促进龙山县农村流通现代化，助推乡村振兴，推动农村电子商务健康快速发展助力前行，打造“以农产品上行为主线，以乡村振兴为目标”的龙山特色农村电商模式。</w:t>
      </w:r>
    </w:p>
    <w:p>
      <w:pPr>
        <w:pStyle w:val="3"/>
        <w:ind/>
        <w:rPr>
          <w:rFonts w:ascii="Times New Roman" w:hAnsi="Times New Roman" w:eastAsia="仿宋_GB2312" w:cs="Times New Roman"/>
          <w:b/>
          <w:b/>
          <w:bCs/>
          <w:lang w:val="zh-CN"/>
        </w:rPr>
      </w:pPr>
      <w:bookmarkStart w:id="80" w:name="_Toc82074873"/>
      <w:r>
        <w:rPr/>
        <w:t>二、大力发展电子商务</w:t>
      </w:r>
      <w:r>
        <w:rPr/>
        <w:t>+</w:t>
      </w:r>
      <w:r>
        <w:rPr/>
        <w:t>物流</w:t>
      </w:r>
      <w:bookmarkEnd w:id="80"/>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一是深入实施国家电子商务进农村综合示范项目，围绕县级电商服务中心、乡村服务站体系、物流配送体系、供应链体系、营销体系、人才培育体系等六个方面进行建设，逐步实现县、乡、村三级全覆盖。二是加大与国内知名大电商平台合作，大力培育本土电商平台，促进线上线下融合发展。依托龙山县农产品资源优势，发展农产品网络营销和订单农业，建设特色农产品网货供应基地，提升快递物流整体发展水平。三是规划建设龙山县电商产业园，鼓励各电商企业和国内知名电商平台入驻。四是支持各行业企业和各类市场，借助电子商务扩展交易渠道，升级交易模式。</w:t>
      </w:r>
    </w:p>
    <w:p>
      <w:pPr>
        <w:pStyle w:val="3"/>
        <w:ind/>
        <w:rPr>
          <w:rFonts w:ascii="Times New Roman" w:hAnsi="Times New Roman" w:eastAsia="仿宋_GB2312" w:cs="Times New Roman"/>
          <w:b/>
          <w:b/>
          <w:bCs/>
          <w:lang w:val="zh-CN"/>
        </w:rPr>
      </w:pPr>
      <w:bookmarkStart w:id="81" w:name="_Toc82074874"/>
      <w:r>
        <w:rPr/>
        <w:t>三、积极发展跨境电子商务</w:t>
      </w:r>
      <w:bookmarkEnd w:id="81"/>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一是借鉴跨境电子商务综合试验区发展经验。加快培育贸易新业态新模式，不断增强品牌影响力，实现跨境电子商务生产要素和产业集聚。提前布局，从跨境电子商务信息共享、金融服务、智能物流、统计监测、风险防控、人才培养等方面进行战略部署，对涉及跨境电子商务的政策举措先行先试，培养跨境电子商务的经营环境和经营秩序。</w:t>
      </w:r>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二是鼓励引导跨境电子商务主体对接合作。出台相关配套政策措施，积极引进国内外知名跨境电商行业龙头企业。充分利用省内外跨境电子商务物流渠道，通过合作实现项目、人才和服务资源的持续输送，提升企业参与跨境电子商务的实力。培育跨境电子商务新业态，巩固和扩大市场份额，打造有竞争力的出口跨境电子商务供货体系，推动与“一带一路”沿线国家和地区开展电子商务合作。</w:t>
      </w:r>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三是建立跨境电子商务供应链一体化发展。结合龙山的特色产业和本地优势，支持各地引导跨境电子商务产业向规模化、标准化、集群化、规范化方向发展。培育一批影响力较大的公共服务平台、竞争力较强的外贸综合服务平台和知名度较高的交易平台，对跨境电子商务企业进行全供应链服务。在资源的有效优化配置下，综合配置相关采购、订货、支付、物流、仓储等环节，促进各个环节的优势互补，强化节约交易流程，提高交易效率并降低交易成本，实现一条龙的综合服务。</w:t>
      </w:r>
    </w:p>
    <w:p>
      <w:pPr>
        <w:pStyle w:val="Style16"/>
        <w:widowControl/>
        <w:jc w:val="left"/>
        <w:rPr>
          <w:rFonts w:ascii="Times New Roman" w:hAnsi="Times New Roman" w:eastAsia="仿宋_GB2312" w:cs="Times New Roman"/>
          <w:sz w:val="32"/>
          <w:szCs w:val="32"/>
        </w:rPr>
      </w:pPr>
      <w:r>
        <w:rPr>
          <w:rFonts w:eastAsia="仿宋_GB2312" w:cs="Times New Roman" w:ascii="Times New Roman" w:hAnsi="Times New Roman"/>
          <w:sz w:val="32"/>
          <w:szCs w:val="32"/>
        </w:rPr>
      </w:r>
      <w:r>
        <w:br w:type="page"/>
      </w:r>
    </w:p>
    <w:p>
      <w:pPr>
        <w:pStyle w:val="1"/>
        <w:rPr>
          <w:rFonts w:ascii="Times New Roman" w:hAnsi="Times New Roman" w:eastAsia="仿宋_GB2312" w:cs="Times New Roman"/>
          <w:b/>
          <w:b/>
          <w:bCs/>
          <w:lang w:val="zh-CN"/>
        </w:rPr>
      </w:pPr>
      <w:bookmarkStart w:id="82" w:name="_Toc82074875"/>
      <w:r>
        <w:rPr/>
        <w:t>第五章  重点工程</w:t>
      </w:r>
      <w:bookmarkEnd w:id="82"/>
    </w:p>
    <w:p>
      <w:pPr>
        <w:pStyle w:val="2"/>
        <w:rPr>
          <w:rFonts w:ascii="Times New Roman" w:hAnsi="Times New Roman" w:eastAsia="仿宋_GB2312" w:cs="Times New Roman"/>
          <w:b/>
          <w:b/>
          <w:bCs/>
          <w:lang w:val="zh-CN"/>
        </w:rPr>
      </w:pPr>
      <w:bookmarkStart w:id="83" w:name="_Toc82074876"/>
      <w:r>
        <w:rPr/>
        <w:t>第一节  大招商行动计划</w:t>
      </w:r>
      <w:bookmarkEnd w:id="83"/>
    </w:p>
    <w:p>
      <w:pPr>
        <w:pStyle w:val="3"/>
        <w:ind/>
        <w:rPr>
          <w:rFonts w:ascii="Times New Roman" w:hAnsi="Times New Roman" w:eastAsia="仿宋_GB2312" w:cs="Times New Roman"/>
          <w:b/>
          <w:b/>
          <w:bCs/>
          <w:lang w:val="zh-CN"/>
        </w:rPr>
      </w:pPr>
      <w:bookmarkStart w:id="84" w:name="_Toc82074877"/>
      <w:r>
        <w:rPr/>
        <w:t>一、重点项目</w:t>
      </w:r>
      <w:bookmarkEnd w:id="84"/>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紧紧围绕已经形成的百合、桔橙、茶叶、中药材等颇具规模的优势产业进行培养，以实现一二三产业融合为目标，精心包装项目，丰富招商形式，瞄准重点区域，着力招大引强，充分利用各类招商活动，大力引进农副产品深加工项目。实施工业强县“</w:t>
      </w:r>
      <w:r>
        <w:rPr>
          <w:rFonts w:eastAsia="仿宋_GB2312" w:cs="Times New Roman" w:ascii="Times New Roman" w:hAnsi="Times New Roman"/>
          <w:sz w:val="32"/>
          <w:szCs w:val="32"/>
        </w:rPr>
        <w:t>5211</w:t>
      </w:r>
      <w:r>
        <w:rPr>
          <w:rFonts w:ascii="Times New Roman" w:hAnsi="Times New Roman" w:cs="Times New Roman" w:eastAsia="仿宋_GB2312"/>
          <w:sz w:val="32"/>
          <w:szCs w:val="32"/>
        </w:rPr>
        <w:t>”五年行动计划，重点引进生物医药、食品加工、电力能源与机电产业等龙头企业，以新型建材、民族工艺服饰作为辅助产业，推进产业招商。</w:t>
      </w:r>
    </w:p>
    <w:p>
      <w:pPr>
        <w:pStyle w:val="3"/>
        <w:ind/>
        <w:rPr>
          <w:rFonts w:ascii="Times New Roman" w:hAnsi="Times New Roman" w:eastAsia="仿宋_GB2312" w:cs="Times New Roman"/>
          <w:b/>
          <w:b/>
          <w:bCs/>
          <w:lang w:val="zh-CN"/>
        </w:rPr>
      </w:pPr>
      <w:bookmarkStart w:id="85" w:name="_Toc82074878"/>
      <w:r>
        <w:rPr/>
        <w:t>二、主要措施</w:t>
      </w:r>
      <w:bookmarkEnd w:id="85"/>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结合龙山实际情况精准招商。以优化供给为导向，立足本县现有产业基础、市场需求、资源禀赋，优先引导和支持生态绿色食品、生物医药、特色制造和新能源新材料等产业的优质企业。积极拓展招商来源，在巩固珠三角和川渝等主要产业转移地区的基础上，加强与粤港澳、长三角、东南亚等国内外地区的对接合作。合理有序开放市场准入，推进金融、教育、医疗等服务业领域有序开放，开放商贸物流、电子商务等服务业领域准入项目。有序开放外资市场准入，鼓励外资参与高技术产业，投资相关产业链关联配套项目。</w:t>
      </w:r>
    </w:p>
    <w:p>
      <w:pPr>
        <w:pStyle w:val="2"/>
        <w:rPr>
          <w:rFonts w:ascii="Times New Roman" w:hAnsi="Times New Roman" w:eastAsia="仿宋_GB2312" w:cs="Times New Roman"/>
          <w:b/>
          <w:b/>
          <w:bCs/>
          <w:lang w:val="zh-CN"/>
        </w:rPr>
      </w:pPr>
      <w:bookmarkStart w:id="86" w:name="_Toc82074879"/>
      <w:r>
        <w:rPr/>
        <w:t>第二节  大市场培育计划</w:t>
      </w:r>
      <w:bookmarkEnd w:id="86"/>
    </w:p>
    <w:p>
      <w:pPr>
        <w:pStyle w:val="3"/>
        <w:ind/>
        <w:rPr>
          <w:rFonts w:ascii="Times New Roman" w:hAnsi="Times New Roman" w:eastAsia="仿宋_GB2312" w:cs="Times New Roman"/>
          <w:b/>
          <w:b/>
          <w:bCs/>
          <w:lang w:val="zh-CN"/>
        </w:rPr>
      </w:pPr>
      <w:bookmarkStart w:id="87" w:name="_Toc82074880"/>
      <w:r>
        <w:rPr/>
        <w:t>一、重点项目</w:t>
      </w:r>
      <w:bookmarkEnd w:id="87"/>
    </w:p>
    <w:p>
      <w:pPr>
        <w:pStyle w:val="Style16"/>
        <w:spacing w:lineRule="auto" w:line="360"/>
        <w:ind w:firstLineChars="200" w:firstLine="0"/>
        <w:rPr>
          <w:rFonts w:ascii="Times New Roman" w:hAnsi="Times New Roman" w:eastAsia="仿宋_GB2312" w:cs="Times New Roman"/>
          <w:sz w:val="32"/>
          <w:szCs w:val="32"/>
        </w:rPr>
      </w:pPr>
      <w:r>
        <w:rPr>
          <w:rFonts w:eastAsia="仿宋_GB2312" w:cs="Times New Roman" w:ascii="Times New Roman" w:hAnsi="Times New Roman"/>
          <w:sz w:val="32"/>
          <w:szCs w:val="32"/>
        </w:rPr>
        <w:t>1.</w:t>
      </w:r>
      <w:r>
        <w:rPr>
          <w:rFonts w:ascii="Times New Roman" w:hAnsi="Times New Roman" w:cs="Times New Roman" w:eastAsia="仿宋_GB2312"/>
          <w:sz w:val="32"/>
          <w:szCs w:val="32"/>
        </w:rPr>
        <w:t>土城坝农贸市场建设项目：重点建设农贸市场监测系统、污水处理系统等，配套建设蔬菜区、水产区、冷冻区、肉类区、家禽区、水果区、干货区、副食杂货区等功能区。</w:t>
      </w:r>
    </w:p>
    <w:p>
      <w:pPr>
        <w:pStyle w:val="Style16"/>
        <w:spacing w:lineRule="auto" w:line="360"/>
        <w:ind w:firstLineChars="200" w:firstLine="0"/>
        <w:rPr>
          <w:rFonts w:ascii="Times New Roman" w:hAnsi="Times New Roman" w:eastAsia="仿宋_GB2312" w:cs="Times New Roman"/>
          <w:sz w:val="32"/>
          <w:szCs w:val="32"/>
        </w:rPr>
      </w:pPr>
      <w:r>
        <w:rPr>
          <w:rFonts w:eastAsia="仿宋_GB2312" w:cs="Times New Roman" w:ascii="Times New Roman" w:hAnsi="Times New Roman"/>
          <w:sz w:val="32"/>
          <w:szCs w:val="32"/>
        </w:rPr>
        <w:t>2.</w:t>
      </w:r>
      <w:r>
        <w:rPr>
          <w:rFonts w:ascii="Times New Roman" w:hAnsi="Times New Roman" w:cs="Times New Roman" w:eastAsia="仿宋_GB2312"/>
          <w:sz w:val="32"/>
          <w:szCs w:val="32"/>
        </w:rPr>
        <w:t>北正街农贸市场建设项目：重点建设农贸市场监测系统、污水处理系统等，配套建设蔬菜区、水产区、冷冻区、肉类区、家禽区、水果区、干货区、副食杂货区等功能区。</w:t>
      </w:r>
    </w:p>
    <w:p>
      <w:pPr>
        <w:pStyle w:val="Style16"/>
        <w:spacing w:lineRule="auto" w:line="360"/>
        <w:ind w:firstLineChars="200" w:firstLine="0"/>
        <w:rPr>
          <w:rFonts w:ascii="Times New Roman" w:hAnsi="Times New Roman" w:eastAsia="仿宋_GB2312" w:cs="Times New Roman"/>
          <w:sz w:val="32"/>
          <w:szCs w:val="32"/>
        </w:rPr>
      </w:pPr>
      <w:r>
        <w:rPr>
          <w:rFonts w:eastAsia="仿宋_GB2312" w:cs="Times New Roman" w:ascii="Times New Roman" w:hAnsi="Times New Roman"/>
          <w:sz w:val="32"/>
          <w:szCs w:val="32"/>
        </w:rPr>
        <w:t>3.</w:t>
      </w:r>
      <w:r>
        <w:rPr>
          <w:rFonts w:ascii="Times New Roman" w:hAnsi="Times New Roman" w:cs="Times New Roman" w:eastAsia="仿宋_GB2312"/>
          <w:sz w:val="32"/>
          <w:szCs w:val="32"/>
        </w:rPr>
        <w:t>华塘新区农贸市场建设项目：规划建设占地约</w:t>
      </w:r>
      <w:r>
        <w:rPr>
          <w:rFonts w:eastAsia="仿宋_GB2312" w:cs="Times New Roman" w:ascii="Times New Roman" w:hAnsi="Times New Roman"/>
          <w:sz w:val="32"/>
          <w:szCs w:val="32"/>
        </w:rPr>
        <w:t>60</w:t>
      </w:r>
      <w:r>
        <w:rPr>
          <w:rFonts w:ascii="Times New Roman" w:hAnsi="Times New Roman" w:cs="Times New Roman" w:eastAsia="仿宋_GB2312"/>
          <w:sz w:val="32"/>
          <w:szCs w:val="32"/>
        </w:rPr>
        <w:t>亩的综合农贸市场。</w:t>
      </w:r>
    </w:p>
    <w:p>
      <w:pPr>
        <w:pStyle w:val="Style16"/>
        <w:spacing w:lineRule="auto" w:line="360"/>
        <w:ind w:firstLineChars="200" w:firstLine="0"/>
        <w:rPr>
          <w:rFonts w:ascii="Times New Roman" w:hAnsi="Times New Roman" w:eastAsia="仿宋_GB2312" w:cs="Times New Roman"/>
          <w:sz w:val="32"/>
          <w:szCs w:val="32"/>
        </w:rPr>
      </w:pPr>
      <w:r>
        <w:rPr>
          <w:rFonts w:eastAsia="仿宋_GB2312" w:cs="Times New Roman" w:ascii="Times New Roman" w:hAnsi="Times New Roman"/>
          <w:sz w:val="32"/>
          <w:szCs w:val="32"/>
        </w:rPr>
        <w:t>4.</w:t>
      </w:r>
      <w:r>
        <w:rPr>
          <w:rFonts w:ascii="Times New Roman" w:hAnsi="Times New Roman" w:cs="Times New Roman" w:eastAsia="仿宋_GB2312"/>
          <w:sz w:val="32"/>
          <w:szCs w:val="32"/>
        </w:rPr>
        <w:t>生猪屠宰仓储冷链交易市场建设项目：规划建设年屠宰加工能力</w:t>
      </w:r>
      <w:r>
        <w:rPr>
          <w:rFonts w:eastAsia="仿宋_GB2312" w:cs="Times New Roman" w:ascii="Times New Roman" w:hAnsi="Times New Roman"/>
          <w:sz w:val="32"/>
          <w:szCs w:val="32"/>
        </w:rPr>
        <w:t>40</w:t>
      </w:r>
      <w:r>
        <w:rPr>
          <w:rFonts w:ascii="Times New Roman" w:hAnsi="Times New Roman" w:cs="Times New Roman" w:eastAsia="仿宋_GB2312"/>
          <w:sz w:val="32"/>
          <w:szCs w:val="32"/>
        </w:rPr>
        <w:t>万头畜禽及冷链物流设施，包括屠宰加工厂房及设备、冷链设备设施等建设。</w:t>
      </w:r>
    </w:p>
    <w:p>
      <w:pPr>
        <w:pStyle w:val="Style16"/>
        <w:spacing w:lineRule="auto" w:line="360"/>
        <w:ind w:firstLineChars="200" w:firstLine="0"/>
        <w:rPr>
          <w:rFonts w:ascii="Times New Roman" w:hAnsi="Times New Roman" w:eastAsia="仿宋_GB2312" w:cs="Times New Roman"/>
          <w:sz w:val="32"/>
          <w:szCs w:val="32"/>
        </w:rPr>
      </w:pPr>
      <w:r>
        <w:rPr>
          <w:rFonts w:eastAsia="仿宋_GB2312" w:cs="Times New Roman" w:ascii="Times New Roman" w:hAnsi="Times New Roman"/>
          <w:sz w:val="32"/>
          <w:szCs w:val="32"/>
        </w:rPr>
        <w:t>5.</w:t>
      </w:r>
      <w:r>
        <w:rPr>
          <w:rFonts w:ascii="Times New Roman" w:hAnsi="Times New Roman" w:cs="Times New Roman" w:eastAsia="仿宋_GB2312"/>
          <w:sz w:val="32"/>
          <w:szCs w:val="32"/>
        </w:rPr>
        <w:t>洗洛百合交易物流中心建设项目：物流中心规划占地</w:t>
      </w:r>
      <w:r>
        <w:rPr>
          <w:rFonts w:eastAsia="仿宋_GB2312" w:cs="Times New Roman" w:ascii="Times New Roman" w:hAnsi="Times New Roman"/>
          <w:sz w:val="32"/>
          <w:szCs w:val="32"/>
        </w:rPr>
        <w:t>50</w:t>
      </w:r>
      <w:r>
        <w:rPr>
          <w:rFonts w:ascii="Times New Roman" w:hAnsi="Times New Roman" w:cs="Times New Roman" w:eastAsia="仿宋_GB2312"/>
          <w:sz w:val="32"/>
          <w:szCs w:val="32"/>
        </w:rPr>
        <w:t>亩，建设集百合包装、仓储、冷链、物流、交易市场等功能为一体的百合交易物流中心。</w:t>
      </w:r>
    </w:p>
    <w:p>
      <w:pPr>
        <w:pStyle w:val="Style16"/>
        <w:spacing w:lineRule="auto" w:line="360"/>
        <w:ind w:firstLineChars="200" w:firstLine="0"/>
        <w:rPr>
          <w:rFonts w:ascii="Times New Roman" w:hAnsi="Times New Roman" w:eastAsia="仿宋_GB2312" w:cs="Times New Roman"/>
          <w:sz w:val="32"/>
          <w:szCs w:val="32"/>
        </w:rPr>
      </w:pPr>
      <w:r>
        <w:rPr>
          <w:rFonts w:eastAsia="仿宋_GB2312" w:cs="Times New Roman" w:ascii="Times New Roman" w:hAnsi="Times New Roman"/>
          <w:sz w:val="32"/>
          <w:szCs w:val="32"/>
        </w:rPr>
        <w:t>6.</w:t>
      </w:r>
      <w:r>
        <w:rPr>
          <w:rFonts w:ascii="Times New Roman" w:hAnsi="Times New Roman" w:cs="Times New Roman" w:eastAsia="仿宋_GB2312"/>
          <w:sz w:val="32"/>
          <w:szCs w:val="32"/>
        </w:rPr>
        <w:t>高铁新城中药材产业园建设项目：在高铁产业园新建占地</w:t>
      </w:r>
      <w:r>
        <w:rPr>
          <w:rFonts w:eastAsia="仿宋_GB2312" w:cs="Times New Roman" w:ascii="Times New Roman" w:hAnsi="Times New Roman"/>
          <w:sz w:val="32"/>
          <w:szCs w:val="32"/>
        </w:rPr>
        <w:t>200</w:t>
      </w:r>
      <w:r>
        <w:rPr>
          <w:rFonts w:ascii="Times New Roman" w:hAnsi="Times New Roman" w:cs="Times New Roman" w:eastAsia="仿宋_GB2312"/>
          <w:sz w:val="32"/>
          <w:szCs w:val="32"/>
        </w:rPr>
        <w:t>亩、</w:t>
      </w:r>
      <w:r>
        <w:rPr>
          <w:rFonts w:eastAsia="仿宋_GB2312" w:cs="Times New Roman" w:ascii="Times New Roman" w:hAnsi="Times New Roman"/>
          <w:sz w:val="32"/>
          <w:szCs w:val="32"/>
        </w:rPr>
        <w:t>5</w:t>
      </w:r>
      <w:r>
        <w:rPr>
          <w:rFonts w:ascii="Times New Roman" w:hAnsi="Times New Roman" w:cs="Times New Roman" w:eastAsia="仿宋_GB2312"/>
          <w:sz w:val="32"/>
          <w:szCs w:val="32"/>
        </w:rPr>
        <w:t>万平方米标准化厂房，建成高标准的中药材交易市场。</w:t>
      </w:r>
    </w:p>
    <w:p>
      <w:pPr>
        <w:pStyle w:val="Style16"/>
        <w:spacing w:lineRule="auto" w:line="360"/>
        <w:ind w:firstLineChars="200" w:firstLine="0"/>
        <w:rPr>
          <w:rFonts w:ascii="Times New Roman" w:hAnsi="Times New Roman" w:eastAsia="仿宋_GB2312" w:cs="Times New Roman"/>
          <w:sz w:val="32"/>
          <w:szCs w:val="32"/>
        </w:rPr>
      </w:pPr>
      <w:r>
        <w:rPr>
          <w:rFonts w:eastAsia="仿宋_GB2312" w:cs="Times New Roman" w:ascii="Times New Roman" w:hAnsi="Times New Roman"/>
          <w:sz w:val="32"/>
          <w:szCs w:val="32"/>
        </w:rPr>
        <w:t>7.</w:t>
      </w:r>
      <w:r>
        <w:rPr>
          <w:rFonts w:ascii="Times New Roman" w:hAnsi="Times New Roman" w:cs="Times New Roman" w:eastAsia="仿宋_GB2312"/>
          <w:sz w:val="32"/>
          <w:szCs w:val="32"/>
        </w:rPr>
        <w:t>里耶</w:t>
      </w:r>
      <w:r>
        <w:rPr>
          <w:rFonts w:eastAsia="仿宋_GB2312" w:cs="Times New Roman" w:ascii="Times New Roman" w:hAnsi="Times New Roman"/>
          <w:sz w:val="32"/>
          <w:szCs w:val="32"/>
        </w:rPr>
        <w:t>10</w:t>
      </w:r>
      <w:r>
        <w:rPr>
          <w:rFonts w:ascii="Times New Roman" w:hAnsi="Times New Roman" w:cs="Times New Roman" w:eastAsia="仿宋_GB2312"/>
          <w:sz w:val="32"/>
          <w:szCs w:val="32"/>
        </w:rPr>
        <w:t>万吨级柑橘洗选、仓储、物流交易市场建设项目：规划建设占地约</w:t>
      </w:r>
      <w:r>
        <w:rPr>
          <w:rFonts w:eastAsia="仿宋_GB2312" w:cs="Times New Roman" w:ascii="Times New Roman" w:hAnsi="Times New Roman"/>
          <w:sz w:val="32"/>
          <w:szCs w:val="32"/>
        </w:rPr>
        <w:t>100</w:t>
      </w:r>
      <w:r>
        <w:rPr>
          <w:rFonts w:ascii="Times New Roman" w:hAnsi="Times New Roman" w:cs="Times New Roman" w:eastAsia="仿宋_GB2312"/>
          <w:sz w:val="32"/>
          <w:szCs w:val="32"/>
        </w:rPr>
        <w:t>亩，建设集农产批发市场、农产物流仓储、冷链物流仓储区、电商销售中心、农产品检疫检测中心、园区管理服务等功能区为一体的交易市场，总建筑面积约</w:t>
      </w:r>
      <w:r>
        <w:rPr>
          <w:rFonts w:eastAsia="仿宋_GB2312" w:cs="Times New Roman" w:ascii="Times New Roman" w:hAnsi="Times New Roman"/>
          <w:sz w:val="32"/>
          <w:szCs w:val="32"/>
        </w:rPr>
        <w:t>600000</w:t>
      </w:r>
      <w:r>
        <w:rPr>
          <w:rFonts w:ascii="Times New Roman" w:hAnsi="Times New Roman" w:cs="Times New Roman" w:eastAsia="仿宋_GB2312"/>
          <w:sz w:val="32"/>
          <w:szCs w:val="32"/>
        </w:rPr>
        <w:t>平方米。</w:t>
      </w:r>
    </w:p>
    <w:p>
      <w:pPr>
        <w:pStyle w:val="Style16"/>
        <w:spacing w:lineRule="auto" w:line="360"/>
        <w:ind w:firstLineChars="200" w:firstLine="0"/>
        <w:rPr>
          <w:rFonts w:ascii="Times New Roman" w:hAnsi="Times New Roman" w:eastAsia="仿宋_GB2312" w:cs="Times New Roman"/>
          <w:sz w:val="32"/>
          <w:szCs w:val="32"/>
        </w:rPr>
      </w:pPr>
      <w:r>
        <w:rPr>
          <w:rFonts w:eastAsia="仿宋_GB2312" w:cs="Times New Roman" w:ascii="Times New Roman" w:hAnsi="Times New Roman"/>
          <w:sz w:val="32"/>
          <w:szCs w:val="32"/>
        </w:rPr>
        <w:t>8.</w:t>
      </w:r>
      <w:r>
        <w:rPr>
          <w:rFonts w:ascii="Times New Roman" w:hAnsi="Times New Roman" w:cs="Times New Roman" w:eastAsia="仿宋_GB2312"/>
          <w:sz w:val="32"/>
          <w:szCs w:val="32"/>
        </w:rPr>
        <w:t>龙山奉天龙城天街（故事小镇）建设项目：规划建设总建筑面积</w:t>
      </w:r>
      <w:r>
        <w:rPr>
          <w:rFonts w:eastAsia="仿宋_GB2312" w:cs="Times New Roman" w:ascii="Times New Roman" w:hAnsi="Times New Roman"/>
          <w:sz w:val="32"/>
          <w:szCs w:val="32"/>
        </w:rPr>
        <w:t>4.8</w:t>
      </w:r>
      <w:r>
        <w:rPr>
          <w:rFonts w:ascii="Times New Roman" w:hAnsi="Times New Roman" w:cs="Times New Roman" w:eastAsia="仿宋_GB2312"/>
          <w:sz w:val="32"/>
          <w:szCs w:val="32"/>
        </w:rPr>
        <w:t>万平方米，地上三层商业体，地下商业街一层，地下车库一层，及步游道，公共厕所、活动广场等附属设施建设。</w:t>
      </w:r>
    </w:p>
    <w:p>
      <w:pPr>
        <w:pStyle w:val="Style16"/>
        <w:spacing w:lineRule="auto" w:line="360"/>
        <w:ind w:firstLineChars="200" w:firstLine="0"/>
        <w:rPr>
          <w:rFonts w:ascii="Times New Roman" w:hAnsi="Times New Roman" w:eastAsia="仿宋_GB2312" w:cs="Times New Roman"/>
          <w:sz w:val="32"/>
          <w:szCs w:val="32"/>
        </w:rPr>
      </w:pPr>
      <w:r>
        <w:rPr>
          <w:rFonts w:eastAsia="仿宋_GB2312" w:cs="Times New Roman" w:ascii="Times New Roman" w:hAnsi="Times New Roman"/>
          <w:sz w:val="32"/>
          <w:szCs w:val="32"/>
        </w:rPr>
        <w:t>9.</w:t>
      </w:r>
      <w:r>
        <w:rPr>
          <w:rFonts w:ascii="Times New Roman" w:hAnsi="Times New Roman" w:cs="Times New Roman" w:eastAsia="仿宋_GB2312"/>
          <w:sz w:val="32"/>
          <w:szCs w:val="32"/>
        </w:rPr>
        <w:t>乡镇农贸市场建设项目：</w:t>
      </w:r>
      <w:r>
        <w:rPr>
          <w:rFonts w:eastAsia="仿宋_GB2312" w:cs="Times New Roman" w:ascii="Times New Roman" w:hAnsi="Times New Roman"/>
          <w:sz w:val="32"/>
          <w:szCs w:val="32"/>
        </w:rPr>
        <w:t>19</w:t>
      </w:r>
      <w:r>
        <w:rPr>
          <w:rFonts w:ascii="Times New Roman" w:hAnsi="Times New Roman" w:cs="Times New Roman" w:eastAsia="仿宋_GB2312"/>
          <w:sz w:val="32"/>
          <w:szCs w:val="32"/>
        </w:rPr>
        <w:t>个乡镇农贸市场改扩建建设工程。</w:t>
      </w:r>
    </w:p>
    <w:p>
      <w:pPr>
        <w:pStyle w:val="3"/>
        <w:ind/>
        <w:rPr>
          <w:rFonts w:ascii="Times New Roman" w:hAnsi="Times New Roman" w:eastAsia="仿宋_GB2312" w:cs="Times New Roman"/>
          <w:b/>
          <w:b/>
          <w:bCs/>
          <w:lang w:val="zh-CN"/>
        </w:rPr>
      </w:pPr>
      <w:bookmarkStart w:id="88" w:name="_Toc82074881"/>
      <w:r>
        <w:rPr/>
        <w:t>二、主要措施</w:t>
      </w:r>
      <w:bookmarkEnd w:id="88"/>
    </w:p>
    <w:p>
      <w:pPr>
        <w:pStyle w:val="Style16"/>
        <w:spacing w:lineRule="auto" w:line="360"/>
        <w:ind w:firstLineChars="200" w:firstLine="0"/>
        <w:rPr>
          <w:rFonts w:ascii="Times New Roman" w:hAnsi="Times New Roman" w:eastAsia="仿宋_GB2312" w:cs="Times New Roman"/>
          <w:sz w:val="32"/>
          <w:szCs w:val="32"/>
        </w:rPr>
      </w:pPr>
      <w:r>
        <w:rPr>
          <w:rFonts w:eastAsia="仿宋_GB2312" w:cs="Times New Roman" w:ascii="Times New Roman" w:hAnsi="Times New Roman"/>
          <w:sz w:val="32"/>
          <w:szCs w:val="32"/>
        </w:rPr>
        <w:t>1.</w:t>
      </w:r>
      <w:r>
        <w:rPr>
          <w:rFonts w:ascii="Times New Roman" w:hAnsi="Times New Roman" w:cs="Times New Roman" w:eastAsia="仿宋_GB2312"/>
          <w:sz w:val="32"/>
          <w:szCs w:val="32"/>
        </w:rPr>
        <w:t>完善农产品市场流通体系</w:t>
      </w:r>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调解市场需求，改变原先的独户经营、条条分割模式，联合农户建立农村合作社的体制，综合农业业务，集中起来规模化经济作业，提高生产效率又可以拉动整体效益，扩大生产规模，有助于产供销一体化经营，增加农户收益，实现农工商联合，以增强农产品的市场竞争力和抵御风险的能力，加强所有农户的建设和管理工作，充分发挥作用，推动农业产业化进程。积极发展农村教育，根据当地优势产业培养所需的专业农户，请专家教授对农民种植的产品进行技术指导，生产符合标准优质的特色农产品。</w:t>
      </w:r>
    </w:p>
    <w:p>
      <w:pPr>
        <w:pStyle w:val="Style16"/>
        <w:spacing w:lineRule="auto" w:line="360"/>
        <w:ind w:firstLineChars="200" w:firstLine="0"/>
        <w:rPr>
          <w:rFonts w:ascii="Times New Roman" w:hAnsi="Times New Roman" w:eastAsia="仿宋_GB2312" w:cs="Times New Roman"/>
          <w:sz w:val="32"/>
          <w:szCs w:val="32"/>
        </w:rPr>
      </w:pPr>
      <w:r>
        <w:rPr>
          <w:rFonts w:eastAsia="仿宋_GB2312" w:cs="Times New Roman" w:ascii="Times New Roman" w:hAnsi="Times New Roman"/>
          <w:sz w:val="32"/>
          <w:szCs w:val="32"/>
        </w:rPr>
        <w:t>2.</w:t>
      </w:r>
      <w:r>
        <w:rPr>
          <w:rFonts w:ascii="Times New Roman" w:hAnsi="Times New Roman" w:cs="Times New Roman" w:eastAsia="仿宋_GB2312"/>
          <w:sz w:val="32"/>
          <w:szCs w:val="32"/>
        </w:rPr>
        <w:t>做到有针对性地提高某两个产业的结构比重，防止因某一产业波动对经济造成较大影响。从农业出发，寻找经济新增点，改造传统农业，将其打造成更具现代化的、集观光、旅游及消费为一体的休闲农业，形成与第三产业联动融合的新型农业布局。同时，在“互联网</w:t>
      </w:r>
      <w:r>
        <w:rPr>
          <w:rFonts w:eastAsia="仿宋_GB2312" w:cs="Times New Roman" w:ascii="Times New Roman" w:hAnsi="Times New Roman"/>
          <w:sz w:val="32"/>
          <w:szCs w:val="32"/>
        </w:rPr>
        <w:t>+</w:t>
      </w:r>
      <w:r>
        <w:rPr>
          <w:rFonts w:ascii="Times New Roman" w:hAnsi="Times New Roman" w:cs="Times New Roman" w:eastAsia="仿宋_GB2312"/>
          <w:sz w:val="32"/>
          <w:szCs w:val="32"/>
        </w:rPr>
        <w:t>农业”的思维下，充分利用全县电子商务、网络购物、物流快递、信息技术等新经济、新业态，建设供应国内的果蔬等农产品基地，打造出国际化的土家族特色产品交易平台，为全县建设大市场增添新动能。</w:t>
      </w:r>
    </w:p>
    <w:p>
      <w:pPr>
        <w:pStyle w:val="2"/>
        <w:rPr>
          <w:rFonts w:ascii="Times New Roman" w:hAnsi="Times New Roman" w:eastAsia="仿宋_GB2312" w:cs="Times New Roman"/>
          <w:b/>
          <w:b/>
          <w:bCs/>
          <w:lang w:val="zh-CN"/>
        </w:rPr>
      </w:pPr>
      <w:bookmarkStart w:id="89" w:name="_Toc82074882"/>
      <w:r>
        <w:rPr/>
        <w:t>第三节  大内贸流通工程</w:t>
      </w:r>
      <w:bookmarkEnd w:id="89"/>
    </w:p>
    <w:p>
      <w:pPr>
        <w:pStyle w:val="3"/>
        <w:ind/>
        <w:rPr>
          <w:rFonts w:ascii="Times New Roman" w:hAnsi="Times New Roman" w:eastAsia="仿宋_GB2312" w:cs="Times New Roman"/>
          <w:b/>
          <w:b/>
          <w:bCs/>
          <w:lang w:val="zh-CN"/>
        </w:rPr>
      </w:pPr>
      <w:bookmarkStart w:id="90" w:name="_Toc82074883"/>
      <w:r>
        <w:rPr/>
        <w:t>一、重点项目</w:t>
      </w:r>
      <w:bookmarkEnd w:id="90"/>
    </w:p>
    <w:p>
      <w:pPr>
        <w:pStyle w:val="Style16"/>
        <w:spacing w:lineRule="auto" w:line="360"/>
        <w:ind w:firstLineChars="200" w:firstLine="0"/>
        <w:rPr>
          <w:rFonts w:ascii="Times New Roman" w:hAnsi="Times New Roman" w:eastAsia="仿宋_GB2312" w:cs="Times New Roman"/>
          <w:sz w:val="32"/>
          <w:szCs w:val="32"/>
        </w:rPr>
      </w:pPr>
      <w:r>
        <w:rPr>
          <w:rFonts w:eastAsia="仿宋_GB2312" w:cs="Times New Roman" w:ascii="Times New Roman" w:hAnsi="Times New Roman"/>
          <w:sz w:val="32"/>
          <w:szCs w:val="32"/>
        </w:rPr>
        <w:t>1.</w:t>
      </w:r>
      <w:r>
        <w:rPr>
          <w:rFonts w:ascii="Times New Roman" w:hAnsi="Times New Roman" w:cs="Times New Roman" w:eastAsia="仿宋_GB2312"/>
          <w:sz w:val="32"/>
          <w:szCs w:val="32"/>
        </w:rPr>
        <w:t>红星美凯龙星级宾馆：规划建设面积</w:t>
      </w:r>
      <w:r>
        <w:rPr>
          <w:rFonts w:eastAsia="仿宋_GB2312" w:cs="Times New Roman" w:ascii="Times New Roman" w:hAnsi="Times New Roman"/>
          <w:sz w:val="32"/>
          <w:szCs w:val="32"/>
        </w:rPr>
        <w:t>1.7</w:t>
      </w:r>
      <w:r>
        <w:rPr>
          <w:rFonts w:ascii="Times New Roman" w:hAnsi="Times New Roman" w:cs="Times New Roman" w:eastAsia="仿宋_GB2312"/>
          <w:sz w:val="32"/>
          <w:szCs w:val="32"/>
        </w:rPr>
        <w:t>万平方米的星级酒店，按四星级宾馆要求的硬件和服务进行建设。</w:t>
      </w:r>
    </w:p>
    <w:p>
      <w:pPr>
        <w:pStyle w:val="Style16"/>
        <w:spacing w:lineRule="auto" w:line="360"/>
        <w:ind w:firstLineChars="200" w:firstLine="0"/>
        <w:rPr>
          <w:rFonts w:ascii="Times New Roman" w:hAnsi="Times New Roman" w:eastAsia="仿宋_GB2312" w:cs="Times New Roman"/>
          <w:sz w:val="32"/>
          <w:szCs w:val="32"/>
        </w:rPr>
      </w:pPr>
      <w:r>
        <w:rPr>
          <w:rFonts w:eastAsia="仿宋_GB2312" w:cs="Times New Roman" w:ascii="Times New Roman" w:hAnsi="Times New Roman"/>
          <w:sz w:val="32"/>
          <w:szCs w:val="32"/>
        </w:rPr>
        <w:t>2.</w:t>
      </w:r>
      <w:r>
        <w:rPr>
          <w:rFonts w:ascii="Times New Roman" w:hAnsi="Times New Roman" w:cs="Times New Roman" w:eastAsia="仿宋_GB2312"/>
          <w:sz w:val="32"/>
          <w:szCs w:val="32"/>
        </w:rPr>
        <w:t>里耶壹号精品酒店建设：里耶壹号开发项目占地面积</w:t>
      </w:r>
      <w:r>
        <w:rPr>
          <w:rFonts w:eastAsia="仿宋_GB2312" w:cs="Times New Roman" w:ascii="Times New Roman" w:hAnsi="Times New Roman"/>
          <w:sz w:val="32"/>
          <w:szCs w:val="32"/>
        </w:rPr>
        <w:t>27284.4m</w:t>
      </w:r>
      <w:r>
        <w:rPr>
          <w:rFonts w:eastAsia="仿宋_GB2312" w:cs="Times New Roman" w:ascii="Times New Roman" w:hAnsi="Times New Roman"/>
          <w:sz w:val="32"/>
          <w:szCs w:val="32"/>
          <w:vertAlign w:val="superscript"/>
        </w:rPr>
        <w:t>2</w:t>
      </w:r>
      <w:r>
        <w:rPr>
          <w:rFonts w:eastAsia="仿宋_GB2312" w:cs="Times New Roman" w:ascii="Times New Roman" w:hAnsi="Times New Roman"/>
          <w:sz w:val="32"/>
          <w:szCs w:val="32"/>
        </w:rPr>
        <w:t>,</w:t>
      </w:r>
      <w:r>
        <w:rPr>
          <w:rFonts w:ascii="Times New Roman" w:hAnsi="Times New Roman" w:cs="Times New Roman" w:eastAsia="仿宋_GB2312"/>
          <w:sz w:val="32"/>
          <w:szCs w:val="32"/>
        </w:rPr>
        <w:t>项目修建楼房共</w:t>
      </w:r>
      <w:r>
        <w:rPr>
          <w:rFonts w:eastAsia="仿宋_GB2312" w:cs="Times New Roman" w:ascii="Times New Roman" w:hAnsi="Times New Roman"/>
          <w:sz w:val="32"/>
          <w:szCs w:val="32"/>
        </w:rPr>
        <w:t>15</w:t>
      </w:r>
      <w:r>
        <w:rPr>
          <w:rFonts w:ascii="Times New Roman" w:hAnsi="Times New Roman" w:cs="Times New Roman" w:eastAsia="仿宋_GB2312"/>
          <w:sz w:val="32"/>
          <w:szCs w:val="32"/>
        </w:rPr>
        <w:t>栋，层高</w:t>
      </w:r>
      <w:r>
        <w:rPr>
          <w:rFonts w:eastAsia="仿宋_GB2312" w:cs="Times New Roman" w:ascii="Times New Roman" w:hAnsi="Times New Roman"/>
          <w:sz w:val="32"/>
          <w:szCs w:val="32"/>
        </w:rPr>
        <w:t>6</w:t>
      </w:r>
      <w:r>
        <w:rPr>
          <w:rFonts w:ascii="Times New Roman" w:hAnsi="Times New Roman" w:cs="Times New Roman" w:eastAsia="仿宋_GB2312"/>
          <w:sz w:val="32"/>
          <w:szCs w:val="32"/>
        </w:rPr>
        <w:t>层。开发建筑总面积</w:t>
      </w:r>
      <w:r>
        <w:rPr>
          <w:rFonts w:eastAsia="仿宋_GB2312" w:cs="Times New Roman" w:ascii="Times New Roman" w:hAnsi="Times New Roman"/>
          <w:sz w:val="32"/>
          <w:szCs w:val="32"/>
        </w:rPr>
        <w:t>61260m</w:t>
      </w:r>
      <w:r>
        <w:rPr>
          <w:rFonts w:eastAsia="仿宋_GB2312" w:cs="Times New Roman" w:ascii="Times New Roman" w:hAnsi="Times New Roman"/>
          <w:sz w:val="32"/>
          <w:szCs w:val="32"/>
          <w:vertAlign w:val="superscript"/>
        </w:rPr>
        <w:t>2</w:t>
      </w:r>
      <w:r>
        <w:rPr>
          <w:rFonts w:ascii="Times New Roman" w:hAnsi="Times New Roman" w:cs="Times New Roman" w:eastAsia="仿宋_GB2312"/>
          <w:sz w:val="32"/>
          <w:szCs w:val="32"/>
        </w:rPr>
        <w:t>，其中住房</w:t>
      </w:r>
      <w:r>
        <w:rPr>
          <w:rFonts w:eastAsia="仿宋_GB2312" w:cs="Times New Roman" w:ascii="Times New Roman" w:hAnsi="Times New Roman"/>
          <w:sz w:val="32"/>
          <w:szCs w:val="32"/>
        </w:rPr>
        <w:t>11</w:t>
      </w:r>
      <w:r>
        <w:rPr>
          <w:rFonts w:ascii="Times New Roman" w:hAnsi="Times New Roman" w:cs="Times New Roman" w:eastAsia="仿宋_GB2312"/>
          <w:sz w:val="32"/>
          <w:szCs w:val="32"/>
        </w:rPr>
        <w:t>栋</w:t>
      </w:r>
      <w:r>
        <w:rPr>
          <w:rFonts w:eastAsia="仿宋_GB2312" w:cs="Times New Roman" w:ascii="Times New Roman" w:hAnsi="Times New Roman"/>
          <w:sz w:val="32"/>
          <w:szCs w:val="32"/>
        </w:rPr>
        <w:t>243</w:t>
      </w:r>
      <w:r>
        <w:rPr>
          <w:rFonts w:ascii="Times New Roman" w:hAnsi="Times New Roman" w:cs="Times New Roman" w:eastAsia="仿宋_GB2312"/>
          <w:sz w:val="32"/>
          <w:szCs w:val="32"/>
        </w:rPr>
        <w:t>套，面积</w:t>
      </w:r>
      <w:r>
        <w:rPr>
          <w:rFonts w:eastAsia="仿宋_GB2312" w:cs="Times New Roman" w:ascii="Times New Roman" w:hAnsi="Times New Roman"/>
          <w:sz w:val="32"/>
          <w:szCs w:val="32"/>
        </w:rPr>
        <w:t>33717.22m</w:t>
      </w:r>
      <w:r>
        <w:rPr>
          <w:rFonts w:eastAsia="仿宋_GB2312" w:cs="Times New Roman" w:ascii="Times New Roman" w:hAnsi="Times New Roman"/>
          <w:sz w:val="32"/>
          <w:szCs w:val="32"/>
          <w:vertAlign w:val="superscript"/>
        </w:rPr>
        <w:t>2</w:t>
      </w:r>
      <w:r>
        <w:rPr>
          <w:rFonts w:ascii="Times New Roman" w:hAnsi="Times New Roman" w:cs="Times New Roman" w:eastAsia="仿宋_GB2312"/>
          <w:sz w:val="32"/>
          <w:szCs w:val="32"/>
        </w:rPr>
        <w:t>，四星级精品酒店</w:t>
      </w:r>
      <w:r>
        <w:rPr>
          <w:rFonts w:eastAsia="仿宋_GB2312" w:cs="Times New Roman" w:ascii="Times New Roman" w:hAnsi="Times New Roman"/>
          <w:sz w:val="32"/>
          <w:szCs w:val="32"/>
        </w:rPr>
        <w:t>1</w:t>
      </w:r>
      <w:r>
        <w:rPr>
          <w:rFonts w:ascii="Times New Roman" w:hAnsi="Times New Roman" w:cs="Times New Roman" w:eastAsia="仿宋_GB2312"/>
          <w:sz w:val="32"/>
          <w:szCs w:val="32"/>
        </w:rPr>
        <w:t>栋</w:t>
      </w:r>
      <w:r>
        <w:rPr>
          <w:rFonts w:eastAsia="仿宋_GB2312" w:cs="Times New Roman" w:ascii="Times New Roman" w:hAnsi="Times New Roman"/>
          <w:sz w:val="32"/>
          <w:szCs w:val="32"/>
        </w:rPr>
        <w:t>14496.19m</w:t>
      </w:r>
      <w:r>
        <w:rPr>
          <w:rFonts w:eastAsia="仿宋_GB2312" w:cs="Times New Roman" w:ascii="Times New Roman" w:hAnsi="Times New Roman"/>
          <w:sz w:val="32"/>
          <w:szCs w:val="32"/>
          <w:vertAlign w:val="superscript"/>
        </w:rPr>
        <w:t>2</w:t>
      </w:r>
      <w:r>
        <w:rPr>
          <w:rFonts w:ascii="Times New Roman" w:hAnsi="Times New Roman" w:cs="Times New Roman" w:eastAsia="仿宋_GB2312"/>
          <w:sz w:val="32"/>
          <w:szCs w:val="32"/>
        </w:rPr>
        <w:t>，酒店式公寓</w:t>
      </w:r>
      <w:r>
        <w:rPr>
          <w:rFonts w:eastAsia="仿宋_GB2312" w:cs="Times New Roman" w:ascii="Times New Roman" w:hAnsi="Times New Roman"/>
          <w:sz w:val="32"/>
          <w:szCs w:val="32"/>
        </w:rPr>
        <w:t>3</w:t>
      </w:r>
      <w:r>
        <w:rPr>
          <w:rFonts w:ascii="Times New Roman" w:hAnsi="Times New Roman" w:cs="Times New Roman" w:eastAsia="仿宋_GB2312"/>
          <w:sz w:val="32"/>
          <w:szCs w:val="32"/>
        </w:rPr>
        <w:t>栋</w:t>
      </w:r>
      <w:r>
        <w:rPr>
          <w:rFonts w:eastAsia="仿宋_GB2312" w:cs="Times New Roman" w:ascii="Times New Roman" w:hAnsi="Times New Roman"/>
          <w:sz w:val="32"/>
          <w:szCs w:val="32"/>
        </w:rPr>
        <w:t>5731.29m</w:t>
      </w:r>
      <w:r>
        <w:rPr>
          <w:rFonts w:eastAsia="仿宋_GB2312" w:cs="Times New Roman" w:ascii="Times New Roman" w:hAnsi="Times New Roman"/>
          <w:sz w:val="32"/>
          <w:szCs w:val="32"/>
          <w:vertAlign w:val="superscript"/>
        </w:rPr>
        <w:t>2</w:t>
      </w:r>
      <w:r>
        <w:rPr>
          <w:rFonts w:ascii="Times New Roman" w:hAnsi="Times New Roman" w:cs="Times New Roman" w:eastAsia="仿宋_GB2312"/>
          <w:sz w:val="32"/>
          <w:szCs w:val="32"/>
        </w:rPr>
        <w:t>，停车位</w:t>
      </w:r>
      <w:r>
        <w:rPr>
          <w:rFonts w:eastAsia="仿宋_GB2312" w:cs="Times New Roman" w:ascii="Times New Roman" w:hAnsi="Times New Roman"/>
          <w:sz w:val="32"/>
          <w:szCs w:val="32"/>
        </w:rPr>
        <w:t>359</w:t>
      </w:r>
      <w:r>
        <w:rPr>
          <w:rFonts w:ascii="Times New Roman" w:hAnsi="Times New Roman" w:cs="Times New Roman" w:eastAsia="仿宋_GB2312"/>
          <w:sz w:val="32"/>
          <w:szCs w:val="32"/>
        </w:rPr>
        <w:t>个，其他用房</w:t>
      </w:r>
      <w:r>
        <w:rPr>
          <w:rFonts w:eastAsia="仿宋_GB2312" w:cs="Times New Roman" w:ascii="Times New Roman" w:hAnsi="Times New Roman"/>
          <w:sz w:val="32"/>
          <w:szCs w:val="32"/>
        </w:rPr>
        <w:t>411m</w:t>
      </w:r>
      <w:r>
        <w:rPr>
          <w:rFonts w:eastAsia="仿宋_GB2312" w:cs="Times New Roman" w:ascii="Times New Roman" w:hAnsi="Times New Roman"/>
          <w:sz w:val="32"/>
          <w:szCs w:val="32"/>
          <w:vertAlign w:val="superscript"/>
        </w:rPr>
        <w:t>2</w:t>
      </w:r>
      <w:r>
        <w:rPr>
          <w:rFonts w:ascii="Times New Roman" w:hAnsi="Times New Roman" w:cs="Times New Roman" w:eastAsia="仿宋_GB2312"/>
          <w:sz w:val="32"/>
          <w:szCs w:val="32"/>
        </w:rPr>
        <w:t>。</w:t>
      </w:r>
    </w:p>
    <w:p>
      <w:pPr>
        <w:pStyle w:val="Style16"/>
        <w:spacing w:lineRule="auto" w:line="360"/>
        <w:ind w:firstLineChars="200" w:firstLine="0"/>
        <w:rPr>
          <w:rFonts w:ascii="Times New Roman" w:hAnsi="Times New Roman" w:eastAsia="仿宋_GB2312" w:cs="Times New Roman"/>
          <w:sz w:val="32"/>
          <w:szCs w:val="32"/>
        </w:rPr>
      </w:pPr>
      <w:r>
        <w:rPr>
          <w:rFonts w:eastAsia="仿宋_GB2312" w:cs="Times New Roman" w:ascii="Times New Roman" w:hAnsi="Times New Roman"/>
          <w:sz w:val="32"/>
          <w:szCs w:val="32"/>
        </w:rPr>
        <w:t>3.</w:t>
      </w:r>
      <w:r>
        <w:rPr>
          <w:rFonts w:ascii="Times New Roman" w:hAnsi="Times New Roman" w:cs="Times New Roman" w:eastAsia="仿宋_GB2312"/>
          <w:sz w:val="32"/>
          <w:szCs w:val="32"/>
        </w:rPr>
        <w:t>城东物流园建设项目：规划占地</w:t>
      </w:r>
      <w:r>
        <w:rPr>
          <w:rFonts w:eastAsia="仿宋_GB2312" w:cs="Times New Roman" w:ascii="Times New Roman" w:hAnsi="Times New Roman"/>
          <w:sz w:val="32"/>
          <w:szCs w:val="32"/>
        </w:rPr>
        <w:t>300</w:t>
      </w:r>
      <w:r>
        <w:rPr>
          <w:rFonts w:ascii="Times New Roman" w:hAnsi="Times New Roman" w:cs="Times New Roman" w:eastAsia="仿宋_GB2312"/>
          <w:sz w:val="32"/>
          <w:szCs w:val="32"/>
        </w:rPr>
        <w:t>亩，主要建设农产批发市场、农产物流仓储、粮食储备库、冷链物流仓储区、公交首末站、大宗物品物流仓储、货车停车及装卸载区、生活用品物流仓储区、园区管理服务功能区等。</w:t>
      </w:r>
    </w:p>
    <w:p>
      <w:pPr>
        <w:pStyle w:val="Style16"/>
        <w:spacing w:lineRule="auto" w:line="360"/>
        <w:ind w:firstLineChars="200" w:firstLine="0"/>
        <w:rPr>
          <w:rFonts w:ascii="Times New Roman" w:hAnsi="Times New Roman" w:eastAsia="仿宋_GB2312" w:cs="Times New Roman"/>
          <w:sz w:val="32"/>
          <w:szCs w:val="32"/>
        </w:rPr>
      </w:pPr>
      <w:r>
        <w:rPr>
          <w:rFonts w:eastAsia="仿宋_GB2312" w:cs="Times New Roman" w:ascii="Times New Roman" w:hAnsi="Times New Roman"/>
          <w:sz w:val="32"/>
          <w:szCs w:val="32"/>
        </w:rPr>
        <w:t>4.</w:t>
      </w:r>
      <w:r>
        <w:rPr>
          <w:rFonts w:ascii="Times New Roman" w:hAnsi="Times New Roman" w:cs="Times New Roman" w:eastAsia="仿宋_GB2312"/>
          <w:sz w:val="32"/>
          <w:szCs w:val="32"/>
        </w:rPr>
        <w:t>高铁新城物流园建设项目：主要建设农产批发市场、农产物流仓储、粮食储备库、冷链物流仓储区、公交首末站、大宗物品物流仓储、货车停车及装卸载区、生活用品物流仓储区、园区管理服务功能区等。</w:t>
      </w:r>
    </w:p>
    <w:p>
      <w:pPr>
        <w:pStyle w:val="3"/>
        <w:ind/>
        <w:rPr>
          <w:rFonts w:ascii="Times New Roman" w:hAnsi="Times New Roman" w:eastAsia="仿宋_GB2312" w:cs="Times New Roman"/>
          <w:b/>
          <w:b/>
          <w:bCs/>
          <w:lang w:val="zh-CN"/>
        </w:rPr>
      </w:pPr>
      <w:bookmarkStart w:id="91" w:name="_Toc82074884"/>
      <w:r>
        <w:rPr/>
        <w:t>二、主要措施</w:t>
      </w:r>
      <w:bookmarkEnd w:id="91"/>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依托龙山县区位优势</w:t>
      </w:r>
      <w:r>
        <w:rPr>
          <w:rFonts w:eastAsia="仿宋_GB2312" w:cs="Times New Roman" w:ascii="Times New Roman" w:hAnsi="Times New Roman"/>
          <w:sz w:val="32"/>
          <w:szCs w:val="32"/>
        </w:rPr>
        <w:t>,</w:t>
      </w:r>
      <w:r>
        <w:rPr>
          <w:rFonts w:ascii="Times New Roman" w:hAnsi="Times New Roman" w:cs="Times New Roman" w:eastAsia="仿宋_GB2312"/>
          <w:sz w:val="32"/>
          <w:szCs w:val="32"/>
        </w:rPr>
        <w:t>坚持两手抓</w:t>
      </w:r>
      <w:r>
        <w:rPr>
          <w:rFonts w:eastAsia="仿宋_GB2312" w:cs="Times New Roman" w:ascii="Times New Roman" w:hAnsi="Times New Roman"/>
          <w:sz w:val="32"/>
          <w:szCs w:val="32"/>
        </w:rPr>
        <w:t>(</w:t>
      </w:r>
      <w:r>
        <w:rPr>
          <w:rFonts w:ascii="Times New Roman" w:hAnsi="Times New Roman" w:cs="Times New Roman" w:eastAsia="仿宋_GB2312"/>
          <w:sz w:val="32"/>
          <w:szCs w:val="32"/>
        </w:rPr>
        <w:t>一手抓现有企业培大培强、一手抓招商引资</w:t>
      </w:r>
      <w:r>
        <w:rPr>
          <w:rFonts w:eastAsia="仿宋_GB2312" w:cs="Times New Roman" w:ascii="Times New Roman" w:hAnsi="Times New Roman"/>
          <w:sz w:val="32"/>
          <w:szCs w:val="32"/>
        </w:rPr>
        <w:t>)</w:t>
      </w:r>
      <w:r>
        <w:rPr>
          <w:rFonts w:ascii="Times New Roman" w:hAnsi="Times New Roman" w:cs="Times New Roman" w:eastAsia="仿宋_GB2312"/>
          <w:sz w:val="32"/>
          <w:szCs w:val="32"/>
        </w:rPr>
        <w:t>、三步走</w:t>
      </w:r>
      <w:r>
        <w:rPr>
          <w:rFonts w:eastAsia="仿宋_GB2312" w:cs="Times New Roman" w:ascii="Times New Roman" w:hAnsi="Times New Roman"/>
          <w:sz w:val="32"/>
          <w:szCs w:val="32"/>
        </w:rPr>
        <w:t>(</w:t>
      </w:r>
      <w:r>
        <w:rPr>
          <w:rFonts w:ascii="Times New Roman" w:hAnsi="Times New Roman" w:cs="Times New Roman" w:eastAsia="仿宋_GB2312"/>
          <w:sz w:val="32"/>
          <w:szCs w:val="32"/>
        </w:rPr>
        <w:t>一年打基础、三年大变化、五年建成湘鄂渝边区商贸物流中心</w:t>
      </w:r>
      <w:r>
        <w:rPr>
          <w:rFonts w:eastAsia="仿宋_GB2312" w:cs="Times New Roman" w:ascii="Times New Roman" w:hAnsi="Times New Roman"/>
          <w:sz w:val="32"/>
          <w:szCs w:val="32"/>
        </w:rPr>
        <w:t>),</w:t>
      </w:r>
      <w:r>
        <w:rPr>
          <w:rFonts w:ascii="Times New Roman" w:hAnsi="Times New Roman" w:cs="Times New Roman" w:eastAsia="仿宋_GB2312"/>
          <w:sz w:val="32"/>
          <w:szCs w:val="32"/>
        </w:rPr>
        <w:t>大力实施商贸物流“</w:t>
      </w:r>
      <w:r>
        <w:rPr>
          <w:rFonts w:eastAsia="仿宋_GB2312" w:cs="Times New Roman" w:ascii="Times New Roman" w:hAnsi="Times New Roman"/>
          <w:sz w:val="32"/>
          <w:szCs w:val="32"/>
        </w:rPr>
        <w:t>1711</w:t>
      </w:r>
      <w:r>
        <w:rPr>
          <w:rFonts w:ascii="Times New Roman" w:hAnsi="Times New Roman" w:cs="Times New Roman" w:eastAsia="仿宋_GB2312"/>
          <w:sz w:val="32"/>
          <w:szCs w:val="32"/>
        </w:rPr>
        <w:t>”行动，聚焦商贸物流业关键领域和薄弱环节，以建成湘鄂渝边区商贸物流中心为目标，着力推进空间布局调优、物流园区建设、交易市场建设、配送体系完善、电子商务壮大、企业培育提升、对外贸易突破等“七大计划”，提升生产性服务业和生活性服务业质量水平。</w:t>
      </w:r>
    </w:p>
    <w:p>
      <w:pPr>
        <w:pStyle w:val="2"/>
        <w:rPr>
          <w:rFonts w:ascii="Times New Roman" w:hAnsi="Times New Roman" w:eastAsia="仿宋_GB2312" w:cs="Times New Roman"/>
          <w:b/>
          <w:b/>
          <w:bCs/>
          <w:lang w:val="zh-CN"/>
        </w:rPr>
      </w:pPr>
      <w:bookmarkStart w:id="92" w:name="_Toc82074885"/>
      <w:r>
        <w:rPr/>
        <w:t>第四节  大外贸推动计划</w:t>
      </w:r>
      <w:bookmarkEnd w:id="92"/>
    </w:p>
    <w:p>
      <w:pPr>
        <w:pStyle w:val="3"/>
        <w:ind/>
        <w:rPr>
          <w:rFonts w:ascii="Times New Roman" w:hAnsi="Times New Roman" w:eastAsia="仿宋_GB2312" w:cs="Times New Roman"/>
          <w:b/>
          <w:b/>
          <w:bCs/>
          <w:lang w:val="zh-CN"/>
        </w:rPr>
      </w:pPr>
      <w:bookmarkStart w:id="93" w:name="_Toc82074886"/>
      <w:r>
        <w:rPr/>
        <w:t>一、重点项目</w:t>
      </w:r>
      <w:bookmarkEnd w:id="93"/>
    </w:p>
    <w:p>
      <w:pPr>
        <w:pStyle w:val="Style16"/>
        <w:spacing w:lineRule="auto" w:line="360"/>
        <w:ind w:firstLineChars="200" w:firstLine="0"/>
        <w:rPr>
          <w:rFonts w:ascii="Times New Roman" w:hAnsi="Times New Roman" w:eastAsia="仿宋_GB2312" w:cs="Times New Roman"/>
          <w:sz w:val="32"/>
          <w:szCs w:val="32"/>
        </w:rPr>
      </w:pPr>
      <w:r>
        <w:rPr>
          <w:rFonts w:eastAsia="仿宋_GB2312" w:cs="Times New Roman" w:ascii="Times New Roman" w:hAnsi="Times New Roman"/>
          <w:sz w:val="32"/>
          <w:szCs w:val="32"/>
        </w:rPr>
        <w:t>1.</w:t>
      </w:r>
      <w:r>
        <w:rPr>
          <w:rFonts w:ascii="Times New Roman" w:hAnsi="Times New Roman" w:cs="Times New Roman" w:eastAsia="仿宋_GB2312"/>
          <w:sz w:val="32"/>
          <w:szCs w:val="32"/>
        </w:rPr>
        <w:t>龙山</w:t>
      </w:r>
      <w:r>
        <w:rPr>
          <w:rFonts w:eastAsia="仿宋_GB2312" w:cs="Times New Roman" w:ascii="Times New Roman" w:hAnsi="Times New Roman"/>
          <w:sz w:val="32"/>
          <w:szCs w:val="32"/>
        </w:rPr>
        <w:t>CID</w:t>
      </w:r>
      <w:r>
        <w:rPr>
          <w:rFonts w:ascii="Times New Roman" w:hAnsi="Times New Roman" w:cs="Times New Roman" w:eastAsia="仿宋_GB2312"/>
          <w:sz w:val="32"/>
          <w:szCs w:val="32"/>
        </w:rPr>
        <w:t>盖帽及电池组</w:t>
      </w:r>
      <w:r>
        <w:rPr>
          <w:rFonts w:eastAsia="仿宋_GB2312" w:cs="Times New Roman" w:ascii="Times New Roman" w:hAnsi="Times New Roman"/>
          <w:sz w:val="32"/>
          <w:szCs w:val="32"/>
        </w:rPr>
        <w:t>PACK</w:t>
      </w:r>
      <w:r>
        <w:rPr>
          <w:rFonts w:ascii="Times New Roman" w:hAnsi="Times New Roman" w:cs="Times New Roman" w:eastAsia="仿宋_GB2312"/>
          <w:sz w:val="32"/>
          <w:szCs w:val="32"/>
        </w:rPr>
        <w:t>生产及锂电池科技研发中心建设项目：规划建设</w:t>
      </w:r>
      <w:r>
        <w:rPr>
          <w:rFonts w:eastAsia="仿宋_GB2312" w:cs="Times New Roman" w:ascii="Times New Roman" w:hAnsi="Times New Roman"/>
          <w:sz w:val="32"/>
          <w:szCs w:val="32"/>
        </w:rPr>
        <w:t>CID</w:t>
      </w:r>
      <w:r>
        <w:rPr>
          <w:rFonts w:ascii="Times New Roman" w:hAnsi="Times New Roman" w:cs="Times New Roman" w:eastAsia="仿宋_GB2312"/>
          <w:sz w:val="32"/>
          <w:szCs w:val="32"/>
        </w:rPr>
        <w:t>组合帽全自动生产线</w:t>
      </w:r>
      <w:r>
        <w:rPr>
          <w:rFonts w:eastAsia="仿宋_GB2312" w:cs="Times New Roman" w:ascii="Times New Roman" w:hAnsi="Times New Roman"/>
          <w:sz w:val="32"/>
          <w:szCs w:val="32"/>
        </w:rPr>
        <w:t>20</w:t>
      </w:r>
      <w:r>
        <w:rPr>
          <w:rFonts w:ascii="Times New Roman" w:hAnsi="Times New Roman" w:cs="Times New Roman" w:eastAsia="仿宋_GB2312"/>
          <w:sz w:val="32"/>
          <w:szCs w:val="32"/>
        </w:rPr>
        <w:t>套，</w:t>
      </w:r>
      <w:r>
        <w:rPr>
          <w:rFonts w:eastAsia="仿宋_GB2312" w:cs="Times New Roman" w:ascii="Times New Roman" w:hAnsi="Times New Roman"/>
          <w:sz w:val="32"/>
          <w:szCs w:val="32"/>
        </w:rPr>
        <w:t>PACK</w:t>
      </w:r>
      <w:r>
        <w:rPr>
          <w:rFonts w:ascii="Times New Roman" w:hAnsi="Times New Roman" w:cs="Times New Roman" w:eastAsia="仿宋_GB2312"/>
          <w:sz w:val="32"/>
          <w:szCs w:val="32"/>
        </w:rPr>
        <w:t>项目组建规划日产（</w:t>
      </w:r>
      <w:r>
        <w:rPr>
          <w:rFonts w:eastAsia="仿宋_GB2312" w:cs="Times New Roman" w:ascii="Times New Roman" w:hAnsi="Times New Roman"/>
          <w:sz w:val="32"/>
          <w:szCs w:val="32"/>
        </w:rPr>
        <w:t>48V15Ah</w:t>
      </w:r>
      <w:r>
        <w:rPr>
          <w:rFonts w:ascii="Times New Roman" w:hAnsi="Times New Roman" w:cs="Times New Roman" w:eastAsia="仿宋_GB2312"/>
          <w:sz w:val="32"/>
          <w:szCs w:val="32"/>
        </w:rPr>
        <w:t>电池组）</w:t>
      </w:r>
      <w:r>
        <w:rPr>
          <w:rFonts w:eastAsia="仿宋_GB2312" w:cs="Times New Roman" w:ascii="Times New Roman" w:hAnsi="Times New Roman"/>
          <w:sz w:val="32"/>
          <w:szCs w:val="32"/>
        </w:rPr>
        <w:t>5000</w:t>
      </w:r>
      <w:r>
        <w:rPr>
          <w:rFonts w:ascii="Times New Roman" w:hAnsi="Times New Roman" w:cs="Times New Roman" w:eastAsia="仿宋_GB2312"/>
          <w:sz w:val="32"/>
          <w:szCs w:val="32"/>
        </w:rPr>
        <w:t>组生产线、</w:t>
      </w:r>
      <w:r>
        <w:rPr>
          <w:rFonts w:eastAsia="仿宋_GB2312" w:cs="Times New Roman" w:ascii="Times New Roman" w:hAnsi="Times New Roman"/>
          <w:sz w:val="32"/>
          <w:szCs w:val="32"/>
        </w:rPr>
        <w:t>2000</w:t>
      </w:r>
      <w:r>
        <w:rPr>
          <w:rFonts w:ascii="Times New Roman" w:hAnsi="Times New Roman" w:cs="Times New Roman" w:eastAsia="仿宋_GB2312"/>
          <w:sz w:val="32"/>
          <w:szCs w:val="32"/>
        </w:rPr>
        <w:t>平方米锂电池科技研发中心，配套安装产品研发、检测、生产设备。</w:t>
      </w:r>
    </w:p>
    <w:p>
      <w:pPr>
        <w:pStyle w:val="Style16"/>
        <w:spacing w:lineRule="auto" w:line="360"/>
        <w:ind w:firstLineChars="200" w:firstLine="0"/>
        <w:rPr>
          <w:rFonts w:ascii="Times New Roman" w:hAnsi="Times New Roman" w:eastAsia="仿宋_GB2312" w:cs="Times New Roman"/>
          <w:sz w:val="32"/>
          <w:szCs w:val="32"/>
        </w:rPr>
      </w:pPr>
      <w:r>
        <w:rPr>
          <w:rFonts w:eastAsia="仿宋_GB2312" w:cs="Times New Roman" w:ascii="Times New Roman" w:hAnsi="Times New Roman"/>
          <w:sz w:val="32"/>
          <w:szCs w:val="32"/>
        </w:rPr>
        <w:t>2.</w:t>
      </w:r>
      <w:r>
        <w:rPr>
          <w:rFonts w:ascii="Times New Roman" w:hAnsi="Times New Roman" w:cs="Times New Roman" w:eastAsia="仿宋_GB2312"/>
          <w:sz w:val="32"/>
          <w:szCs w:val="32"/>
        </w:rPr>
        <w:t>双沐药业中药材高效种植与绿色加工储藏生产线建设项目：改扩建生产车间</w:t>
      </w:r>
      <w:r>
        <w:rPr>
          <w:rFonts w:eastAsia="仿宋_GB2312" w:cs="Times New Roman" w:ascii="Times New Roman" w:hAnsi="Times New Roman"/>
          <w:sz w:val="32"/>
          <w:szCs w:val="32"/>
        </w:rPr>
        <w:t>1</w:t>
      </w:r>
      <w:r>
        <w:rPr>
          <w:rFonts w:ascii="Times New Roman" w:hAnsi="Times New Roman" w:cs="Times New Roman" w:eastAsia="仿宋_GB2312"/>
          <w:sz w:val="32"/>
          <w:szCs w:val="32"/>
        </w:rPr>
        <w:t>万平方米，新建研发中心</w:t>
      </w:r>
      <w:r>
        <w:rPr>
          <w:rFonts w:eastAsia="仿宋_GB2312" w:cs="Times New Roman" w:ascii="Times New Roman" w:hAnsi="Times New Roman"/>
          <w:sz w:val="32"/>
          <w:szCs w:val="32"/>
        </w:rPr>
        <w:t>3500</w:t>
      </w:r>
      <w:r>
        <w:rPr>
          <w:rFonts w:ascii="Times New Roman" w:hAnsi="Times New Roman" w:cs="Times New Roman" w:eastAsia="仿宋_GB2312"/>
          <w:sz w:val="32"/>
          <w:szCs w:val="32"/>
        </w:rPr>
        <w:t>平方米，改造生产线</w:t>
      </w:r>
      <w:r>
        <w:rPr>
          <w:rFonts w:eastAsia="仿宋_GB2312" w:cs="Times New Roman" w:ascii="Times New Roman" w:hAnsi="Times New Roman"/>
          <w:sz w:val="32"/>
          <w:szCs w:val="32"/>
        </w:rPr>
        <w:t>4</w:t>
      </w:r>
      <w:r>
        <w:rPr>
          <w:rFonts w:ascii="Times New Roman" w:hAnsi="Times New Roman" w:cs="Times New Roman" w:eastAsia="仿宋_GB2312"/>
          <w:sz w:val="32"/>
          <w:szCs w:val="32"/>
        </w:rPr>
        <w:t>条，建设高效种植基地</w:t>
      </w:r>
      <w:r>
        <w:rPr>
          <w:rFonts w:eastAsia="仿宋_GB2312" w:cs="Times New Roman" w:ascii="Times New Roman" w:hAnsi="Times New Roman"/>
          <w:sz w:val="32"/>
          <w:szCs w:val="32"/>
        </w:rPr>
        <w:t>2000</w:t>
      </w:r>
      <w:r>
        <w:rPr>
          <w:rFonts w:ascii="Times New Roman" w:hAnsi="Times New Roman" w:cs="Times New Roman" w:eastAsia="仿宋_GB2312"/>
          <w:sz w:val="32"/>
          <w:szCs w:val="32"/>
        </w:rPr>
        <w:t>亩。</w:t>
      </w:r>
    </w:p>
    <w:p>
      <w:pPr>
        <w:pStyle w:val="Style16"/>
        <w:spacing w:lineRule="auto" w:line="360"/>
        <w:ind w:firstLineChars="200" w:firstLine="0"/>
        <w:rPr>
          <w:rFonts w:ascii="Times New Roman" w:hAnsi="Times New Roman" w:eastAsia="仿宋_GB2312" w:cs="Times New Roman"/>
          <w:sz w:val="32"/>
          <w:szCs w:val="32"/>
        </w:rPr>
      </w:pPr>
      <w:r>
        <w:rPr>
          <w:rFonts w:eastAsia="仿宋_GB2312" w:cs="Times New Roman" w:ascii="Times New Roman" w:hAnsi="Times New Roman"/>
          <w:sz w:val="32"/>
          <w:szCs w:val="32"/>
        </w:rPr>
        <w:t>3.</w:t>
      </w:r>
      <w:r>
        <w:rPr>
          <w:rFonts w:ascii="Times New Roman" w:hAnsi="Times New Roman" w:cs="Times New Roman" w:eastAsia="仿宋_GB2312"/>
          <w:sz w:val="32"/>
          <w:szCs w:val="32"/>
        </w:rPr>
        <w:t>冠美美发用品生产销售项目：投资</w:t>
      </w:r>
      <w:r>
        <w:rPr>
          <w:rFonts w:eastAsia="仿宋_GB2312" w:cs="Times New Roman" w:ascii="Times New Roman" w:hAnsi="Times New Roman"/>
          <w:sz w:val="32"/>
          <w:szCs w:val="32"/>
        </w:rPr>
        <w:t>5000</w:t>
      </w:r>
      <w:r>
        <w:rPr>
          <w:rFonts w:ascii="Times New Roman" w:hAnsi="Times New Roman" w:cs="Times New Roman" w:eastAsia="仿宋_GB2312"/>
          <w:sz w:val="32"/>
          <w:szCs w:val="32"/>
        </w:rPr>
        <w:t>万元，改扩建生产车间</w:t>
      </w:r>
      <w:r>
        <w:rPr>
          <w:rFonts w:eastAsia="仿宋_GB2312" w:cs="Times New Roman" w:ascii="Times New Roman" w:hAnsi="Times New Roman"/>
          <w:sz w:val="32"/>
          <w:szCs w:val="32"/>
        </w:rPr>
        <w:t>4790</w:t>
      </w:r>
      <w:r>
        <w:rPr>
          <w:rFonts w:ascii="Times New Roman" w:hAnsi="Times New Roman" w:cs="Times New Roman" w:eastAsia="仿宋_GB2312"/>
          <w:sz w:val="32"/>
          <w:szCs w:val="32"/>
        </w:rPr>
        <w:t>平方米，</w:t>
      </w:r>
      <w:r>
        <w:rPr>
          <w:rFonts w:eastAsia="仿宋_GB2312" w:cs="Times New Roman" w:ascii="Times New Roman" w:hAnsi="Times New Roman"/>
          <w:sz w:val="32"/>
          <w:szCs w:val="32"/>
        </w:rPr>
        <w:t>4</w:t>
      </w:r>
      <w:r>
        <w:rPr>
          <w:rFonts w:ascii="Times New Roman" w:hAnsi="Times New Roman" w:cs="Times New Roman" w:eastAsia="仿宋_GB2312"/>
          <w:sz w:val="32"/>
          <w:szCs w:val="32"/>
        </w:rPr>
        <w:t>条生产线，建设假发美发制品项目。</w:t>
      </w:r>
    </w:p>
    <w:p>
      <w:pPr>
        <w:pStyle w:val="Style16"/>
        <w:spacing w:lineRule="auto" w:line="360"/>
        <w:ind w:firstLineChars="200" w:firstLine="0"/>
        <w:rPr>
          <w:rFonts w:ascii="Times New Roman" w:hAnsi="Times New Roman" w:eastAsia="仿宋_GB2312" w:cs="Times New Roman"/>
          <w:sz w:val="32"/>
          <w:szCs w:val="32"/>
        </w:rPr>
      </w:pPr>
      <w:r>
        <w:rPr>
          <w:rFonts w:eastAsia="仿宋_GB2312" w:cs="Times New Roman" w:ascii="Times New Roman" w:hAnsi="Times New Roman"/>
          <w:sz w:val="32"/>
          <w:szCs w:val="32"/>
        </w:rPr>
        <w:t>4.</w:t>
      </w:r>
      <w:r>
        <w:rPr>
          <w:rFonts w:ascii="Times New Roman" w:hAnsi="Times New Roman" w:cs="Times New Roman" w:eastAsia="仿宋_GB2312"/>
          <w:sz w:val="32"/>
          <w:szCs w:val="32"/>
        </w:rPr>
        <w:t>盛泰制衣品牌服饰加工生产项目：总投资</w:t>
      </w:r>
      <w:r>
        <w:rPr>
          <w:rFonts w:eastAsia="仿宋_GB2312" w:cs="Times New Roman" w:ascii="Times New Roman" w:hAnsi="Times New Roman"/>
          <w:sz w:val="32"/>
          <w:szCs w:val="32"/>
        </w:rPr>
        <w:t>1</w:t>
      </w:r>
      <w:r>
        <w:rPr>
          <w:rFonts w:ascii="Times New Roman" w:hAnsi="Times New Roman" w:cs="Times New Roman" w:eastAsia="仿宋_GB2312"/>
          <w:sz w:val="32"/>
          <w:szCs w:val="32"/>
        </w:rPr>
        <w:t>亿元人民币，分两期建设。一期：厂房约</w:t>
      </w:r>
      <w:r>
        <w:rPr>
          <w:rFonts w:eastAsia="仿宋_GB2312" w:cs="Times New Roman" w:ascii="Times New Roman" w:hAnsi="Times New Roman"/>
          <w:sz w:val="32"/>
          <w:szCs w:val="32"/>
        </w:rPr>
        <w:t>8000</w:t>
      </w:r>
      <w:r>
        <w:rPr>
          <w:rFonts w:ascii="Times New Roman" w:hAnsi="Times New Roman" w:cs="Times New Roman" w:eastAsia="仿宋_GB2312"/>
          <w:sz w:val="32"/>
          <w:szCs w:val="32"/>
        </w:rPr>
        <w:t>平方米，用工规模达到</w:t>
      </w:r>
      <w:r>
        <w:rPr>
          <w:rFonts w:eastAsia="仿宋_GB2312" w:cs="Times New Roman" w:ascii="Times New Roman" w:hAnsi="Times New Roman"/>
          <w:sz w:val="32"/>
          <w:szCs w:val="32"/>
        </w:rPr>
        <w:t>500</w:t>
      </w:r>
      <w:r>
        <w:rPr>
          <w:rFonts w:ascii="Times New Roman" w:hAnsi="Times New Roman" w:cs="Times New Roman" w:eastAsia="仿宋_GB2312"/>
          <w:sz w:val="32"/>
          <w:szCs w:val="32"/>
        </w:rPr>
        <w:t>人，投资额不少于</w:t>
      </w:r>
      <w:r>
        <w:rPr>
          <w:rFonts w:eastAsia="仿宋_GB2312" w:cs="Times New Roman" w:ascii="Times New Roman" w:hAnsi="Times New Roman"/>
          <w:sz w:val="32"/>
          <w:szCs w:val="32"/>
        </w:rPr>
        <w:t>2000</w:t>
      </w:r>
      <w:r>
        <w:rPr>
          <w:rFonts w:ascii="Times New Roman" w:hAnsi="Times New Roman" w:cs="Times New Roman" w:eastAsia="仿宋_GB2312"/>
          <w:sz w:val="32"/>
          <w:szCs w:val="32"/>
        </w:rPr>
        <w:t>万元；二期：用工规模达到</w:t>
      </w:r>
      <w:r>
        <w:rPr>
          <w:rFonts w:eastAsia="仿宋_GB2312" w:cs="Times New Roman" w:ascii="Times New Roman" w:hAnsi="Times New Roman"/>
          <w:sz w:val="32"/>
          <w:szCs w:val="32"/>
        </w:rPr>
        <w:t>2000</w:t>
      </w:r>
      <w:r>
        <w:rPr>
          <w:rFonts w:ascii="Times New Roman" w:hAnsi="Times New Roman" w:cs="Times New Roman" w:eastAsia="仿宋_GB2312"/>
          <w:sz w:val="32"/>
          <w:szCs w:val="32"/>
        </w:rPr>
        <w:t>人时，生产厂区扩大到</w:t>
      </w:r>
      <w:r>
        <w:rPr>
          <w:rFonts w:eastAsia="仿宋_GB2312" w:cs="Times New Roman" w:ascii="Times New Roman" w:hAnsi="Times New Roman"/>
          <w:sz w:val="32"/>
          <w:szCs w:val="32"/>
        </w:rPr>
        <w:t>30000</w:t>
      </w:r>
      <w:r>
        <w:rPr>
          <w:rFonts w:ascii="Times New Roman" w:hAnsi="Times New Roman" w:cs="Times New Roman" w:eastAsia="仿宋_GB2312"/>
          <w:sz w:val="32"/>
          <w:szCs w:val="32"/>
        </w:rPr>
        <w:t>平方米，投资额不少于</w:t>
      </w:r>
      <w:r>
        <w:rPr>
          <w:rFonts w:eastAsia="仿宋_GB2312" w:cs="Times New Roman" w:ascii="Times New Roman" w:hAnsi="Times New Roman"/>
          <w:sz w:val="32"/>
          <w:szCs w:val="32"/>
        </w:rPr>
        <w:t>8000</w:t>
      </w:r>
      <w:r>
        <w:rPr>
          <w:rFonts w:ascii="Times New Roman" w:hAnsi="Times New Roman" w:cs="Times New Roman" w:eastAsia="仿宋_GB2312"/>
          <w:sz w:val="32"/>
          <w:szCs w:val="32"/>
        </w:rPr>
        <w:t>万元。整个厂区设立研发、裁床、车缝、印花、绣花、整理、包装等数字化、智能化和自动化服饰生产线。</w:t>
      </w:r>
    </w:p>
    <w:p>
      <w:pPr>
        <w:pStyle w:val="3"/>
        <w:ind/>
        <w:rPr>
          <w:rFonts w:ascii="Times New Roman" w:hAnsi="Times New Roman" w:eastAsia="仿宋_GB2312" w:cs="Times New Roman"/>
          <w:b/>
          <w:b/>
          <w:bCs/>
          <w:lang w:val="zh-CN"/>
        </w:rPr>
      </w:pPr>
      <w:bookmarkStart w:id="94" w:name="_Toc82074887"/>
      <w:r>
        <w:rPr/>
        <w:t>二、主要措施</w:t>
      </w:r>
      <w:bookmarkEnd w:id="94"/>
    </w:p>
    <w:p>
      <w:pPr>
        <w:pStyle w:val="Style16"/>
        <w:spacing w:lineRule="auto" w:line="360"/>
        <w:ind w:firstLineChars="200" w:firstLine="0"/>
        <w:rPr>
          <w:rFonts w:ascii="Times New Roman" w:hAnsi="Times New Roman" w:eastAsia="仿宋_GB2312" w:cs="Times New Roman"/>
          <w:sz w:val="32"/>
          <w:szCs w:val="32"/>
        </w:rPr>
      </w:pPr>
      <w:r>
        <w:rPr>
          <w:rFonts w:eastAsia="仿宋_GB2312" w:cs="Times New Roman" w:ascii="Times New Roman" w:hAnsi="Times New Roman"/>
          <w:sz w:val="32"/>
          <w:szCs w:val="32"/>
        </w:rPr>
        <w:t>1.</w:t>
      </w:r>
      <w:r>
        <w:rPr>
          <w:rFonts w:ascii="Times New Roman" w:hAnsi="Times New Roman" w:cs="Times New Roman" w:eastAsia="仿宋_GB2312"/>
          <w:sz w:val="32"/>
          <w:szCs w:val="32"/>
        </w:rPr>
        <w:t>提高利用外资质量和水平</w:t>
      </w:r>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根据龙山县产业发展战略，以引入战略性新兴产业与提升传统优势产业作为招商引资的战略定位，围绕每个产业的重点发展环节，创新招商选资方式，扩大各类</w:t>
      </w:r>
      <w:r>
        <w:rPr>
          <w:rFonts w:eastAsia="仿宋_GB2312" w:cs="Times New Roman" w:ascii="Times New Roman" w:hAnsi="Times New Roman"/>
          <w:sz w:val="32"/>
          <w:szCs w:val="32"/>
        </w:rPr>
        <w:t>500</w:t>
      </w:r>
      <w:r>
        <w:rPr>
          <w:rFonts w:ascii="Times New Roman" w:hAnsi="Times New Roman" w:cs="Times New Roman" w:eastAsia="仿宋_GB2312"/>
          <w:sz w:val="32"/>
          <w:szCs w:val="32"/>
        </w:rPr>
        <w:t>强及大型跨国公司引资增资，提高利用外资质量和水平。</w:t>
      </w:r>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一是促进外资与传统产业的嫁接。实施信息化带动战略，引导优势外资企业的高新技术、先进适用技术、现代管理技术与传统产业嫁接，鼓励支持纺织服装、有色金属及制品、家具、食品饮料等传统产业与优势外资企业合作，提升产业装备水平，提升研发创新能力，提高产品质量，建立健全全球营销体系，打造一批龙头企业、名牌产品和驰名商标，推进产业链条向附加值高端延伸，实现传统产业转型。</w:t>
      </w:r>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二是扩大各类</w:t>
      </w:r>
      <w:r>
        <w:rPr>
          <w:rFonts w:eastAsia="仿宋_GB2312" w:cs="Times New Roman" w:ascii="Times New Roman" w:hAnsi="Times New Roman"/>
          <w:sz w:val="32"/>
          <w:szCs w:val="32"/>
        </w:rPr>
        <w:t>500</w:t>
      </w:r>
      <w:r>
        <w:rPr>
          <w:rFonts w:ascii="Times New Roman" w:hAnsi="Times New Roman" w:cs="Times New Roman" w:eastAsia="仿宋_GB2312"/>
          <w:sz w:val="32"/>
          <w:szCs w:val="32"/>
        </w:rPr>
        <w:t>强及大型跨国公司的引资增资。紧紧围绕龙山县构建现代化产业体系的部署，贯彻“龙头项目－产业链－产业集群”的招商策略，针对优势产业、先进制造业、战略性新兴产业、现代服务业，建立大型跨国公司专项招商工作机制，加强与大型跨国公司沟通合作，积极引进有助于培育新兴产业、加快形成产业链和产业集群的优质投资项目，扩大大型跨国公司的引资增资。</w:t>
      </w:r>
    </w:p>
    <w:p>
      <w:pPr>
        <w:pStyle w:val="Style16"/>
        <w:spacing w:lineRule="auto" w:line="360"/>
        <w:ind w:firstLineChars="200" w:firstLine="0"/>
        <w:rPr>
          <w:rFonts w:ascii="Times New Roman" w:hAnsi="Times New Roman" w:eastAsia="仿宋_GB2312" w:cs="Times New Roman"/>
          <w:sz w:val="32"/>
          <w:szCs w:val="32"/>
        </w:rPr>
      </w:pPr>
      <w:r>
        <w:rPr>
          <w:rFonts w:eastAsia="仿宋_GB2312" w:cs="Times New Roman" w:ascii="Times New Roman" w:hAnsi="Times New Roman"/>
          <w:sz w:val="32"/>
          <w:szCs w:val="32"/>
        </w:rPr>
        <w:t>2.</w:t>
      </w:r>
      <w:r>
        <w:rPr>
          <w:rFonts w:ascii="Times New Roman" w:hAnsi="Times New Roman" w:cs="Times New Roman" w:eastAsia="仿宋_GB2312"/>
          <w:sz w:val="32"/>
          <w:szCs w:val="32"/>
        </w:rPr>
        <w:t>提高对外贸易国际竞争力</w:t>
      </w:r>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主动顺应国际贸易和国际市场的变化趋势，坚持对外贸易机制和方式创新，优化进出口贸易结构，加快转变外贸增长方式，促进加工贸易转型升级，巩固开拓国际市场，促进进出口平稳增长。</w:t>
      </w:r>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一是优化贸易结构。大力优化贸易结构，在继续保证进出口贸易快速增长的前提下，不断扩大一般贸易比重，鼓励和支持拥有自主知识产权、自主品牌、自主营销和高技术含量、高附加值、高效益产品的企业扩大出口，提高出口企业效益和竞争力。加大先进装备和关键技术的引进力度，促进企业生产技术和工艺改造和创新，增强对外贸易的竞争力，实现内外源经济协调发展。</w:t>
      </w:r>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二是提升自主品牌国际竞争力。引导传统优势出口企业加强自主品牌产品出口的建设，不断提高自主品牌产品技术含量。支持企业在国外注册商标、出国</w:t>
      </w:r>
      <w:r>
        <w:rPr>
          <w:rFonts w:eastAsia="仿宋_GB2312" w:cs="Times New Roman" w:ascii="Times New Roman" w:hAnsi="Times New Roman"/>
          <w:sz w:val="32"/>
          <w:szCs w:val="32"/>
        </w:rPr>
        <w:t>(</w:t>
      </w:r>
      <w:r>
        <w:rPr>
          <w:rFonts w:ascii="Times New Roman" w:hAnsi="Times New Roman" w:cs="Times New Roman" w:eastAsia="仿宋_GB2312"/>
          <w:sz w:val="32"/>
          <w:szCs w:val="32"/>
        </w:rPr>
        <w:t>境</w:t>
      </w:r>
      <w:r>
        <w:rPr>
          <w:rFonts w:eastAsia="仿宋_GB2312" w:cs="Times New Roman" w:ascii="Times New Roman" w:hAnsi="Times New Roman"/>
          <w:sz w:val="32"/>
          <w:szCs w:val="32"/>
        </w:rPr>
        <w:t>)</w:t>
      </w:r>
      <w:r>
        <w:rPr>
          <w:rFonts w:ascii="Times New Roman" w:hAnsi="Times New Roman" w:cs="Times New Roman" w:eastAsia="仿宋_GB2312"/>
          <w:sz w:val="32"/>
          <w:szCs w:val="32"/>
        </w:rPr>
        <w:t>参展、在目标市场宣传推广、设立境外营销和售后服务机构，提升自主品牌国际知名度。鼓励收购兼并国外品牌。大力推动民营企业与外资开展营销合作、品牌合作、技术合作，推动民营企业承接加工贸易，进入跨国公司全球生产体系，扩大龙山自主品牌产品国际市场份额，实现规模化、国际化发展。</w:t>
      </w:r>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三是开拓多元化国际市场。努力开拓国际市场，构建国别市场多元化、专业市场多元化、媒介市场多元化格局。鼓励企业通过贸易推介、组展参展、组织行业交流及设立海外营销网络等多种方式，构建国际营销网络体系。鼓励出口企业与跨国公司合作，进入跨国公司的全球供应和采购体系，借力开拓国际市场。利用中国东盟自贸区平台，开拓周边国家和地区的国际市场。</w:t>
      </w:r>
    </w:p>
    <w:p>
      <w:pPr>
        <w:pStyle w:val="2"/>
        <w:rPr>
          <w:rFonts w:ascii="Times New Roman" w:hAnsi="Times New Roman" w:eastAsia="仿宋_GB2312" w:cs="Times New Roman"/>
          <w:b/>
          <w:b/>
          <w:bCs/>
          <w:lang w:val="zh-CN"/>
        </w:rPr>
      </w:pPr>
      <w:bookmarkStart w:id="95" w:name="_Toc82074888"/>
      <w:r>
        <w:rPr/>
        <w:t>第五节  大电商培育工程</w:t>
      </w:r>
      <w:bookmarkEnd w:id="95"/>
    </w:p>
    <w:p>
      <w:pPr>
        <w:pStyle w:val="3"/>
        <w:ind/>
        <w:rPr>
          <w:rFonts w:ascii="Times New Roman" w:hAnsi="Times New Roman" w:eastAsia="仿宋_GB2312" w:cs="Times New Roman"/>
          <w:b/>
          <w:b/>
          <w:bCs/>
          <w:lang w:val="zh-CN"/>
        </w:rPr>
      </w:pPr>
      <w:bookmarkStart w:id="96" w:name="_Toc82074889"/>
      <w:r>
        <w:rPr/>
        <w:t>一、重点项目</w:t>
      </w:r>
      <w:bookmarkEnd w:id="96"/>
    </w:p>
    <w:p>
      <w:pPr>
        <w:pStyle w:val="Style16"/>
        <w:spacing w:lineRule="auto" w:line="360"/>
        <w:ind w:firstLineChars="200" w:firstLine="0"/>
        <w:rPr>
          <w:rFonts w:ascii="Times New Roman" w:hAnsi="Times New Roman" w:eastAsia="仿宋_GB2312" w:cs="Times New Roman"/>
          <w:sz w:val="32"/>
          <w:szCs w:val="32"/>
        </w:rPr>
      </w:pPr>
      <w:r>
        <w:rPr>
          <w:rFonts w:eastAsia="仿宋_GB2312" w:cs="Times New Roman" w:ascii="Times New Roman" w:hAnsi="Times New Roman"/>
          <w:sz w:val="32"/>
          <w:szCs w:val="32"/>
        </w:rPr>
        <w:t>1.</w:t>
      </w:r>
      <w:r>
        <w:rPr>
          <w:rFonts w:ascii="Times New Roman" w:hAnsi="Times New Roman" w:cs="Times New Roman" w:eastAsia="仿宋_GB2312"/>
          <w:sz w:val="32"/>
          <w:szCs w:val="32"/>
        </w:rPr>
        <w:t>电子商务进农村综合示范县建设项目：围绕县级电商服务中心、乡村服务站体系、物流配送体系、供应链体系、营销体系、人才培育体系等六个方面进行示范县建设。</w:t>
      </w:r>
    </w:p>
    <w:p>
      <w:pPr>
        <w:pStyle w:val="Style16"/>
        <w:spacing w:lineRule="auto" w:line="360"/>
        <w:ind w:firstLineChars="200" w:firstLine="0"/>
        <w:rPr>
          <w:rFonts w:ascii="Times New Roman" w:hAnsi="Times New Roman" w:eastAsia="仿宋_GB2312" w:cs="Times New Roman"/>
          <w:sz w:val="32"/>
          <w:szCs w:val="32"/>
        </w:rPr>
      </w:pPr>
      <w:r>
        <w:rPr>
          <w:rFonts w:eastAsia="仿宋_GB2312" w:cs="Times New Roman" w:ascii="Times New Roman" w:hAnsi="Times New Roman"/>
          <w:sz w:val="32"/>
          <w:szCs w:val="32"/>
        </w:rPr>
        <w:t>2.</w:t>
      </w:r>
      <w:r>
        <w:rPr>
          <w:rFonts w:ascii="Times New Roman" w:hAnsi="Times New Roman" w:cs="Times New Roman" w:eastAsia="仿宋_GB2312"/>
          <w:sz w:val="32"/>
          <w:szCs w:val="32"/>
        </w:rPr>
        <w:t>龙山龙凤电商产业园建设项目：规划建设占地约</w:t>
      </w:r>
      <w:r>
        <w:rPr>
          <w:rFonts w:eastAsia="仿宋_GB2312" w:cs="Times New Roman" w:ascii="Times New Roman" w:hAnsi="Times New Roman"/>
          <w:sz w:val="32"/>
          <w:szCs w:val="32"/>
        </w:rPr>
        <w:t>1500</w:t>
      </w:r>
      <w:r>
        <w:rPr>
          <w:rFonts w:ascii="Times New Roman" w:hAnsi="Times New Roman" w:cs="Times New Roman" w:eastAsia="仿宋_GB2312"/>
          <w:sz w:val="32"/>
          <w:szCs w:val="32"/>
        </w:rPr>
        <w:t>亩，建设集会展交易、企业孵化、物流配送、冷链仓储、产业服务、博览旅游、综合配套、住宅等多功能、现代化的商业广场。</w:t>
      </w:r>
    </w:p>
    <w:p>
      <w:pPr>
        <w:pStyle w:val="3"/>
        <w:ind/>
        <w:rPr>
          <w:rFonts w:ascii="Times New Roman" w:hAnsi="Times New Roman" w:eastAsia="仿宋_GB2312" w:cs="Times New Roman"/>
          <w:b/>
          <w:b/>
          <w:bCs/>
          <w:lang w:val="zh-CN"/>
        </w:rPr>
      </w:pPr>
      <w:bookmarkStart w:id="97" w:name="_Toc82074890"/>
      <w:r>
        <w:rPr/>
        <w:t>二、主要措施</w:t>
      </w:r>
      <w:bookmarkEnd w:id="97"/>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为构建“网络化、数字化、智能化”三位一体的现代电子商务体系，大力支持电子商务平台、电子商务企业、电子商务园区和农村电子商务等市场主体的发展，充分发挥“互联网</w:t>
      </w:r>
      <w:r>
        <w:rPr>
          <w:rFonts w:eastAsia="仿宋_GB2312" w:cs="Times New Roman" w:ascii="Times New Roman" w:hAnsi="Times New Roman"/>
          <w:sz w:val="32"/>
          <w:szCs w:val="32"/>
        </w:rPr>
        <w:t>+</w:t>
      </w:r>
      <w:r>
        <w:rPr>
          <w:rFonts w:ascii="Times New Roman" w:hAnsi="Times New Roman" w:cs="Times New Roman" w:eastAsia="仿宋_GB2312"/>
          <w:sz w:val="32"/>
          <w:szCs w:val="32"/>
        </w:rPr>
        <w:t>”在生产要素配置中的优化和集成作用，增强龙山电子商务的市场竞争力。围绕电子商务市场主体建设、新业态新模式、要素市场、创新环境治理等</w:t>
      </w:r>
      <w:r>
        <w:rPr>
          <w:rFonts w:eastAsia="仿宋_GB2312" w:cs="Times New Roman" w:ascii="Times New Roman" w:hAnsi="Times New Roman"/>
          <w:sz w:val="32"/>
          <w:szCs w:val="32"/>
        </w:rPr>
        <w:t>4</w:t>
      </w:r>
      <w:r>
        <w:rPr>
          <w:rFonts w:ascii="Times New Roman" w:hAnsi="Times New Roman" w:cs="Times New Roman" w:eastAsia="仿宋_GB2312"/>
          <w:sz w:val="32"/>
          <w:szCs w:val="32"/>
        </w:rPr>
        <w:t>方面工作，部署以下重点发展措施。</w:t>
      </w:r>
    </w:p>
    <w:p>
      <w:pPr>
        <w:pStyle w:val="Style16"/>
        <w:spacing w:lineRule="auto" w:line="360"/>
        <w:ind w:firstLineChars="200" w:firstLine="0"/>
        <w:rPr>
          <w:rFonts w:ascii="Times New Roman" w:hAnsi="Times New Roman" w:eastAsia="仿宋_GB2312" w:cs="Times New Roman"/>
          <w:sz w:val="32"/>
          <w:szCs w:val="32"/>
        </w:rPr>
      </w:pPr>
      <w:r>
        <w:rPr>
          <w:rFonts w:eastAsia="仿宋_GB2312" w:cs="Times New Roman" w:ascii="Times New Roman" w:hAnsi="Times New Roman"/>
          <w:sz w:val="32"/>
          <w:szCs w:val="32"/>
        </w:rPr>
        <w:t>1.</w:t>
      </w:r>
      <w:r>
        <w:rPr>
          <w:rFonts w:ascii="Times New Roman" w:hAnsi="Times New Roman" w:cs="Times New Roman" w:eastAsia="仿宋_GB2312"/>
          <w:sz w:val="32"/>
          <w:szCs w:val="32"/>
        </w:rPr>
        <w:t>电子商务市场主体信息化建设工作：搞好园区顶层设计，促进园区合作模式多层次发展，高标准建设电子商务产业园区。建设好电子商务统计监测平台建设、电子商务区域特色品牌建设、电子商务平台优势资源整合等平台，促进电子商务服务平台发展。</w:t>
      </w:r>
    </w:p>
    <w:p>
      <w:pPr>
        <w:pStyle w:val="Style16"/>
        <w:spacing w:lineRule="auto" w:line="360"/>
        <w:ind w:firstLineChars="200" w:firstLine="0"/>
        <w:rPr>
          <w:rFonts w:ascii="Times New Roman" w:hAnsi="Times New Roman" w:eastAsia="仿宋_GB2312" w:cs="Times New Roman"/>
          <w:sz w:val="32"/>
          <w:szCs w:val="32"/>
        </w:rPr>
      </w:pPr>
      <w:r>
        <w:rPr>
          <w:rFonts w:eastAsia="仿宋_GB2312" w:cs="Times New Roman" w:ascii="Times New Roman" w:hAnsi="Times New Roman"/>
          <w:sz w:val="32"/>
          <w:szCs w:val="32"/>
        </w:rPr>
        <w:t>2.</w:t>
      </w:r>
      <w:r>
        <w:rPr>
          <w:rFonts w:ascii="Times New Roman" w:hAnsi="Times New Roman" w:cs="Times New Roman" w:eastAsia="仿宋_GB2312"/>
          <w:sz w:val="32"/>
          <w:szCs w:val="32"/>
        </w:rPr>
        <w:t>电子商务新模式与新业态培育工作：着力推动新业态融合发展，重点推动制造业与电子商务融合发展，大力促进电子商务服务民生工程建设，引导区域电子商务模式创新发展；积极支持跨境电子商务发展，借鉴跨境电子商务综合试验区发展经验，鼓励和引导跨境电子商务主体对接合作，推动跨境电子商务供应链一体化发展；创新电子商务精准帮扶模式，助推电商进农村综合示范建设，融合数字电商振兴农村发展，充分发展电子商务推动乡村振兴发展的作用。</w:t>
      </w:r>
    </w:p>
    <w:p>
      <w:pPr>
        <w:pStyle w:val="Style16"/>
        <w:spacing w:lineRule="auto" w:line="360"/>
        <w:ind w:firstLineChars="200" w:firstLine="0"/>
        <w:rPr>
          <w:rFonts w:ascii="Times New Roman" w:hAnsi="Times New Roman" w:eastAsia="仿宋_GB2312" w:cs="Times New Roman"/>
          <w:sz w:val="32"/>
          <w:szCs w:val="32"/>
        </w:rPr>
      </w:pPr>
      <w:r>
        <w:rPr>
          <w:rFonts w:eastAsia="仿宋_GB2312" w:cs="Times New Roman" w:ascii="Times New Roman" w:hAnsi="Times New Roman"/>
          <w:sz w:val="32"/>
          <w:szCs w:val="32"/>
        </w:rPr>
        <w:t>3.</w:t>
      </w:r>
      <w:r>
        <w:rPr>
          <w:rFonts w:ascii="Times New Roman" w:hAnsi="Times New Roman" w:cs="Times New Roman" w:eastAsia="仿宋_GB2312"/>
          <w:sz w:val="32"/>
          <w:szCs w:val="32"/>
        </w:rPr>
        <w:t>电子商务要素市场发展工作：加快推动电子商务人才培育计划，通过建立电子商务人才“点对点”合作模式，进一步优化电子商务企业人才管理，创新电子商务人才培育模式；大力推动电子商务物流体系建设，大幅提升电子商务物流配套设施效率，加快实现农村物流双向并轨统筹发展；积极推动电子商务金融服务和科技创新发展。</w:t>
      </w:r>
      <w:r>
        <w:br w:type="page"/>
      </w:r>
    </w:p>
    <w:p>
      <w:pPr>
        <w:pStyle w:val="1"/>
        <w:rPr>
          <w:rFonts w:ascii="Times New Roman" w:hAnsi="Times New Roman" w:eastAsia="仿宋_GB2312" w:cs="Times New Roman"/>
          <w:b/>
          <w:b/>
          <w:bCs/>
          <w:lang w:val="zh-CN"/>
        </w:rPr>
      </w:pPr>
      <w:bookmarkStart w:id="98" w:name="_Toc82074891"/>
      <w:bookmarkStart w:id="99" w:name="_Toc46750256"/>
      <w:r>
        <w:rPr/>
        <w:t>第六章  保障措施</w:t>
      </w:r>
      <w:bookmarkEnd w:id="98"/>
      <w:bookmarkEnd w:id="99"/>
    </w:p>
    <w:p>
      <w:pPr>
        <w:pStyle w:val="2"/>
        <w:rPr>
          <w:rFonts w:ascii="Times New Roman" w:hAnsi="Times New Roman" w:eastAsia="仿宋_GB2312" w:cs="Times New Roman"/>
          <w:b/>
          <w:b/>
          <w:bCs/>
          <w:lang w:val="zh-CN"/>
        </w:rPr>
      </w:pPr>
      <w:bookmarkStart w:id="100" w:name="_Toc82074892"/>
      <w:bookmarkStart w:id="101" w:name="_Toc46750257"/>
      <w:r>
        <w:rPr/>
        <w:t>第一节  强化规划引领</w:t>
      </w:r>
      <w:bookmarkEnd w:id="100"/>
      <w:bookmarkEnd w:id="101"/>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坚持把高标准规划作为前提和基础，贯穿全县商务发展的全过程。协调解决商务发展规划与地方国土空间规划、交通发展规划、城市道路建设规划、文旅规划和古城保护规划等的相互关系，使各个规划能够相互衔接，真正发挥规划引领作用，推动功能集合构建、要素集约利用、企业集中布局、产业集群发展，把规划延伸到商务发展的每个方面、覆盖到每个地方，确保一张蓝图绘到底，形成一盘棋的发展格局，促进全县商务和外向型经济科学发展。强化部门协作，强化商务与自然资源、交通、文旅等部门间的协调，形成贸易流通与产业和城市发展、交通建设、文旅开发之间的联动发展机制。加大要素保障力度，对重点企业的融资需求做好银企对接服务，加快完善金融服务体系；同时确保人力资源、土地、用水、用电等保障到位。</w:t>
      </w:r>
    </w:p>
    <w:p>
      <w:pPr>
        <w:pStyle w:val="2"/>
        <w:rPr>
          <w:rFonts w:ascii="Times New Roman" w:hAnsi="Times New Roman" w:eastAsia="仿宋_GB2312" w:cs="Times New Roman"/>
          <w:b/>
          <w:b/>
          <w:bCs/>
          <w:lang w:val="zh-CN"/>
        </w:rPr>
      </w:pPr>
      <w:bookmarkStart w:id="102" w:name="_Toc82074893"/>
      <w:bookmarkStart w:id="103" w:name="_Toc46750258"/>
      <w:r>
        <w:rPr/>
        <w:t>第二节  加强政策保障</w:t>
      </w:r>
      <w:bookmarkEnd w:id="102"/>
      <w:bookmarkEnd w:id="103"/>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县财政每年安排专项资金，重点对规划设计、基础设施、宣传、举办活动等给予奖补，具体使用办法由县商务局、县财政局研究确定。根据工作实际，在商贸物流建设、特色商业街区发展、招商引资方面给予政策支持和适当的财政资金扶持。积极发挥政府在规划布局、政策支持、建设管理、优化环境、提供服务、督促检查等方面的引导作用。鼓励社会资本参与特色商业街区、商务网点及仓储物流的建设，不断提升商贸物流的知名度和拉动作用，促进商务创新发展、可持续发展。积极争取省、市资金，加强部门协作，共同搭建推进全县商务建设平台，创造良好的营商环境。</w:t>
      </w:r>
    </w:p>
    <w:p>
      <w:pPr>
        <w:pStyle w:val="2"/>
        <w:rPr>
          <w:rFonts w:ascii="Times New Roman" w:hAnsi="Times New Roman" w:eastAsia="仿宋_GB2312" w:cs="Times New Roman"/>
          <w:b/>
          <w:b/>
          <w:bCs/>
          <w:lang w:val="zh-CN"/>
        </w:rPr>
      </w:pPr>
      <w:bookmarkStart w:id="104" w:name="_Toc82074894"/>
      <w:bookmarkStart w:id="105" w:name="_Toc46750259"/>
      <w:r>
        <w:rPr/>
        <w:t>第三节  加大人才保障</w:t>
      </w:r>
      <w:bookmarkEnd w:id="104"/>
      <w:bookmarkEnd w:id="105"/>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充分挖掘资源，为拓展商务发展空间，从内、外两个维度加大人才的保障。对内，不断壮大政府商务管理人员力量，智慧履职，不断优化和改善商务发展运行机制，确保商务经济的良性发展；同时加强对本地人才的培训，结合本地实际，利用行政、市场等多种形式，定期举办技术培训，培训一大批留得住、用得上的本土商务人才。对外，对接高等院校，设立专场招聘会吸引优秀大学毕业生，引进商务相关专业毕业生，为商务发展输血，更重要的是主动积极吸纳社会优秀商务人才，从相关行业先进企业引进多名商务精英，不断学习现代商务管理理念，确保商务水平走在行业前列。</w:t>
      </w:r>
    </w:p>
    <w:p>
      <w:pPr>
        <w:pStyle w:val="2"/>
        <w:rPr>
          <w:rFonts w:ascii="Times New Roman" w:hAnsi="Times New Roman" w:eastAsia="仿宋_GB2312" w:cs="Times New Roman"/>
          <w:b/>
          <w:b/>
          <w:bCs/>
          <w:lang w:val="zh-CN"/>
        </w:rPr>
      </w:pPr>
      <w:bookmarkStart w:id="106" w:name="_Toc82074895"/>
      <w:bookmarkStart w:id="107" w:name="_Toc46750260"/>
      <w:r>
        <w:rPr/>
        <w:t>第四节  优化营商环境</w:t>
      </w:r>
      <w:bookmarkEnd w:id="106"/>
      <w:bookmarkEnd w:id="107"/>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政府职能方面，强化部门在招商引资中的服务理念，在服务中落实监管的要求，为商贸企业创造和提供一个资源上公平均等、竞争上公平有序的发展环境，将“放管服”真正落实到商务发展的每个阶段，进一步加大整顿和规范市场经济秩序的力度，更好地为促进经济发展服务，同时，杜绝多部门执法、重复执法情况。市场调控方面，对重点街区统一规划建设、统一业态布局、统一协调管理，构建项目共推、客流共享、标准共建、平台互联、主体互动、宣传互通的联动机制，促进购物、餐饮、旅游、文化、体育、健康等各类消费产业联动融合。</w:t>
      </w:r>
    </w:p>
    <w:p>
      <w:pPr>
        <w:pStyle w:val="2"/>
        <w:rPr>
          <w:rFonts w:ascii="Times New Roman" w:hAnsi="Times New Roman" w:eastAsia="仿宋_GB2312" w:cs="Times New Roman"/>
          <w:b/>
          <w:b/>
          <w:bCs/>
          <w:lang w:val="zh-CN"/>
        </w:rPr>
      </w:pPr>
      <w:bookmarkStart w:id="108" w:name="_Toc82074896"/>
      <w:bookmarkStart w:id="109" w:name="_Toc46750261"/>
      <w:r>
        <w:rPr/>
        <w:t>第五节  加强宣传引导</w:t>
      </w:r>
      <w:bookmarkEnd w:id="108"/>
      <w:bookmarkEnd w:id="109"/>
    </w:p>
    <w:p>
      <w:pPr>
        <w:pStyle w:val="Style16"/>
        <w:spacing w:lineRule="auto" w:line="360"/>
        <w:ind w:firstLineChars="200" w:firstLine="0"/>
        <w:rPr>
          <w:rFonts w:ascii="Times New Roman" w:hAnsi="Times New Roman" w:eastAsia="仿宋_GB2312" w:cs="Times New Roman"/>
          <w:sz w:val="32"/>
          <w:szCs w:val="32"/>
        </w:rPr>
      </w:pPr>
      <w:r>
        <w:rPr>
          <w:rFonts w:ascii="Times New Roman" w:hAnsi="Times New Roman" w:cs="Times New Roman" w:eastAsia="仿宋_GB2312"/>
          <w:sz w:val="32"/>
          <w:szCs w:val="32"/>
        </w:rPr>
        <w:t>充分利用各种宣传模式，扩大县内各商贸物流网点的知名度和美誉度。组织开展经常性的主题文化活动和群众性活动，不断提高影响力和群众参与度，推动全县商务快速发展。通过开展展会、展销活动，激发市场消费活力，提升会展节庆平台促销，促进本地产品进入全国流通渠道。一是加大宣传力度，与符合参展条件的企业面对面宣传活动计划及支持政策，充分运用各类媒体持续做好线上线下相结合的特色产品宣传报道，扩大产品影响力。二是提升参展水平，从产品丰富度、品牌美誉度、产业关联度、标准统一度等方面着力，引导企业自行选择参加有针对性的商贸活动；三是转变拓展方式。要突出本土特色产品的影响力，深挖本土产品的商业价值，拓展其加工和销售形式，形成多系列业态联动发展、多品牌抱团展销的格局。</w:t>
      </w:r>
    </w:p>
    <w:sectPr>
      <w:footerReference w:type="default" r:id="rId6"/>
      <w:type w:val="nextPage"/>
      <w:pgSz w:w="11906" w:h="16838"/>
      <w:pgMar w:left="1800" w:right="1800" w:header="0" w:top="1440" w:footer="992" w:bottom="1440" w:gutter="0"/>
      <w:pgNumType w:start="1" w:fmt="decimal"/>
      <w:formProt w:val="false"/>
      <w:textDirection w:val="lrTb"/>
      <w:docGrid w:type="lines" w:linePitch="312" w:charSpace="4300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86"/>
    <w:family w:val="roman"/>
    <w:pitch w:val="variable"/>
  </w:font>
  <w:font w:name="等线">
    <w:charset w:val="86"/>
    <w:family w:val="roman"/>
    <w:pitch w:val="variable"/>
  </w:font>
  <w:font w:name="等线 Light">
    <w:charset w:val="86"/>
    <w:family w:val="roman"/>
    <w:pitch w:val="variable"/>
  </w:font>
  <w:font w:name="Times New Roman">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jc w:val="center"/>
      <w:rPr>
        <w:rFonts w:ascii="Times New Roman" w:hAnsi="Times New Roman" w:cs="Times New Roman"/>
        <w:sz w:val="24"/>
        <w:szCs w:val="24"/>
      </w:rPr>
    </w:pPr>
    <w:sdt>
      <w:sdtPr>
        <w:id w:val="199004505"/>
      </w:sdtPr>
      <w:sdtContent>
        <w:r>
          <w:rPr>
            <w:rFonts w:ascii="Times New Roman" w:hAnsi="Times New Roman" w:cs="Times New Roman"/>
            <w:sz w:val="24"/>
            <w:szCs w:val="24"/>
          </w:rPr>
          <w:fldChar w:fldCharType="begin"/>
        </w:r>
        <w:r>
          <w:rPr>
            <w:sz w:val="24"/>
            <w:szCs w:val="24"/>
            <w:rFonts w:ascii="Times New Roman" w:hAnsi="Times New Roman" w:cs="Times New Roman"/>
          </w:rPr>
          <w:instrText> PAGE </w:instrText>
        </w:r>
        <w:r>
          <w:rPr>
            <w:sz w:val="24"/>
            <w:szCs w:val="24"/>
            <w:rFonts w:ascii="Times New Roman" w:hAnsi="Times New Roman" w:cs="Times New Roman"/>
          </w:rPr>
          <w:fldChar w:fldCharType="separate"/>
        </w:r>
        <w:r>
          <w:rPr>
            <w:sz w:val="24"/>
            <w:szCs w:val="24"/>
            <w:rFonts w:ascii="Times New Roman" w:hAnsi="Times New Roman" w:cs="Times New Roman"/>
          </w:rPr>
          <w:t>III</w:t>
        </w:r>
        <w:r>
          <w:rPr>
            <w:sz w:val="24"/>
            <w:szCs w:val="24"/>
            <w:rFonts w:ascii="Times New Roman" w:hAnsi="Times New Roman" w:cs="Times New Roman"/>
          </w:rPr>
          <w:fldChar w:fldCharType="end"/>
        </w:r>
      </w:sdtContent>
    </w:sdt>
  </w:p>
  <w:p>
    <w:pPr>
      <w:pStyle w:val="Style17"/>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jc w:val="center"/>
      <w:rPr>
        <w:rFonts w:ascii="Times New Roman" w:hAnsi="Times New Roman" w:cs="Times New Roman"/>
        <w:sz w:val="24"/>
        <w:szCs w:val="24"/>
      </w:rPr>
    </w:pPr>
    <w:sdt>
      <w:sdtPr>
        <w:id w:val="1166026773"/>
      </w:sdtPr>
      <w:sdtContent>
        <w:r>
          <w:rPr>
            <w:rFonts w:ascii="Times New Roman" w:hAnsi="Times New Roman" w:cs="Times New Roman"/>
            <w:sz w:val="24"/>
            <w:szCs w:val="24"/>
          </w:rPr>
          <w:fldChar w:fldCharType="begin"/>
        </w:r>
        <w:r>
          <w:rPr>
            <w:sz w:val="24"/>
            <w:szCs w:val="24"/>
            <w:rFonts w:ascii="Times New Roman" w:hAnsi="Times New Roman" w:cs="Times New Roman"/>
          </w:rPr>
          <w:instrText> PAGE </w:instrText>
        </w:r>
        <w:r>
          <w:rPr>
            <w:sz w:val="24"/>
            <w:szCs w:val="24"/>
            <w:rFonts w:ascii="Times New Roman" w:hAnsi="Times New Roman" w:cs="Times New Roman"/>
          </w:rPr>
          <w:fldChar w:fldCharType="separate"/>
        </w:r>
        <w:r>
          <w:rPr>
            <w:sz w:val="24"/>
            <w:szCs w:val="24"/>
            <w:rFonts w:ascii="Times New Roman" w:hAnsi="Times New Roman" w:cs="Times New Roman"/>
          </w:rPr>
          <w:t>53</w:t>
        </w:r>
        <w:r>
          <w:rPr>
            <w:sz w:val="24"/>
            <w:szCs w:val="24"/>
            <w:rFonts w:ascii="Times New Roman" w:hAnsi="Times New Roman" w:cs="Times New Roman"/>
          </w:rPr>
          <w:fldChar w:fldCharType="end"/>
        </w:r>
      </w:sdtContent>
    </w:sdt>
  </w:p>
  <w:p>
    <w:pPr>
      <w:pStyle w:val="Style17"/>
      <w:rPr/>
    </w:pPr>
    <w:r>
      <w:rPr/>
    </w:r>
  </w:p>
</w:ftr>
</file>

<file path=word/settings.xml><?xml version="1.0" encoding="utf-8"?>
<w:settings xmlns:w="http://schemas.openxmlformats.org/wordprocessingml/2006/main">
  <w:zoom w:percent="100"/>
  <w:defaultTabStop w:val="420"/>
  <w:autoHyphenation w:val="true"/>
  <w:compat>
    <w:doNotExpandShiftReturn/>
    <w:balanceSingleByteDoubleByteWidth/>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等线" w:hAnsi="等线" w:eastAsia="等线" w:cs="" w:asciiTheme="minorHAnsi" w:cstheme="minorBidi" w:eastAsiaTheme="minorEastAsia" w:hAnsiTheme="minorHAnsi"/>
        <w:lang w:val="en-US" w:eastAsia="zh-CN" w:bidi="ar-SA"/>
      </w:rPr>
    </w:rPrDefault>
    <w:pPrDefault>
      <w:pPr>
        <w:suppressAutoHyphens w:val="fals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lsdException w:name="toc 4" w:uiPriority="39" w:unhideWhenUsed="1" w:qFormat="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character" w:styleId="Style14">
    <w:name w:val="默认段落字体"/>
    <w:qFormat/>
    <w:rPr/>
  </w:style>
  <w:style w:type="character" w:styleId="Style15">
    <w:name w:val="索引链接"/>
    <w:basedOn w:val="Style14"/>
    <w:qFormat/>
    <w:rPr/>
  </w:style>
  <w:style w:type="paragraph" w:styleId="Style16" w:default="1">
    <w:name w:val="正文"/>
    <w:qFormat/>
    <w:pPr>
      <w:widowControl w:val="false"/>
      <w:bidi w:val="0"/>
      <w:spacing w:beforeLines="0" w:beforeAutospacing="0" w:afterLines="0" w:afterAutospacing="0"/>
      <w:jc w:val="both"/>
    </w:pPr>
    <w:rPr>
      <w:rFonts w:ascii="等线" w:hAnsi="等线" w:eastAsia="等线" w:cs="" w:asciiTheme="minorHAnsi" w:cstheme="minorBidi" w:eastAsiaTheme="minorEastAsia" w:hAnsiTheme="minorHAnsi"/>
      <w:color w:val="auto"/>
      <w:kern w:val="2"/>
      <w:sz w:val="21"/>
      <w:szCs w:val="22"/>
      <w:lang w:val="en-US" w:eastAsia="zh-CN" w:bidi="ar-SA"/>
    </w:rPr>
  </w:style>
  <w:style w:type="paragraph" w:styleId="1">
    <w:name w:val="标题 1"/>
    <w:basedOn w:val="Style16"/>
    <w:next w:val="Style16"/>
    <w:link w:val="10"/>
    <w:uiPriority w:val="9"/>
    <w:qFormat/>
    <w:rsid w:val="00ff68a2"/>
    <w:pPr>
      <w:keepNext w:val="true"/>
      <w:keepLines/>
      <w:spacing w:lineRule="auto" w:line="480" w:before="240" w:beforeAutospacing="0" w:after="240" w:afterAutospacing="0"/>
      <w:jc w:val="center"/>
      <w:outlineLvl w:val="0"/>
    </w:pPr>
    <w:rPr>
      <w:rFonts w:eastAsia="仿宋_GB2312"/>
      <w:b/>
      <w:bCs/>
      <w:kern w:val="2"/>
      <w:sz w:val="36"/>
      <w:szCs w:val="44"/>
    </w:rPr>
  </w:style>
  <w:style w:type="paragraph" w:styleId="2">
    <w:name w:val="标题 2"/>
    <w:basedOn w:val="Style16"/>
    <w:next w:val="Style16"/>
    <w:link w:val="20"/>
    <w:uiPriority w:val="9"/>
    <w:unhideWhenUsed/>
    <w:qFormat/>
    <w:rsid w:val="00ff68a2"/>
    <w:pPr>
      <w:keepNext w:val="true"/>
      <w:keepLines/>
      <w:spacing w:lineRule="auto" w:line="360" w:before="120" w:beforeAutospacing="0" w:after="120" w:afterAutospacing="0"/>
      <w:jc w:val="center"/>
      <w:outlineLvl w:val="1"/>
    </w:pPr>
    <w:rPr>
      <w:rFonts w:ascii="等线 Light" w:hAnsi="等线 Light" w:eastAsia="仿宋_GB2312" w:cs="" w:asciiTheme="majorHAnsi" w:cstheme="majorBidi" w:hAnsiTheme="majorHAnsi"/>
      <w:b/>
      <w:bCs/>
      <w:sz w:val="32"/>
      <w:szCs w:val="32"/>
    </w:rPr>
  </w:style>
  <w:style w:type="paragraph" w:styleId="3">
    <w:name w:val="标题 3"/>
    <w:basedOn w:val="Style16"/>
    <w:next w:val="Style16"/>
    <w:link w:val="30"/>
    <w:uiPriority w:val="9"/>
    <w:unhideWhenUsed/>
    <w:qFormat/>
    <w:rsid w:val="00ff68a2"/>
    <w:pPr>
      <w:keepNext w:val="true"/>
      <w:keepLines/>
      <w:spacing w:lineRule="auto" w:line="360"/>
      <w:ind w:firstLineChars="200" w:firstLine="0"/>
      <w:outlineLvl w:val="2"/>
    </w:pPr>
    <w:rPr>
      <w:rFonts w:eastAsia="仿宋_GB2312"/>
      <w:b/>
      <w:bCs/>
      <w:sz w:val="32"/>
      <w:szCs w:val="32"/>
    </w:rPr>
  </w:style>
  <w:style w:type="paragraph" w:styleId="31">
    <w:name w:val="目录 3"/>
    <w:basedOn w:val="Style16"/>
    <w:next w:val="Style16"/>
    <w:uiPriority w:val="39"/>
    <w:unhideWhenUsed/>
    <w:qFormat/>
    <w:pPr>
      <w:tabs>
        <w:tab w:val="clear" w:pos="420"/>
        <w:tab w:val="right" w:pos="8296" w:leader="dot"/>
      </w:tabs>
      <w:spacing w:lineRule="auto" w:line="360"/>
      <w:ind w:leftChars="400" w:left="840"/>
    </w:pPr>
    <w:rPr>
      <w:rFonts w:ascii="Times New Roman" w:hAnsi="Times New Roman" w:eastAsia="宋体" w:cs="Times New Roman"/>
    </w:rPr>
  </w:style>
  <w:style w:type="paragraph" w:styleId="Style17">
    <w:name w:val="页脚"/>
    <w:basedOn w:val="Style16"/>
    <w:link w:val="a6"/>
    <w:uiPriority w:val="99"/>
    <w:unhideWhenUsed/>
    <w:qFormat/>
    <w:pPr>
      <w:tabs>
        <w:tab w:val="clear" w:pos="420"/>
        <w:tab w:val="center" w:pos="4153" w:leader="none"/>
        <w:tab w:val="right" w:pos="8306" w:leader="none"/>
      </w:tabs>
      <w:snapToGrid w:val="false"/>
      <w:jc w:val="left"/>
    </w:pPr>
    <w:rPr>
      <w:sz w:val="18"/>
      <w:szCs w:val="18"/>
    </w:rPr>
  </w:style>
  <w:style w:type="paragraph" w:styleId="11">
    <w:name w:val="目录 1"/>
    <w:basedOn w:val="Style16"/>
    <w:next w:val="Style16"/>
    <w:uiPriority w:val="39"/>
    <w:unhideWhenUsed/>
    <w:qFormat/>
    <w:pPr>
      <w:tabs>
        <w:tab w:val="clear" w:pos="420"/>
        <w:tab w:val="right" w:pos="8296" w:leader="dot"/>
      </w:tabs>
      <w:spacing w:lineRule="auto" w:line="360"/>
    </w:pPr>
    <w:rPr>
      <w:rFonts w:ascii="Times New Roman" w:hAnsi="Times New Roman" w:eastAsia="黑体" w:cs="Times New Roman"/>
      <w:b/>
      <w:bCs/>
      <w:sz w:val="28"/>
      <w:szCs w:val="28"/>
    </w:rPr>
  </w:style>
  <w:style w:type="paragraph" w:styleId="21">
    <w:name w:val="目录 2"/>
    <w:basedOn w:val="Style16"/>
    <w:next w:val="Style16"/>
    <w:uiPriority w:val="39"/>
    <w:unhideWhenUsed/>
    <w:qFormat/>
    <w:pPr>
      <w:tabs>
        <w:tab w:val="clear" w:pos="420"/>
        <w:tab w:val="right" w:pos="8296" w:leader="dot"/>
      </w:tabs>
      <w:spacing w:lineRule="auto" w:line="360"/>
      <w:ind w:leftChars="200" w:left="420"/>
    </w:pPr>
    <w:rPr>
      <w:rFonts w:ascii="Times New Roman" w:hAnsi="Times New Roman" w:eastAsia="宋体" w:cs="Times New Roman"/>
      <w:b/>
      <w:bCs/>
      <w:sz w:val="24"/>
      <w:szCs w:val="24"/>
    </w:rPr>
  </w:style>
  <w:style w:type="paragraph" w:styleId="TOC1" w:customStyle="1">
    <w:name w:val="TOC 标题1"/>
    <w:basedOn w:val="1"/>
    <w:next w:val="Style16"/>
    <w:uiPriority w:val="39"/>
    <w:unhideWhenUsed/>
    <w:qFormat/>
    <w:pPr>
      <w:widowControl/>
      <w:spacing w:lineRule="auto" w:line="259" w:before="240" w:beforeAutospacing="0" w:after="0" w:afterAutospacing="0"/>
      <w:jc w:val="left"/>
    </w:pPr>
    <w:rPr>
      <w:rFonts w:ascii="等线 Light" w:hAnsi="等线 Light" w:eastAsia="等线 Light" w:cs="" w:asciiTheme="majorHAnsi" w:cstheme="majorBidi" w:eastAsiaTheme="majorEastAsia" w:hAnsiTheme="majorHAnsi"/>
      <w:b w:val="false"/>
      <w:bCs w:val="false"/>
      <w:color w:val="2F5496" w:themeColor="accent1" w:themeShade="bf"/>
      <w:kern w:val="0"/>
      <w:sz w:val="32"/>
      <w:szCs w:val="32"/>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uiPriority w:val="39"/>
    <w:qForma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CAD76011-4906-4F35-A8CD-B0A58145E18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641</TotalTime>
  <Application>LanShanOffice/1.4.1.10907$Windows_X86_64 LibreOffice_project/9c1eafdd6df65fffc15a828d5a9fd7d92823ade4</Application>
  <AppVersion>15.0000</AppVersion>
  <Pages>58</Pages>
  <Words>24236</Words>
  <Characters>24811</Characters>
  <CharactersWithSpaces>25141</CharactersWithSpaces>
  <Paragraphs>384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2020-07-27T05:46:00Z</dcterms:created>
  <dc:creator>张旺</dc:creator>
  <dc:description/>
  <dc:language>zh-CN</dc:language>
  <cp:lastModifiedBy/>
  <cp:lastPrinted>2021-09-09T02:36:00Z</cp:lastPrinted>
  <dcterms:modified xsi:type="dcterms:W3CDTF">2022-10-24T16:49:45Z</dcterms:modified>
  <cp:revision>1000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2E7723A2532A42E7931D57F20D10F68E</vt:lpwstr>
  </property>
  <property fmtid="{D5CDD505-2E9C-101B-9397-08002B2CF9AE}" pid="3" name="KSOProductBuildVer">
    <vt:lpwstr>2052-11.1.0.10700</vt:lpwstr>
  </property>
</Properties>
</file>