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right"/>
        <w:rPr>
          <w:rFonts w:ascii="仿宋" w:hAnsi="仿宋" w:eastAsia="仿宋"/>
          <w:sz w:val="32"/>
          <w:szCs w:val="32"/>
        </w:rPr>
      </w:pPr>
      <w:bookmarkStart w:id="0" w:name="_GoBack"/>
      <w:bookmarkEnd w:id="0"/>
    </w:p>
    <w:p>
      <w:pPr>
        <w:spacing w:line="520" w:lineRule="exact"/>
        <w:jc w:val="both"/>
        <w:rPr>
          <w:rFonts w:ascii="仿宋" w:hAnsi="仿宋" w:eastAsia="仿宋"/>
          <w:sz w:val="32"/>
          <w:szCs w:val="32"/>
        </w:rPr>
      </w:pPr>
    </w:p>
    <w:p>
      <w:pPr>
        <w:spacing w:line="520" w:lineRule="exact"/>
        <w:jc w:val="right"/>
        <w:rPr>
          <w:rFonts w:ascii="仿宋" w:hAnsi="仿宋" w:eastAsia="仿宋"/>
          <w:sz w:val="32"/>
          <w:szCs w:val="32"/>
        </w:rPr>
      </w:pPr>
    </w:p>
    <w:p>
      <w:pPr>
        <w:spacing w:line="520" w:lineRule="exact"/>
        <w:jc w:val="right"/>
        <w:rPr>
          <w:rFonts w:hint="eastAsia" w:ascii="仿宋" w:hAnsi="仿宋" w:eastAsia="仿宋" w:cs="仿宋"/>
          <w:sz w:val="32"/>
          <w:szCs w:val="32"/>
        </w:rPr>
      </w:pPr>
    </w:p>
    <w:p>
      <w:pPr>
        <w:spacing w:line="520" w:lineRule="exact"/>
        <w:jc w:val="right"/>
        <w:rPr>
          <w:rFonts w:hint="eastAsia" w:ascii="仿宋" w:hAnsi="仿宋" w:eastAsia="仿宋" w:cs="仿宋"/>
          <w:sz w:val="32"/>
          <w:szCs w:val="32"/>
        </w:rPr>
      </w:pPr>
    </w:p>
    <w:p>
      <w:pPr>
        <w:spacing w:line="520" w:lineRule="exact"/>
        <w:jc w:val="right"/>
        <w:rPr>
          <w:rFonts w:hint="eastAsia" w:ascii="仿宋" w:hAnsi="仿宋" w:eastAsia="仿宋" w:cs="仿宋"/>
          <w:sz w:val="32"/>
          <w:szCs w:val="32"/>
        </w:rPr>
      </w:pPr>
    </w:p>
    <w:p>
      <w:pPr>
        <w:spacing w:line="520" w:lineRule="exact"/>
        <w:jc w:val="right"/>
        <w:rPr>
          <w:rFonts w:hint="eastAsia" w:ascii="仿宋" w:hAnsi="仿宋" w:eastAsia="仿宋" w:cs="仿宋"/>
          <w:sz w:val="32"/>
          <w:szCs w:val="32"/>
        </w:rPr>
      </w:pPr>
    </w:p>
    <w:p>
      <w:pPr>
        <w:spacing w:line="520" w:lineRule="exact"/>
        <w:jc w:val="right"/>
        <w:rPr>
          <w:rFonts w:ascii="仿宋" w:hAnsi="仿宋" w:eastAsia="仿宋" w:cs="仿宋"/>
          <w:sz w:val="32"/>
          <w:szCs w:val="32"/>
        </w:rPr>
      </w:pPr>
      <w:r>
        <w:rPr>
          <w:rFonts w:hint="eastAsia" w:ascii="仿宋" w:hAnsi="仿宋" w:eastAsia="仿宋" w:cs="仿宋"/>
          <w:sz w:val="32"/>
          <w:szCs w:val="32"/>
        </w:rPr>
        <w:t>龙住保复字〔</w:t>
      </w:r>
      <w:r>
        <w:rPr>
          <w:rFonts w:ascii="仿宋" w:hAnsi="仿宋" w:eastAsia="仿宋" w:cs="仿宋"/>
          <w:sz w:val="32"/>
          <w:szCs w:val="32"/>
        </w:rPr>
        <w:t>2023</w:t>
      </w:r>
      <w:r>
        <w:rPr>
          <w:rFonts w:hint="eastAsia" w:ascii="仿宋" w:hAnsi="仿宋" w:eastAsia="仿宋" w:cs="仿宋"/>
          <w:sz w:val="32"/>
          <w:szCs w:val="32"/>
        </w:rPr>
        <w:t>〕第</w:t>
      </w:r>
      <w:r>
        <w:rPr>
          <w:rFonts w:hint="eastAsia" w:ascii="仿宋" w:hAnsi="仿宋" w:eastAsia="仿宋" w:cs="仿宋"/>
          <w:sz w:val="32"/>
          <w:szCs w:val="32"/>
          <w:lang w:val="en-US" w:eastAsia="zh-CN"/>
        </w:rPr>
        <w:t>12</w:t>
      </w:r>
      <w:r>
        <w:rPr>
          <w:rFonts w:hint="eastAsia" w:ascii="仿宋" w:hAnsi="仿宋" w:eastAsia="仿宋" w:cs="仿宋"/>
          <w:sz w:val="32"/>
          <w:szCs w:val="32"/>
        </w:rPr>
        <w:t>号</w:t>
      </w:r>
      <w:r>
        <w:rPr>
          <w:rFonts w:ascii="仿宋" w:hAnsi="仿宋" w:eastAsia="仿宋" w:cs="仿宋"/>
          <w:sz w:val="32"/>
          <w:szCs w:val="32"/>
        </w:rPr>
        <w:t>A</w:t>
      </w:r>
      <w:r>
        <w:rPr>
          <w:rFonts w:hint="eastAsia" w:ascii="仿宋" w:hAnsi="仿宋" w:eastAsia="仿宋" w:cs="仿宋"/>
          <w:sz w:val="32"/>
          <w:szCs w:val="32"/>
        </w:rPr>
        <w:t>类</w:t>
      </w:r>
      <w:r>
        <w:rPr>
          <w:rFonts w:ascii="仿宋" w:hAnsi="仿宋" w:eastAsia="仿宋" w:cs="仿宋"/>
          <w:sz w:val="32"/>
          <w:szCs w:val="32"/>
        </w:rPr>
        <w:t xml:space="preserve">          </w:t>
      </w:r>
    </w:p>
    <w:p>
      <w:pPr>
        <w:wordWrap w:val="0"/>
        <w:spacing w:line="312" w:lineRule="auto"/>
        <w:rPr>
          <w:rFonts w:ascii="??_GB2312" w:hAnsi="??_GB2312" w:cs="??_GB2312"/>
          <w:sz w:val="32"/>
          <w:szCs w:val="32"/>
        </w:rPr>
      </w:pPr>
    </w:p>
    <w:p>
      <w:pPr>
        <w:wordWrap w:val="0"/>
        <w:spacing w:line="520" w:lineRule="exact"/>
        <w:jc w:val="center"/>
        <w:rPr>
          <w:rFonts w:hint="eastAsia" w:asciiTheme="majorEastAsia" w:hAnsiTheme="majorEastAsia" w:eastAsiaTheme="majorEastAsia" w:cstheme="majorEastAsia"/>
          <w:sz w:val="44"/>
          <w:szCs w:val="44"/>
        </w:rPr>
      </w:pPr>
      <w:r>
        <w:rPr>
          <w:rFonts w:hint="eastAsia" w:asciiTheme="majorEastAsia" w:hAnsiTheme="majorEastAsia" w:eastAsiaTheme="majorEastAsia" w:cstheme="majorEastAsia"/>
          <w:sz w:val="44"/>
          <w:szCs w:val="44"/>
        </w:rPr>
        <w:t>关于县十八届人大三次会议第78号建议的答  复</w:t>
      </w:r>
    </w:p>
    <w:p>
      <w:pPr>
        <w:wordWrap w:val="0"/>
        <w:spacing w:line="360" w:lineRule="auto"/>
        <w:jc w:val="left"/>
        <w:rPr>
          <w:rFonts w:ascii="仿宋_GB2312" w:hAnsi="仿宋_GB2312" w:eastAsia="仿宋_GB2312"/>
          <w:sz w:val="32"/>
          <w:szCs w:val="32"/>
        </w:rPr>
      </w:pPr>
    </w:p>
    <w:p>
      <w:pPr>
        <w:wordWrap w:val="0"/>
        <w:spacing w:line="360" w:lineRule="auto"/>
        <w:jc w:val="left"/>
        <w:rPr>
          <w:rFonts w:ascii="仿宋_GB2312" w:hAnsi="仿宋_GB2312" w:eastAsia="仿宋_GB2312"/>
          <w:sz w:val="32"/>
          <w:szCs w:val="32"/>
        </w:rPr>
      </w:pPr>
      <w:r>
        <w:rPr>
          <w:rFonts w:hint="eastAsia" w:ascii="仿宋_GB2312" w:hAnsi="仿宋_GB2312" w:eastAsia="仿宋_GB2312" w:cs="仿宋_GB2312"/>
          <w:sz w:val="32"/>
          <w:szCs w:val="32"/>
        </w:rPr>
        <w:t>晏玉兰代表：</w:t>
      </w:r>
    </w:p>
    <w:p>
      <w:pPr>
        <w:wordWrap w:val="0"/>
        <w:spacing w:line="360" w:lineRule="auto"/>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您提出的《关于推进我县老旧小区充电基础设施改造的建议》已收悉，感谢您对我们工作的关心与支持。我单位认真办理该建议，现将办理情况答复如下：</w:t>
      </w:r>
    </w:p>
    <w:p>
      <w:pPr>
        <w:pStyle w:val="7"/>
        <w:spacing w:before="0" w:beforeAutospacing="0" w:after="0" w:afterAutospacing="0" w:line="432" w:lineRule="atLeast"/>
        <w:ind w:firstLine="640" w:firstLineChars="200"/>
        <w:jc w:val="both"/>
        <w:rPr>
          <w:rFonts w:ascii="仿宋_GB2312" w:hAnsi="仿宋_GB2312" w:eastAsia="仿宋_GB2312"/>
          <w:sz w:val="32"/>
          <w:szCs w:val="32"/>
        </w:rPr>
      </w:pPr>
      <w:r>
        <w:rPr>
          <w:rFonts w:hint="eastAsia" w:ascii="仿宋_GB2312" w:hAnsi="仿宋_GB2312" w:eastAsia="仿宋_GB2312" w:cs="仿宋_GB2312"/>
          <w:sz w:val="32"/>
          <w:szCs w:val="32"/>
        </w:rPr>
        <w:t>城镇老旧小区改造是重大民生工程，对满足人民群众美好生活需要，推进城市更新和开发建设方式转型，促进我县经济高质量发展具有十分重要的意义。根据城镇居民老旧小区改造的相关政策，城镇老旧小区改造的资金来源为上级财政补助资金、县本级资金和居民自筹三部分，改造内容分为基础类、完善类、提升类</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类，以基础类改造为重点。</w:t>
      </w:r>
    </w:p>
    <w:p>
      <w:pPr>
        <w:pStyle w:val="7"/>
        <w:spacing w:before="0" w:beforeAutospacing="0" w:after="0" w:afterAutospacing="0" w:line="432" w:lineRule="atLeast"/>
        <w:ind w:firstLine="640" w:firstLineChars="200"/>
        <w:jc w:val="both"/>
        <w:rPr>
          <w:rFonts w:ascii="仿宋_GB2312" w:hAnsi="仿宋_GB2312" w:eastAsia="仿宋_GB2312"/>
          <w:sz w:val="32"/>
          <w:szCs w:val="32"/>
        </w:rPr>
      </w:pPr>
      <w:r>
        <w:rPr>
          <w:rFonts w:hint="eastAsia" w:ascii="仿宋_GB2312" w:hAnsi="仿宋_GB2312" w:eastAsia="仿宋_GB2312" w:cs="仿宋_GB2312"/>
          <w:sz w:val="32"/>
          <w:szCs w:val="32"/>
        </w:rPr>
        <w:t>结合实际，</w:t>
      </w:r>
      <w:r>
        <w:rPr>
          <w:rFonts w:hint="eastAsia" w:ascii="仿宋_GB2312" w:hAnsi="仿宋_GB2312" w:eastAsia="仿宋_GB2312" w:cs="仿宋_GB2312"/>
          <w:sz w:val="32"/>
          <w:szCs w:val="32"/>
          <w:shd w:val="clear" w:color="auto" w:fill="FFFFFF"/>
        </w:rPr>
        <w:t>当前</w:t>
      </w:r>
      <w:r>
        <w:rPr>
          <w:rFonts w:hint="eastAsia" w:ascii="仿宋_GB2312" w:hAnsi="仿宋_GB2312" w:eastAsia="仿宋_GB2312" w:cs="仿宋_GB2312"/>
          <w:sz w:val="32"/>
          <w:szCs w:val="32"/>
        </w:rPr>
        <w:t>我县</w:t>
      </w:r>
      <w:r>
        <w:rPr>
          <w:rFonts w:hint="eastAsia" w:ascii="仿宋_GB2312" w:hAnsi="仿宋_GB2312" w:eastAsia="仿宋_GB2312" w:cs="仿宋_GB2312"/>
          <w:sz w:val="32"/>
          <w:szCs w:val="32"/>
          <w:shd w:val="clear" w:color="auto" w:fill="FFFFFF"/>
        </w:rPr>
        <w:t>老旧小区改造</w:t>
      </w:r>
      <w:r>
        <w:rPr>
          <w:rFonts w:hint="eastAsia" w:ascii="仿宋_GB2312" w:hAnsi="仿宋_GB2312" w:eastAsia="仿宋_GB2312" w:cs="仿宋_GB2312"/>
          <w:sz w:val="32"/>
          <w:szCs w:val="32"/>
        </w:rPr>
        <w:t>主要以拆除违法建设、雨污分流、管线下地、小区道路、围墙拆除、打通交通微循环、安防、消防等基础类改造为重点，着力改善居民小区生活环境和消防安全。</w:t>
      </w:r>
    </w:p>
    <w:p>
      <w:pPr>
        <w:pStyle w:val="7"/>
        <w:spacing w:before="0" w:beforeAutospacing="0" w:after="0" w:afterAutospacing="0" w:line="432" w:lineRule="atLeast"/>
        <w:ind w:firstLine="640" w:firstLineChars="200"/>
        <w:jc w:val="both"/>
        <w:rPr>
          <w:rFonts w:ascii="仿宋_GB2312" w:hAnsi="仿宋_GB2312" w:eastAsia="仿宋_GB2312"/>
          <w:sz w:val="32"/>
          <w:szCs w:val="32"/>
        </w:rPr>
      </w:pPr>
      <w:r>
        <w:rPr>
          <w:rFonts w:hint="eastAsia" w:ascii="仿宋_GB2312" w:hAnsi="仿宋_GB2312" w:eastAsia="仿宋_GB2312" w:cs="仿宋_GB2312"/>
          <w:sz w:val="32"/>
          <w:szCs w:val="32"/>
        </w:rPr>
        <w:t>停车库（场）、电动自行车及汽车充电设施属于老旧小区改造完善类改造内容，与日常生活紧密相关，已一并纳入我县老旧小区改造范围。目前，我中心正在实施的</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个老旧小区改造项目：亭寺堡</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茶亭片区老旧小区改造、北门菜街片区老旧小区改造、</w:t>
      </w:r>
      <w:r>
        <w:rPr>
          <w:rFonts w:ascii="仿宋_GB2312" w:hAnsi="仿宋_GB2312" w:eastAsia="仿宋_GB2312" w:cs="仿宋_GB2312"/>
          <w:sz w:val="32"/>
          <w:szCs w:val="32"/>
        </w:rPr>
        <w:t>2020</w:t>
      </w:r>
      <w:r>
        <w:rPr>
          <w:rFonts w:hint="eastAsia" w:ascii="仿宋_GB2312" w:hAnsi="仿宋_GB2312" w:eastAsia="仿宋_GB2312" w:cs="仿宋_GB2312"/>
          <w:sz w:val="32"/>
          <w:szCs w:val="32"/>
        </w:rPr>
        <w:t>年老旧小区改造项目、</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年老旧小区改造项目、</w:t>
      </w:r>
      <w:r>
        <w:rPr>
          <w:rFonts w:ascii="仿宋_GB2312" w:hAnsi="仿宋_GB2312" w:eastAsia="仿宋_GB2312" w:cs="仿宋_GB2312"/>
          <w:sz w:val="32"/>
          <w:szCs w:val="32"/>
        </w:rPr>
        <w:t>2022</w:t>
      </w:r>
      <w:r>
        <w:rPr>
          <w:rFonts w:hint="eastAsia" w:ascii="仿宋_GB2312" w:hAnsi="仿宋_GB2312" w:eastAsia="仿宋_GB2312" w:cs="仿宋_GB2312"/>
          <w:sz w:val="32"/>
          <w:szCs w:val="32"/>
        </w:rPr>
        <w:t>年老旧小区改造项目，均已按国家规定、规范设置和同步建设电动车充电设施。</w:t>
      </w:r>
    </w:p>
    <w:p>
      <w:pPr>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另外，我中心就已建成并投入使用物业小区充电装置的改造工作进行了广泛宣传和全面排查，督促小区物业加强宣传、排除隐患、限期整改。现阶段已安装充电设施的小区有：半山公馆、土城坝保障房、财富名都、诚信华府、龙城外滩、龙领国际、芙蓉锦城、琼林之星、岳麓学府、御龙东方、东立印象、世纪新村、龙城中央、天玺壹号、信合大院、武陵王府井、绿城佳苑、龙城世家、盛世家园、铂翠湾、龙城天御、金穗苑、诚信广场、御龙江山、陶瓷厂、百纺家园、世纪铭城、龙凤商居城等</w:t>
      </w:r>
      <w:r>
        <w:rPr>
          <w:rFonts w:ascii="仿宋_GB2312" w:hAnsi="仿宋_GB2312" w:eastAsia="仿宋_GB2312" w:cs="仿宋_GB2312"/>
          <w:sz w:val="32"/>
          <w:szCs w:val="32"/>
        </w:rPr>
        <w:t>28</w:t>
      </w:r>
      <w:r>
        <w:rPr>
          <w:rFonts w:hint="eastAsia" w:ascii="仿宋_GB2312" w:hAnsi="仿宋_GB2312" w:eastAsia="仿宋_GB2312" w:cs="仿宋_GB2312"/>
          <w:sz w:val="32"/>
          <w:szCs w:val="32"/>
        </w:rPr>
        <w:t>个小区。准备安装充电设施的小区有：状元府、亿利购物广场等</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个小区。在今后的工作中，我中心将继续督促已建成物业小区推广增设充电装置，并建议新建商品房小区把配备充电设施作为小区必备配套设施。</w:t>
      </w:r>
    </w:p>
    <w:p>
      <w:pPr>
        <w:pStyle w:val="7"/>
        <w:spacing w:before="0" w:beforeAutospacing="0" w:after="0" w:afterAutospacing="0" w:line="432" w:lineRule="atLeast"/>
        <w:ind w:firstLine="640" w:firstLineChars="200"/>
        <w:jc w:val="both"/>
        <w:rPr>
          <w:rFonts w:ascii="仿宋_GB2312" w:hAnsi="仿宋_GB2312" w:eastAsia="仿宋_GB2312"/>
          <w:sz w:val="32"/>
          <w:szCs w:val="32"/>
        </w:rPr>
      </w:pPr>
    </w:p>
    <w:p>
      <w:pPr>
        <w:pStyle w:val="7"/>
        <w:spacing w:before="0" w:beforeAutospacing="0" w:after="0" w:afterAutospacing="0" w:line="432" w:lineRule="atLeast"/>
        <w:ind w:firstLine="640" w:firstLineChars="200"/>
        <w:jc w:val="both"/>
        <w:rPr>
          <w:rFonts w:ascii="仿宋_GB2312" w:hAnsi="仿宋_GB2312" w:eastAsia="仿宋_GB2312"/>
          <w:sz w:val="32"/>
          <w:szCs w:val="32"/>
        </w:rPr>
      </w:pPr>
    </w:p>
    <w:p>
      <w:pPr>
        <w:pStyle w:val="7"/>
        <w:spacing w:before="0" w:beforeAutospacing="0" w:after="0" w:afterAutospacing="0" w:line="432" w:lineRule="atLeast"/>
        <w:ind w:firstLine="640" w:firstLineChars="200"/>
        <w:jc w:val="both"/>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（此页无正文）</w:t>
      </w:r>
    </w:p>
    <w:p>
      <w:pPr>
        <w:wordWrap w:val="0"/>
        <w:spacing w:line="360" w:lineRule="auto"/>
        <w:rPr>
          <w:rFonts w:ascii="仿宋_GB2312" w:hAnsi="仿宋_GB2312" w:eastAsia="仿宋_GB2312"/>
          <w:sz w:val="32"/>
          <w:szCs w:val="32"/>
        </w:rPr>
      </w:pPr>
    </w:p>
    <w:p>
      <w:pPr>
        <w:pStyle w:val="2"/>
        <w:rPr>
          <w:rFonts w:ascii="仿宋_GB2312" w:hAnsi="仿宋_GB2312" w:eastAsia="仿宋_GB2312"/>
          <w:sz w:val="32"/>
          <w:szCs w:val="32"/>
        </w:rPr>
      </w:pPr>
    </w:p>
    <w:p>
      <w:pPr>
        <w:pStyle w:val="2"/>
        <w:rPr>
          <w:rFonts w:ascii="仿宋_GB2312" w:hAnsi="仿宋_GB2312" w:eastAsia="仿宋_GB2312"/>
          <w:sz w:val="32"/>
          <w:szCs w:val="32"/>
        </w:rPr>
      </w:pPr>
    </w:p>
    <w:p>
      <w:pPr>
        <w:pStyle w:val="2"/>
        <w:rPr>
          <w:rFonts w:ascii="仿宋_GB2312" w:hAnsi="仿宋_GB2312" w:eastAsia="仿宋_GB2312"/>
          <w:sz w:val="32"/>
          <w:szCs w:val="32"/>
        </w:rPr>
      </w:pPr>
    </w:p>
    <w:p>
      <w:pPr>
        <w:pStyle w:val="2"/>
        <w:rPr>
          <w:rFonts w:ascii="仿宋_GB2312" w:hAnsi="仿宋_GB2312" w:eastAsia="仿宋_GB2312"/>
          <w:sz w:val="32"/>
          <w:szCs w:val="32"/>
        </w:rPr>
      </w:pPr>
    </w:p>
    <w:p>
      <w:pPr>
        <w:pStyle w:val="2"/>
        <w:rPr>
          <w:rFonts w:ascii="仿宋_GB2312" w:hAnsi="仿宋_GB2312" w:eastAsia="仿宋_GB2312"/>
          <w:sz w:val="32"/>
          <w:szCs w:val="32"/>
        </w:rPr>
      </w:pPr>
    </w:p>
    <w:p>
      <w:pPr>
        <w:pStyle w:val="2"/>
        <w:rPr>
          <w:rFonts w:ascii="仿宋_GB2312" w:hAnsi="仿宋_GB2312" w:eastAsia="仿宋_GB2312"/>
          <w:sz w:val="32"/>
          <w:szCs w:val="32"/>
        </w:rPr>
      </w:pPr>
    </w:p>
    <w:p>
      <w:pPr>
        <w:pStyle w:val="2"/>
        <w:rPr>
          <w:rFonts w:ascii="仿宋_GB2312" w:hAnsi="仿宋_GB2312" w:eastAsia="仿宋_GB2312"/>
          <w:sz w:val="32"/>
          <w:szCs w:val="32"/>
        </w:rPr>
      </w:pPr>
    </w:p>
    <w:p>
      <w:pPr>
        <w:pStyle w:val="2"/>
        <w:rPr>
          <w:rFonts w:ascii="仿宋_GB2312" w:hAnsi="仿宋_GB2312" w:eastAsia="仿宋_GB2312"/>
          <w:sz w:val="32"/>
          <w:szCs w:val="32"/>
        </w:rPr>
      </w:pPr>
    </w:p>
    <w:p>
      <w:pPr>
        <w:pStyle w:val="2"/>
        <w:rPr>
          <w:rFonts w:ascii="仿宋_GB2312" w:hAnsi="仿宋_GB2312" w:eastAsia="仿宋_GB2312"/>
          <w:sz w:val="32"/>
          <w:szCs w:val="32"/>
        </w:rPr>
      </w:pPr>
    </w:p>
    <w:p>
      <w:pPr>
        <w:wordWrap w:val="0"/>
        <w:spacing w:line="360" w:lineRule="auto"/>
        <w:ind w:firstLine="640" w:firstLineChars="200"/>
        <w:rPr>
          <w:rFonts w:ascii="仿宋_GB2312" w:hAnsi="仿宋_GB2312" w:eastAsia="仿宋_GB2312"/>
          <w:sz w:val="32"/>
          <w:szCs w:val="32"/>
        </w:rPr>
      </w:pPr>
      <w:r>
        <w:rPr>
          <w:rFonts w:hint="eastAsia" w:ascii="仿宋_GB2312" w:hAnsi="仿宋_GB2312" w:eastAsia="仿宋_GB2312" w:cs="仿宋_GB2312"/>
          <w:sz w:val="32"/>
          <w:szCs w:val="32"/>
        </w:rPr>
        <w:t>签发领导：张磊</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承办人员：彭友</w:t>
      </w:r>
      <w:r>
        <w:rPr>
          <w:rFonts w:ascii="仿宋_GB2312" w:hAnsi="仿宋_GB2312" w:eastAsia="仿宋_GB2312" w:cs="仿宋_GB2312"/>
          <w:sz w:val="32"/>
          <w:szCs w:val="32"/>
        </w:rPr>
        <w:t xml:space="preserve"> </w:t>
      </w:r>
    </w:p>
    <w:p>
      <w:pPr>
        <w:ind w:firstLine="320" w:firstLineChars="100"/>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联系电话：</w:t>
      </w:r>
      <w:r>
        <w:rPr>
          <w:rFonts w:ascii="仿宋_GB2312" w:hAnsi="仿宋_GB2312" w:eastAsia="仿宋_GB2312" w:cs="仿宋_GB2312"/>
          <w:sz w:val="32"/>
          <w:szCs w:val="32"/>
        </w:rPr>
        <w:t>0743-6233145</w:t>
      </w:r>
    </w:p>
    <w:p>
      <w:pPr>
        <w:wordWrap w:val="0"/>
        <w:spacing w:line="312" w:lineRule="auto"/>
        <w:jc w:val="center"/>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p>
    <w:p>
      <w:pPr>
        <w:wordWrap w:val="0"/>
        <w:spacing w:line="312" w:lineRule="auto"/>
        <w:jc w:val="center"/>
        <w:rPr>
          <w:rFonts w:ascii="仿宋_GB2312" w:hAnsi="仿宋_GB2312" w:eastAsia="仿宋_GB2312" w:cs="仿宋_GB2312"/>
          <w:sz w:val="32"/>
          <w:szCs w:val="32"/>
        </w:rPr>
      </w:pPr>
    </w:p>
    <w:p>
      <w:pPr>
        <w:wordWrap w:val="0"/>
        <w:spacing w:line="312" w:lineRule="auto"/>
        <w:jc w:val="right"/>
        <w:rPr>
          <w:rFonts w:ascii="仿宋_GB2312" w:hAnsi="仿宋_GB2312" w:eastAsia="仿宋_GB2312"/>
          <w:sz w:val="32"/>
          <w:szCs w:val="32"/>
        </w:rPr>
      </w:pPr>
      <w:r>
        <w:rPr>
          <w:rFonts w:hint="eastAsia" w:ascii="仿宋_GB2312" w:hAnsi="仿宋_GB2312" w:eastAsia="仿宋_GB2312" w:cs="仿宋_GB2312"/>
          <w:sz w:val="32"/>
          <w:szCs w:val="32"/>
        </w:rPr>
        <w:t>龙山县住房保障服务中心</w:t>
      </w:r>
    </w:p>
    <w:p>
      <w:pPr>
        <w:wordWrap w:val="0"/>
        <w:spacing w:line="312" w:lineRule="auto"/>
        <w:ind w:firstLine="5440" w:firstLineChars="1700"/>
        <w:rPr>
          <w:rFonts w:ascii="仿宋_GB2312" w:hAnsi="仿宋_GB2312" w:eastAsia="仿宋_GB2312"/>
          <w:sz w:val="32"/>
          <w:szCs w:val="32"/>
        </w:rPr>
      </w:pPr>
      <w:r>
        <w:rPr>
          <w:rFonts w:ascii="仿宋_GB2312" w:hAnsi="仿宋_GB2312" w:eastAsia="仿宋_GB2312" w:cs="仿宋_GB2312"/>
          <w:sz w:val="32"/>
          <w:szCs w:val="32"/>
        </w:rPr>
        <w:t>2023</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25</w:t>
      </w:r>
      <w:r>
        <w:rPr>
          <w:rFonts w:hint="eastAsia" w:ascii="仿宋_GB2312" w:hAnsi="仿宋_GB2312" w:eastAsia="仿宋_GB2312" w:cs="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_GB2312">
    <w:altName w:val="Calibri"/>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1MGI0MDU2ZTYwNzc0MTczYTQ0Nzc4Nzc0ZjQ0ZTgifQ=="/>
  </w:docVars>
  <w:rsids>
    <w:rsidRoot w:val="00455B77"/>
    <w:rsid w:val="00263669"/>
    <w:rsid w:val="00437325"/>
    <w:rsid w:val="00455B77"/>
    <w:rsid w:val="005813EE"/>
    <w:rsid w:val="005A1A71"/>
    <w:rsid w:val="0069136D"/>
    <w:rsid w:val="00D92A3B"/>
    <w:rsid w:val="00DC3E3C"/>
    <w:rsid w:val="00F417FF"/>
    <w:rsid w:val="00F95125"/>
    <w:rsid w:val="00FB7A23"/>
    <w:rsid w:val="023C4A3F"/>
    <w:rsid w:val="0B0976AB"/>
    <w:rsid w:val="0B0B7729"/>
    <w:rsid w:val="0CD721DF"/>
    <w:rsid w:val="115E2570"/>
    <w:rsid w:val="11F9712E"/>
    <w:rsid w:val="12A71D40"/>
    <w:rsid w:val="12B476E9"/>
    <w:rsid w:val="13504580"/>
    <w:rsid w:val="14EB00AB"/>
    <w:rsid w:val="173C41A8"/>
    <w:rsid w:val="18AE3D36"/>
    <w:rsid w:val="191168B8"/>
    <w:rsid w:val="1ABD17B4"/>
    <w:rsid w:val="1AF71484"/>
    <w:rsid w:val="1CDC36F3"/>
    <w:rsid w:val="1F4713AC"/>
    <w:rsid w:val="1FA71217"/>
    <w:rsid w:val="1FCF6E73"/>
    <w:rsid w:val="23645090"/>
    <w:rsid w:val="2FDD4C63"/>
    <w:rsid w:val="30F63759"/>
    <w:rsid w:val="322A7F39"/>
    <w:rsid w:val="36597E41"/>
    <w:rsid w:val="37233704"/>
    <w:rsid w:val="37A34A15"/>
    <w:rsid w:val="389E7A63"/>
    <w:rsid w:val="3E9D76A5"/>
    <w:rsid w:val="423C1CEE"/>
    <w:rsid w:val="435577BE"/>
    <w:rsid w:val="442652A5"/>
    <w:rsid w:val="44B83633"/>
    <w:rsid w:val="44D9434E"/>
    <w:rsid w:val="468D2FA8"/>
    <w:rsid w:val="475E2EA5"/>
    <w:rsid w:val="48B620FC"/>
    <w:rsid w:val="4C14649F"/>
    <w:rsid w:val="4D117C8A"/>
    <w:rsid w:val="51FD1465"/>
    <w:rsid w:val="53F37006"/>
    <w:rsid w:val="5A7D4065"/>
    <w:rsid w:val="5B2E094A"/>
    <w:rsid w:val="5BB17BF8"/>
    <w:rsid w:val="5BE72873"/>
    <w:rsid w:val="5CD04FD7"/>
    <w:rsid w:val="615627A2"/>
    <w:rsid w:val="62C256EE"/>
    <w:rsid w:val="634715E3"/>
    <w:rsid w:val="649A3580"/>
    <w:rsid w:val="65006463"/>
    <w:rsid w:val="65D90F65"/>
    <w:rsid w:val="684236B9"/>
    <w:rsid w:val="68B74915"/>
    <w:rsid w:val="690B4618"/>
    <w:rsid w:val="6AA41340"/>
    <w:rsid w:val="6C28360B"/>
    <w:rsid w:val="70D27A9F"/>
    <w:rsid w:val="735A50BF"/>
    <w:rsid w:val="75071D03"/>
    <w:rsid w:val="77F73293"/>
    <w:rsid w:val="790F4BE1"/>
    <w:rsid w:val="794F1E4A"/>
    <w:rsid w:val="79BC41F6"/>
    <w:rsid w:val="7A1D6381"/>
    <w:rsid w:val="7CB81A1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nhideWhenUsed="0" w:uiPriority="99" w:semiHidden="0" w:name="Body Text First Indent 2"/>
    <w:lsdException w:uiPriority="99" w:name="Note Heading"/>
    <w:lsdException w:uiPriority="99" w:name="Body Text 2"/>
    <w:lsdException w:uiPriority="99" w:name="Body Text 3"/>
    <w:lsdException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Times New Roman" w:hAnsi="Times New Roman" w:eastAsia="宋体" w:cs="Times New Roman"/>
      <w:kern w:val="0"/>
      <w:sz w:val="21"/>
      <w:szCs w:val="21"/>
      <w:lang w:val="en-US" w:eastAsia="zh-CN" w:bidi="ar-SA"/>
    </w:rPr>
  </w:style>
  <w:style w:type="character" w:default="1" w:styleId="9">
    <w:name w:val="Default Paragraph Font"/>
    <w:semiHidden/>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11"/>
    <w:uiPriority w:val="99"/>
    <w:pPr>
      <w:ind w:firstLine="420" w:firstLineChars="200"/>
    </w:pPr>
    <w:rPr>
      <w:sz w:val="28"/>
      <w:szCs w:val="28"/>
    </w:rPr>
  </w:style>
  <w:style w:type="paragraph" w:styleId="3">
    <w:name w:val="Body Text Indent"/>
    <w:basedOn w:val="1"/>
    <w:next w:val="4"/>
    <w:link w:val="10"/>
    <w:uiPriority w:val="99"/>
    <w:pPr>
      <w:spacing w:after="120"/>
      <w:ind w:left="420" w:leftChars="200"/>
    </w:pPr>
    <w:rPr>
      <w:sz w:val="20"/>
      <w:szCs w:val="20"/>
    </w:rPr>
  </w:style>
  <w:style w:type="paragraph" w:styleId="4">
    <w:name w:val="Body Text Indent 2"/>
    <w:basedOn w:val="1"/>
    <w:link w:val="12"/>
    <w:uiPriority w:val="99"/>
    <w:pPr>
      <w:spacing w:after="120" w:line="480" w:lineRule="auto"/>
      <w:ind w:left="420" w:leftChars="200"/>
      <w:jc w:val="left"/>
    </w:pPr>
    <w:rPr>
      <w:rFonts w:ascii="宋体" w:hAnsi="宋体" w:cs="宋体"/>
      <w:kern w:val="36"/>
      <w:sz w:val="24"/>
      <w:szCs w:val="24"/>
    </w:rPr>
  </w:style>
  <w:style w:type="paragraph" w:styleId="5">
    <w:name w:val="footer"/>
    <w:basedOn w:val="1"/>
    <w:link w:val="14"/>
    <w:uiPriority w:val="99"/>
    <w:pPr>
      <w:tabs>
        <w:tab w:val="center" w:pos="4153"/>
        <w:tab w:val="right" w:pos="8306"/>
      </w:tabs>
      <w:snapToGrid w:val="0"/>
      <w:jc w:val="left"/>
    </w:pPr>
    <w:rPr>
      <w:sz w:val="18"/>
      <w:szCs w:val="18"/>
    </w:rPr>
  </w:style>
  <w:style w:type="paragraph" w:styleId="6">
    <w:name w:val="header"/>
    <w:basedOn w:val="1"/>
    <w:link w:val="13"/>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sz w:val="24"/>
      <w:szCs w:val="24"/>
    </w:rPr>
  </w:style>
  <w:style w:type="character" w:customStyle="1" w:styleId="10">
    <w:name w:val="Body Text Indent Char"/>
    <w:basedOn w:val="9"/>
    <w:link w:val="3"/>
    <w:semiHidden/>
    <w:locked/>
    <w:uiPriority w:val="99"/>
    <w:rPr>
      <w:kern w:val="0"/>
      <w:sz w:val="21"/>
      <w:szCs w:val="21"/>
    </w:rPr>
  </w:style>
  <w:style w:type="character" w:customStyle="1" w:styleId="11">
    <w:name w:val="Body Text First Indent 2 Char"/>
    <w:basedOn w:val="10"/>
    <w:link w:val="2"/>
    <w:semiHidden/>
    <w:locked/>
    <w:uiPriority w:val="99"/>
  </w:style>
  <w:style w:type="character" w:customStyle="1" w:styleId="12">
    <w:name w:val="Body Text Indent 2 Char"/>
    <w:basedOn w:val="9"/>
    <w:link w:val="4"/>
    <w:semiHidden/>
    <w:qFormat/>
    <w:locked/>
    <w:uiPriority w:val="99"/>
    <w:rPr>
      <w:kern w:val="0"/>
      <w:sz w:val="21"/>
      <w:szCs w:val="21"/>
    </w:rPr>
  </w:style>
  <w:style w:type="character" w:customStyle="1" w:styleId="13">
    <w:name w:val="Header Char"/>
    <w:basedOn w:val="9"/>
    <w:link w:val="6"/>
    <w:semiHidden/>
    <w:qFormat/>
    <w:locked/>
    <w:uiPriority w:val="99"/>
    <w:rPr>
      <w:kern w:val="0"/>
      <w:sz w:val="18"/>
      <w:szCs w:val="18"/>
    </w:rPr>
  </w:style>
  <w:style w:type="character" w:customStyle="1" w:styleId="14">
    <w:name w:val="Footer Char"/>
    <w:basedOn w:val="9"/>
    <w:link w:val="5"/>
    <w:semiHidden/>
    <w:qFormat/>
    <w:locked/>
    <w:uiPriority w:val="99"/>
    <w:rPr>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MC SYSTEM</Company>
  <Pages>3</Pages>
  <Words>870</Words>
  <Characters>900</Characters>
  <Lines>0</Lines>
  <Paragraphs>0</Paragraphs>
  <TotalTime>1</TotalTime>
  <ScaleCrop>false</ScaleCrop>
  <LinksUpToDate>false</LinksUpToDate>
  <CharactersWithSpaces>944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2023-05-08T03:21:00Z</dcterms:created>
  <dc:creator>Administrator.000</dc:creator>
  <cp:lastModifiedBy>Administrator</cp:lastModifiedBy>
  <cp:lastPrinted>2023-05-17T07:00:00Z</cp:lastPrinted>
  <dcterms:modified xsi:type="dcterms:W3CDTF">2023-07-06T02:44:08Z</dcterms:modified>
  <dc:title>龙住保复字〔2023〕第1号B类          </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D8ED4010EAE54C2B88DE725B7C02C2A2_13</vt:lpwstr>
  </property>
</Properties>
</file>