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944" w:firstLineChars="196"/>
        <w:jc w:val="center"/>
        <w:rPr>
          <w:rFonts w:hint="eastAsia" w:ascii="仿宋" w:hAnsi="仿宋" w:eastAsia="仿宋"/>
          <w:b/>
          <w:sz w:val="48"/>
          <w:szCs w:val="48"/>
          <w:lang w:eastAsia="zh-CN"/>
        </w:rPr>
      </w:pPr>
      <w:r>
        <w:rPr>
          <w:rFonts w:hint="eastAsia" w:ascii="仿宋" w:hAnsi="仿宋" w:eastAsia="仿宋"/>
          <w:b/>
          <w:sz w:val="48"/>
          <w:szCs w:val="48"/>
          <w:lang w:eastAsia="zh-CN"/>
        </w:rPr>
        <w:t>中共龙山县委宣传部</w:t>
      </w:r>
    </w:p>
    <w:p>
      <w:pPr>
        <w:widowControl/>
        <w:ind w:firstLine="944" w:firstLineChars="196"/>
        <w:jc w:val="center"/>
        <w:rPr>
          <w:rFonts w:hint="eastAsia" w:ascii="仿宋" w:hAnsi="仿宋" w:eastAsia="仿宋"/>
          <w:b/>
          <w:sz w:val="48"/>
          <w:szCs w:val="48"/>
        </w:rPr>
      </w:pPr>
      <w:r>
        <w:rPr>
          <w:rFonts w:hint="eastAsia" w:ascii="仿宋" w:hAnsi="仿宋" w:eastAsia="仿宋"/>
          <w:b/>
          <w:sz w:val="48"/>
          <w:szCs w:val="48"/>
        </w:rPr>
        <w:t>2017年度部门决算情况说明</w:t>
      </w:r>
    </w:p>
    <w:p>
      <w:pPr>
        <w:widowControl/>
        <w:jc w:val="both"/>
        <w:rPr>
          <w:rFonts w:hint="eastAsia" w:ascii="仿宋" w:hAnsi="仿宋" w:eastAsia="仿宋"/>
          <w:b/>
          <w:sz w:val="48"/>
          <w:szCs w:val="48"/>
        </w:rPr>
      </w:pPr>
    </w:p>
    <w:p>
      <w:pPr>
        <w:widowControl/>
        <w:ind w:firstLine="642"/>
        <w:jc w:val="both"/>
        <w:rPr>
          <w:rFonts w:hint="default" w:ascii="仿宋_GB2312" w:hAnsi="微软雅黑" w:eastAsia="仿宋_GB2312" w:cs="仿宋_GB2312"/>
          <w:b/>
          <w:bCs w:val="0"/>
          <w:i w:val="0"/>
          <w:caps w:val="0"/>
          <w:color w:val="000000"/>
          <w:spacing w:val="0"/>
          <w:sz w:val="32"/>
          <w:szCs w:val="32"/>
          <w:shd w:val="clear" w:fill="FFFFFF"/>
        </w:rPr>
      </w:pPr>
      <w:r>
        <w:rPr>
          <w:rFonts w:ascii="仿宋_GB2312" w:hAnsi="微软雅黑" w:eastAsia="仿宋_GB2312" w:cs="仿宋_GB2312"/>
          <w:b/>
          <w:bCs w:val="0"/>
          <w:i w:val="0"/>
          <w:caps w:val="0"/>
          <w:color w:val="000000"/>
          <w:spacing w:val="0"/>
          <w:sz w:val="32"/>
          <w:szCs w:val="32"/>
          <w:shd w:val="clear" w:fill="FFFFFF"/>
        </w:rPr>
        <w:t>第一部分</w:t>
      </w:r>
      <w:r>
        <w:rPr>
          <w:rFonts w:hint="default" w:ascii="仿宋_GB2312" w:hAnsi="微软雅黑" w:eastAsia="仿宋_GB2312" w:cs="仿宋_GB2312"/>
          <w:b/>
          <w:bCs w:val="0"/>
          <w:i w:val="0"/>
          <w:caps w:val="0"/>
          <w:color w:val="000000"/>
          <w:spacing w:val="0"/>
          <w:sz w:val="32"/>
          <w:szCs w:val="32"/>
          <w:shd w:val="clear" w:fill="FFFFFF"/>
        </w:rPr>
        <w:t>  </w:t>
      </w:r>
      <w:r>
        <w:rPr>
          <w:rFonts w:hint="eastAsia" w:ascii="仿宋_GB2312" w:hAnsi="微软雅黑" w:eastAsia="仿宋_GB2312" w:cs="仿宋_GB2312"/>
          <w:b/>
          <w:bCs w:val="0"/>
          <w:i w:val="0"/>
          <w:caps w:val="0"/>
          <w:color w:val="000000"/>
          <w:spacing w:val="0"/>
          <w:sz w:val="32"/>
          <w:szCs w:val="32"/>
          <w:shd w:val="clear" w:fill="FFFFFF"/>
          <w:lang w:eastAsia="zh-CN"/>
        </w:rPr>
        <w:t>龙山县宣传部</w:t>
      </w:r>
      <w:r>
        <w:rPr>
          <w:rFonts w:hint="default" w:ascii="仿宋_GB2312" w:hAnsi="微软雅黑" w:eastAsia="仿宋_GB2312" w:cs="仿宋_GB2312"/>
          <w:b/>
          <w:bCs w:val="0"/>
          <w:i w:val="0"/>
          <w:caps w:val="0"/>
          <w:color w:val="000000"/>
          <w:spacing w:val="0"/>
          <w:sz w:val="32"/>
          <w:szCs w:val="32"/>
          <w:shd w:val="clear" w:fill="FFFFFF"/>
        </w:rPr>
        <w:t>概况</w:t>
      </w:r>
    </w:p>
    <w:p>
      <w:pPr>
        <w:widowControl/>
        <w:ind w:firstLine="600" w:firstLineChars="200"/>
        <w:rPr>
          <w:rFonts w:hint="eastAsia" w:ascii="仿宋" w:hAnsi="仿宋" w:eastAsia="仿宋" w:cs="仿宋"/>
          <w:bCs/>
          <w:kern w:val="0"/>
          <w:sz w:val="30"/>
          <w:szCs w:val="30"/>
        </w:rPr>
      </w:pPr>
      <w:r>
        <w:rPr>
          <w:rFonts w:hint="eastAsia" w:ascii="仿宋" w:hAnsi="仿宋" w:eastAsia="仿宋" w:cs="仿宋"/>
          <w:bCs/>
          <w:kern w:val="0"/>
          <w:sz w:val="30"/>
          <w:szCs w:val="30"/>
        </w:rPr>
        <w:t>一、部门职责</w:t>
      </w:r>
    </w:p>
    <w:p>
      <w:pPr>
        <w:spacing w:line="500" w:lineRule="exact"/>
        <w:ind w:firstLine="600" w:firstLineChars="200"/>
        <w:rPr>
          <w:rFonts w:hint="eastAsia" w:ascii="仿宋" w:hAnsi="仿宋" w:eastAsia="仿宋" w:cs="仿宋"/>
          <w:b/>
          <w:bCs/>
          <w:sz w:val="30"/>
          <w:szCs w:val="30"/>
        </w:rPr>
      </w:pPr>
      <w:r>
        <w:rPr>
          <w:rFonts w:hint="eastAsia" w:ascii="仿宋" w:hAnsi="仿宋" w:eastAsia="仿宋" w:cs="仿宋"/>
          <w:b w:val="0"/>
          <w:bCs w:val="0"/>
          <w:sz w:val="30"/>
          <w:szCs w:val="30"/>
        </w:rPr>
        <w:t>负责指导全县理论研究、学习、宣传工作，配合有关部门做好党员教育工作。负责全县对外</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对港澳宣传工作的协调和管理</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指导和协调全县对外文化交流工作。</w:t>
      </w:r>
    </w:p>
    <w:p>
      <w:pPr>
        <w:widowControl/>
        <w:ind w:firstLine="480" w:firstLineChars="200"/>
        <w:rPr>
          <w:rFonts w:hint="eastAsia" w:ascii="仿宋_GB2312" w:eastAsia="仿宋_GB2312"/>
          <w:bCs/>
          <w:kern w:val="0"/>
          <w:sz w:val="24"/>
        </w:rPr>
      </w:pPr>
    </w:p>
    <w:p>
      <w:pPr>
        <w:widowControl/>
        <w:numPr>
          <w:ilvl w:val="0"/>
          <w:numId w:val="1"/>
        </w:numPr>
        <w:ind w:firstLine="600" w:firstLineChars="200"/>
        <w:rPr>
          <w:rFonts w:hint="eastAsia" w:ascii="仿宋_GB2312" w:eastAsia="仿宋_GB2312"/>
          <w:bCs/>
          <w:kern w:val="0"/>
          <w:sz w:val="30"/>
          <w:szCs w:val="30"/>
        </w:rPr>
      </w:pPr>
      <w:r>
        <w:rPr>
          <w:rFonts w:hint="eastAsia" w:ascii="仿宋_GB2312" w:eastAsia="仿宋_GB2312"/>
          <w:bCs/>
          <w:kern w:val="0"/>
          <w:sz w:val="30"/>
          <w:szCs w:val="30"/>
        </w:rPr>
        <w:t>机构设置</w:t>
      </w:r>
    </w:p>
    <w:p>
      <w:pPr>
        <w:spacing w:line="600" w:lineRule="exact"/>
        <w:ind w:firstLine="480" w:firstLineChars="200"/>
        <w:rPr>
          <w:rFonts w:hint="eastAsia" w:ascii="仿宋" w:hAnsi="仿宋" w:eastAsia="仿宋" w:cs="仿宋"/>
          <w:sz w:val="30"/>
          <w:szCs w:val="30"/>
        </w:rPr>
      </w:pPr>
      <w:r>
        <w:rPr>
          <w:rFonts w:hint="eastAsia" w:ascii="仿宋_GB2312" w:eastAsia="仿宋_GB2312"/>
          <w:bCs/>
          <w:kern w:val="0"/>
          <w:sz w:val="24"/>
          <w:lang w:eastAsia="zh-CN"/>
        </w:rPr>
        <w:t>　</w:t>
      </w:r>
      <w:r>
        <w:rPr>
          <w:rFonts w:hint="eastAsia" w:ascii="仿宋" w:hAnsi="仿宋" w:eastAsia="仿宋" w:cs="仿宋"/>
          <w:sz w:val="30"/>
          <w:szCs w:val="30"/>
        </w:rPr>
        <w:t>县委宣传部为正科级全额拔款，实行公务员管理单位，内设办公室、理教组（党教组）、文明办、新闻组、纪检组、外宣办(副科级)、文产办(副科级)7个职能组室，含下属新闻中心，网宣办核定编制共</w:t>
      </w:r>
      <w:r>
        <w:rPr>
          <w:rFonts w:hint="eastAsia" w:ascii="仿宋" w:hAnsi="仿宋" w:eastAsia="仿宋" w:cs="仿宋"/>
          <w:sz w:val="30"/>
          <w:szCs w:val="30"/>
          <w:lang w:val="en-US" w:eastAsia="zh-CN"/>
        </w:rPr>
        <w:t>２８</w:t>
      </w:r>
      <w:r>
        <w:rPr>
          <w:rFonts w:hint="eastAsia" w:ascii="仿宋" w:hAnsi="仿宋" w:eastAsia="仿宋" w:cs="仿宋"/>
          <w:sz w:val="30"/>
          <w:szCs w:val="30"/>
        </w:rPr>
        <w:t>人（含县级领导1人，其中公务员编</w:t>
      </w:r>
      <w:r>
        <w:rPr>
          <w:rFonts w:hint="eastAsia" w:ascii="仿宋" w:hAnsi="仿宋" w:eastAsia="仿宋" w:cs="仿宋"/>
          <w:sz w:val="30"/>
          <w:szCs w:val="30"/>
          <w:lang w:eastAsia="zh-CN"/>
        </w:rPr>
        <w:t>１５</w:t>
      </w:r>
      <w:r>
        <w:rPr>
          <w:rFonts w:hint="eastAsia" w:ascii="仿宋" w:hAnsi="仿宋" w:eastAsia="仿宋" w:cs="仿宋"/>
          <w:sz w:val="30"/>
          <w:szCs w:val="30"/>
        </w:rPr>
        <w:t>人（含文联3个编），工勤1人，事业编11人）。实有人数30人，有退休人员9人</w:t>
      </w:r>
      <w:r>
        <w:rPr>
          <w:rFonts w:hint="eastAsia" w:ascii="仿宋" w:hAnsi="仿宋" w:eastAsia="仿宋" w:cs="仿宋"/>
          <w:sz w:val="30"/>
          <w:szCs w:val="30"/>
          <w:lang w:eastAsia="zh-CN"/>
        </w:rPr>
        <w:t>，年内在职死亡</w:t>
      </w:r>
      <w:r>
        <w:rPr>
          <w:rFonts w:hint="eastAsia" w:ascii="仿宋" w:hAnsi="仿宋" w:eastAsia="仿宋" w:cs="仿宋"/>
          <w:sz w:val="30"/>
          <w:szCs w:val="30"/>
          <w:lang w:val="en-US" w:eastAsia="zh-CN"/>
        </w:rPr>
        <w:t>1人，新调１人，新增抚恤人员1名</w:t>
      </w:r>
      <w:r>
        <w:rPr>
          <w:rFonts w:hint="eastAsia" w:ascii="仿宋" w:hAnsi="仿宋" w:eastAsia="仿宋" w:cs="仿宋"/>
          <w:sz w:val="30"/>
          <w:szCs w:val="30"/>
        </w:rPr>
        <w:t>。</w:t>
      </w:r>
    </w:p>
    <w:p>
      <w:pPr>
        <w:widowControl/>
        <w:ind w:firstLine="642"/>
        <w:jc w:val="both"/>
        <w:rPr>
          <w:rFonts w:hint="default" w:ascii="仿宋_GB2312" w:hAnsi="微软雅黑" w:eastAsia="仿宋_GB2312" w:cs="仿宋_GB2312"/>
          <w:b/>
          <w:i w:val="0"/>
          <w:caps w:val="0"/>
          <w:color w:val="000000"/>
          <w:spacing w:val="0"/>
          <w:sz w:val="32"/>
          <w:szCs w:val="32"/>
          <w:shd w:val="clear" w:fill="FFFFFF"/>
        </w:rPr>
      </w:pPr>
      <w:r>
        <w:rPr>
          <w:rFonts w:ascii="仿宋_GB2312" w:hAnsi="微软雅黑" w:eastAsia="仿宋_GB2312" w:cs="仿宋_GB2312"/>
          <w:b/>
          <w:i w:val="0"/>
          <w:caps w:val="0"/>
          <w:color w:val="000000"/>
          <w:spacing w:val="0"/>
          <w:sz w:val="32"/>
          <w:szCs w:val="32"/>
          <w:shd w:val="clear" w:fill="FFFFFF"/>
        </w:rPr>
        <w:t>第二部分</w:t>
      </w:r>
      <w:r>
        <w:rPr>
          <w:rFonts w:hint="default" w:ascii="仿宋_GB2312" w:hAnsi="微软雅黑" w:eastAsia="仿宋_GB2312" w:cs="仿宋_GB2312"/>
          <w:b/>
          <w:i w:val="0"/>
          <w:caps w:val="0"/>
          <w:color w:val="000000"/>
          <w:spacing w:val="0"/>
          <w:sz w:val="32"/>
          <w:szCs w:val="32"/>
          <w:shd w:val="clear" w:fill="FFFFFF"/>
        </w:rPr>
        <w:t>  龙山县</w:t>
      </w:r>
      <w:r>
        <w:rPr>
          <w:rFonts w:hint="eastAsia" w:ascii="仿宋_GB2312" w:hAnsi="微软雅黑" w:eastAsia="仿宋_GB2312" w:cs="仿宋_GB2312"/>
          <w:b/>
          <w:i w:val="0"/>
          <w:caps w:val="0"/>
          <w:color w:val="000000"/>
          <w:spacing w:val="0"/>
          <w:sz w:val="32"/>
          <w:szCs w:val="32"/>
          <w:shd w:val="clear" w:fill="FFFFFF"/>
          <w:lang w:eastAsia="zh-CN"/>
        </w:rPr>
        <w:t>县委宣传部</w:t>
      </w:r>
      <w:r>
        <w:rPr>
          <w:rFonts w:hint="default" w:ascii="仿宋_GB2312" w:hAnsi="微软雅黑" w:eastAsia="仿宋_GB2312" w:cs="仿宋_GB2312"/>
          <w:b/>
          <w:i w:val="0"/>
          <w:caps w:val="0"/>
          <w:color w:val="000000"/>
          <w:spacing w:val="0"/>
          <w:sz w:val="32"/>
          <w:szCs w:val="32"/>
          <w:shd w:val="clear" w:fill="FFFFFF"/>
        </w:rPr>
        <w:t>2017年度部门决算表</w:t>
      </w:r>
    </w:p>
    <w:p>
      <w:pPr>
        <w:widowControl/>
        <w:ind w:firstLine="642"/>
        <w:jc w:val="both"/>
        <w:rPr>
          <w:rFonts w:hint="eastAsia" w:ascii="仿宋_GB2312" w:hAnsi="微软雅黑" w:eastAsia="仿宋_GB2312" w:cs="仿宋_GB2312"/>
          <w:b/>
          <w:i w:val="0"/>
          <w:caps w:val="0"/>
          <w:color w:val="000000"/>
          <w:spacing w:val="0"/>
          <w:sz w:val="32"/>
          <w:szCs w:val="32"/>
          <w:shd w:val="clear" w:fill="FFFFFF"/>
          <w:lang w:eastAsia="zh-CN"/>
        </w:rPr>
      </w:pPr>
      <w:r>
        <w:rPr>
          <w:rFonts w:hint="eastAsia" w:ascii="仿宋_GB2312" w:hAnsi="微软雅黑" w:eastAsia="仿宋_GB2312" w:cs="仿宋_GB2312"/>
          <w:b/>
          <w:i w:val="0"/>
          <w:caps w:val="0"/>
          <w:color w:val="000000"/>
          <w:spacing w:val="0"/>
          <w:sz w:val="32"/>
          <w:szCs w:val="32"/>
          <w:shd w:val="clear" w:fill="FFFFFF"/>
          <w:lang w:eastAsia="zh-CN"/>
        </w:rPr>
        <w:t>（附表）</w:t>
      </w:r>
    </w:p>
    <w:p>
      <w:pPr>
        <w:widowControl/>
        <w:ind w:firstLine="630" w:firstLineChars="196"/>
        <w:rPr>
          <w:rFonts w:hint="eastAsia" w:ascii="仿宋_GB2312" w:eastAsia="仿宋_GB2312"/>
          <w:b/>
          <w:bCs/>
          <w:kern w:val="0"/>
          <w:sz w:val="32"/>
          <w:szCs w:val="32"/>
        </w:rPr>
      </w:pPr>
      <w:r>
        <w:rPr>
          <w:rFonts w:ascii="仿宋_GB2312" w:hAnsi="微软雅黑" w:eastAsia="仿宋_GB2312" w:cs="仿宋_GB2312"/>
          <w:b/>
          <w:i w:val="0"/>
          <w:caps w:val="0"/>
          <w:color w:val="000000"/>
          <w:spacing w:val="0"/>
          <w:sz w:val="32"/>
          <w:szCs w:val="32"/>
          <w:shd w:val="clear" w:fill="FFFFFF"/>
        </w:rPr>
        <w:t>第</w:t>
      </w:r>
      <w:r>
        <w:rPr>
          <w:rFonts w:hint="eastAsia" w:ascii="仿宋_GB2312" w:hAnsi="微软雅黑" w:eastAsia="仿宋_GB2312" w:cs="仿宋_GB2312"/>
          <w:b/>
          <w:i w:val="0"/>
          <w:caps w:val="0"/>
          <w:color w:val="000000"/>
          <w:spacing w:val="0"/>
          <w:sz w:val="32"/>
          <w:szCs w:val="32"/>
          <w:shd w:val="clear" w:fill="FFFFFF"/>
          <w:lang w:eastAsia="zh-CN"/>
        </w:rPr>
        <w:t>三</w:t>
      </w:r>
      <w:r>
        <w:rPr>
          <w:rFonts w:ascii="仿宋_GB2312" w:hAnsi="微软雅黑" w:eastAsia="仿宋_GB2312" w:cs="仿宋_GB2312"/>
          <w:b/>
          <w:i w:val="0"/>
          <w:caps w:val="0"/>
          <w:color w:val="000000"/>
          <w:spacing w:val="0"/>
          <w:sz w:val="32"/>
          <w:szCs w:val="32"/>
          <w:shd w:val="clear" w:fill="FFFFFF"/>
        </w:rPr>
        <w:t>部分</w:t>
      </w:r>
      <w:r>
        <w:rPr>
          <w:rFonts w:hint="default" w:ascii="仿宋_GB2312" w:hAnsi="微软雅黑" w:eastAsia="仿宋_GB2312" w:cs="仿宋_GB2312"/>
          <w:b/>
          <w:i w:val="0"/>
          <w:caps w:val="0"/>
          <w:color w:val="000000"/>
          <w:spacing w:val="0"/>
          <w:sz w:val="32"/>
          <w:szCs w:val="32"/>
          <w:shd w:val="clear" w:fill="FFFFFF"/>
        </w:rPr>
        <w:t>  </w:t>
      </w:r>
      <w:r>
        <w:rPr>
          <w:rFonts w:hint="eastAsia" w:ascii="仿宋_GB2312" w:eastAsia="仿宋_GB2312"/>
          <w:b/>
          <w:bCs/>
          <w:kern w:val="0"/>
          <w:sz w:val="32"/>
          <w:szCs w:val="32"/>
        </w:rPr>
        <w:t>收入支出决算总体情况说明</w:t>
      </w:r>
    </w:p>
    <w:p>
      <w:pPr>
        <w:widowControl/>
        <w:ind w:firstLine="627" w:firstLineChars="196"/>
        <w:rPr>
          <w:rFonts w:hint="eastAsia" w:ascii="仿宋_GB2312" w:eastAsia="仿宋_GB2312"/>
          <w:kern w:val="0"/>
          <w:sz w:val="32"/>
          <w:szCs w:val="32"/>
          <w:lang w:val="en-US" w:eastAsia="zh-CN"/>
        </w:rPr>
      </w:pPr>
      <w:r>
        <w:rPr>
          <w:rFonts w:hint="eastAsia" w:ascii="仿宋_GB2312" w:eastAsia="仿宋_GB2312"/>
          <w:kern w:val="0"/>
          <w:sz w:val="32"/>
          <w:szCs w:val="32"/>
          <w:lang w:eastAsia="zh-CN"/>
        </w:rPr>
        <w:t>本年收入</w:t>
      </w:r>
      <w:r>
        <w:rPr>
          <w:rFonts w:hint="eastAsia" w:ascii="仿宋_GB2312" w:eastAsia="仿宋_GB2312"/>
          <w:kern w:val="0"/>
          <w:sz w:val="32"/>
          <w:szCs w:val="32"/>
          <w:lang w:val="en-US" w:eastAsia="zh-CN"/>
        </w:rPr>
        <w:t>7656065.00元，比上年度收入8115259.50元，比上年减少459164.50元，同期下降5.66%。因财政大力压缩一般预算拨款，并加大了政府基金管理拨款力度，因而造成2017年中共龙山县委宣传部收入少于上年。</w:t>
      </w:r>
    </w:p>
    <w:p>
      <w:pPr>
        <w:widowControl/>
        <w:ind w:firstLine="627" w:firstLineChars="196"/>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本年支出8076826.05元，比上年度支出7663351.73元，增加413474.32元，同期增幅5.4%，2017年初中共龙山县委宣传部年初结余473120.77元，将2016年的一部分应付未付支出列在2017年，造成2017年支出总体比上年增加。</w:t>
      </w:r>
    </w:p>
    <w:p>
      <w:pPr>
        <w:widowControl/>
        <w:numPr>
          <w:ilvl w:val="0"/>
          <w:numId w:val="0"/>
        </w:numPr>
        <w:spacing w:line="600" w:lineRule="exact"/>
        <w:ind w:leftChars="200"/>
        <w:jc w:val="left"/>
        <w:rPr>
          <w:rFonts w:hint="eastAsia" w:ascii="仿宋_GB2312" w:eastAsia="仿宋_GB2312"/>
          <w:kern w:val="0"/>
          <w:sz w:val="32"/>
          <w:szCs w:val="32"/>
        </w:rPr>
      </w:pPr>
      <w:r>
        <w:rPr>
          <w:rFonts w:hint="eastAsia" w:ascii="仿宋_GB2312" w:eastAsia="仿宋_GB2312"/>
          <w:kern w:val="0"/>
          <w:sz w:val="32"/>
          <w:szCs w:val="32"/>
          <w:lang w:eastAsia="zh-CN"/>
        </w:rPr>
        <w:t>二、</w:t>
      </w:r>
      <w:r>
        <w:rPr>
          <w:rFonts w:hint="eastAsia" w:ascii="仿宋_GB2312" w:eastAsia="仿宋_GB2312"/>
          <w:kern w:val="0"/>
          <w:sz w:val="32"/>
          <w:szCs w:val="32"/>
        </w:rPr>
        <w:t>收入决算情况说明</w:t>
      </w:r>
    </w:p>
    <w:p>
      <w:pPr>
        <w:widowControl/>
        <w:numPr>
          <w:ilvl w:val="0"/>
          <w:numId w:val="0"/>
        </w:numPr>
        <w:spacing w:line="600" w:lineRule="exact"/>
        <w:ind w:leftChars="200"/>
        <w:jc w:val="both"/>
        <w:rPr>
          <w:rFonts w:hint="eastAsia" w:ascii="仿宋_GB2312" w:eastAsia="仿宋_GB2312"/>
          <w:kern w:val="0"/>
          <w:sz w:val="32"/>
          <w:szCs w:val="32"/>
          <w:lang w:val="en-US" w:eastAsia="zh-CN"/>
        </w:rPr>
      </w:pPr>
      <w:r>
        <w:rPr>
          <w:rFonts w:hint="eastAsia" w:ascii="仿宋_GB2312" w:eastAsia="仿宋_GB2312"/>
          <w:kern w:val="0"/>
          <w:sz w:val="32"/>
          <w:szCs w:val="32"/>
          <w:lang w:eastAsia="zh-CN"/>
        </w:rPr>
        <w:t>　</w:t>
      </w:r>
      <w:r>
        <w:rPr>
          <w:rFonts w:hint="eastAsia" w:ascii="仿宋_GB2312" w:eastAsia="仿宋_GB2312"/>
          <w:kern w:val="0"/>
          <w:sz w:val="32"/>
          <w:szCs w:val="32"/>
          <w:lang w:val="en-US" w:eastAsia="zh-CN"/>
        </w:rPr>
        <w:t>2017年一般公共预算财政拨款5247679.00元，占全</w:t>
      </w:r>
    </w:p>
    <w:p>
      <w:pPr>
        <w:widowControl/>
        <w:numPr>
          <w:ilvl w:val="0"/>
          <w:numId w:val="0"/>
        </w:numPr>
        <w:spacing w:line="600" w:lineRule="exact"/>
        <w:ind w:leftChars="200"/>
        <w:jc w:val="both"/>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收入的68.54%，政府性基金预算财政拨款1492590.00元，占全年收入的19.5%，其他收入915796.00元，占全年收入11.96%。</w:t>
      </w:r>
    </w:p>
    <w:p>
      <w:pPr>
        <w:widowControl/>
        <w:spacing w:line="600" w:lineRule="exact"/>
        <w:jc w:val="left"/>
        <w:rPr>
          <w:rFonts w:hint="eastAsia" w:ascii="仿宋_GB2312" w:eastAsia="仿宋_GB2312"/>
          <w:kern w:val="0"/>
          <w:sz w:val="32"/>
          <w:szCs w:val="32"/>
        </w:rPr>
      </w:pPr>
      <w:r>
        <w:rPr>
          <w:rFonts w:hint="eastAsia" w:ascii="仿宋_GB2312" w:eastAsia="仿宋_GB2312"/>
          <w:kern w:val="0"/>
          <w:sz w:val="32"/>
          <w:szCs w:val="32"/>
          <w:lang w:eastAsia="zh-CN"/>
        </w:rPr>
        <w:t>　　</w:t>
      </w:r>
      <w:r>
        <w:rPr>
          <w:rFonts w:hint="eastAsia" w:ascii="仿宋_GB2312" w:eastAsia="仿宋_GB2312"/>
          <w:kern w:val="0"/>
          <w:sz w:val="32"/>
          <w:szCs w:val="32"/>
        </w:rPr>
        <w:t>三、支出决算情况说明</w:t>
      </w:r>
    </w:p>
    <w:p>
      <w:pPr>
        <w:widowControl/>
        <w:spacing w:line="600" w:lineRule="exact"/>
        <w:ind w:firstLine="627" w:firstLineChars="196"/>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2017年全年基本支出8076826.05元，其中人员经费支出4763918.94元，占全年支出的58.98%；日常公用经费支出3312907.11元，占全年支出的41.02%；</w:t>
      </w:r>
    </w:p>
    <w:tbl>
      <w:tblPr>
        <w:tblStyle w:val="6"/>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25"/>
        <w:gridCol w:w="959"/>
        <w:gridCol w:w="959"/>
        <w:gridCol w:w="959"/>
        <w:gridCol w:w="3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差异率%</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　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807.68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财政拨付县级专项资金未纳入单位年初预算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Chars="10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807.68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财政拨付县级专项资金未纳入单位年初预算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Chars="20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其中：人员支出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214.81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476.39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121.78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财政拨付县级专项资金未纳入单位年初预算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Chars="20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公用经费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财政拨付县级专项资金未纳入单位年初预算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Chars="10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eastAsia="zh-CN"/>
              </w:rPr>
              <w:t>　　</w:t>
            </w:r>
            <w:r>
              <w:rPr>
                <w:rFonts w:hint="eastAsia" w:ascii="Arial" w:hAnsi="Arial" w:cs="Arial"/>
                <w:i w:val="0"/>
                <w:color w:val="000000"/>
                <w:sz w:val="20"/>
                <w:szCs w:val="20"/>
                <w:u w:val="none"/>
                <w:lang w:val="en-US" w:eastAsia="zh-CN"/>
              </w:rPr>
              <w:t>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eastAsia="zh-CN"/>
              </w:rPr>
              <w:t>　　</w:t>
            </w:r>
            <w:r>
              <w:rPr>
                <w:rFonts w:hint="eastAsia" w:ascii="Arial" w:hAnsi="Arial" w:cs="Arial"/>
                <w:i w:val="0"/>
                <w:color w:val="000000"/>
                <w:sz w:val="20"/>
                <w:szCs w:val="20"/>
                <w:u w:val="none"/>
                <w:lang w:val="en-US" w:eastAsia="zh-CN"/>
              </w:rPr>
              <w:t>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eastAsia="zh-CN"/>
              </w:rPr>
              <w:t>　　</w:t>
            </w:r>
            <w:r>
              <w:rPr>
                <w:rFonts w:hint="eastAsia" w:ascii="Arial" w:hAnsi="Arial" w:cs="Arial"/>
                <w:i w:val="0"/>
                <w:color w:val="000000"/>
                <w:sz w:val="20"/>
                <w:szCs w:val="20"/>
                <w:u w:val="none"/>
                <w:lang w:val="en-US" w:eastAsia="zh-CN"/>
              </w:rPr>
              <w:t>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bl>
    <w:p>
      <w:pPr>
        <w:widowControl/>
        <w:spacing w:line="600" w:lineRule="exact"/>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按支出功能分类进行分析</w:t>
      </w:r>
    </w:p>
    <w:tbl>
      <w:tblPr>
        <w:tblStyle w:val="6"/>
        <w:tblW w:w="8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95"/>
        <w:gridCol w:w="569"/>
        <w:gridCol w:w="869"/>
        <w:gridCol w:w="959"/>
        <w:gridCol w:w="899"/>
        <w:gridCol w:w="854"/>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差异率%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决算占比%</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　　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 一般公共服务支出</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403.40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75.78%</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年初未纳入预算，财政代交,年未预算调整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 社会保障和就业支出</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4.38%</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财政据实拨付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 医疗卫生与计划生育支出</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财政据实拨付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 城乡社区支出</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128.11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15.86%</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年初未纳入预算，财政代交,年未预算调整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 其他支出</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专项资金未纳入年初预算，财政直接支付，年未预算调整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Arial" w:hAnsi="Arial" w:cs="Arial"/>
                <w:i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807.69</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44.41%</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18"/>
                <w:szCs w:val="18"/>
                <w:u w:val="none"/>
              </w:rPr>
            </w:pPr>
          </w:p>
        </w:tc>
      </w:tr>
    </w:tbl>
    <w:p>
      <w:pPr>
        <w:widowControl/>
        <w:spacing w:line="600" w:lineRule="exact"/>
        <w:jc w:val="left"/>
        <w:rPr>
          <w:rFonts w:hint="eastAsia" w:ascii="仿宋_GB2312" w:eastAsia="仿宋_GB2312"/>
          <w:kern w:val="0"/>
          <w:sz w:val="32"/>
          <w:szCs w:val="32"/>
        </w:rPr>
      </w:pPr>
      <w:r>
        <w:rPr>
          <w:rFonts w:hint="eastAsia" w:ascii="仿宋_GB2312" w:eastAsia="仿宋_GB2312"/>
          <w:kern w:val="0"/>
          <w:sz w:val="32"/>
          <w:szCs w:val="32"/>
          <w:lang w:eastAsia="zh-CN"/>
        </w:rPr>
        <w:t>　</w:t>
      </w:r>
      <w:r>
        <w:rPr>
          <w:rFonts w:hint="eastAsia" w:ascii="仿宋_GB2312" w:eastAsia="仿宋_GB2312"/>
          <w:kern w:val="0"/>
          <w:sz w:val="32"/>
          <w:szCs w:val="32"/>
        </w:rPr>
        <w:t>四、财政拨款收入支出决算总体情况说明</w:t>
      </w:r>
    </w:p>
    <w:p>
      <w:pPr>
        <w:widowControl/>
        <w:spacing w:line="600" w:lineRule="exact"/>
        <w:ind w:firstLine="627" w:firstLineChars="196"/>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2017年全年财政拨款收入6740269.00元，其中一般公共预算财政拨款5247679元，比上年同期减少1665712.00元，同期下降24.09%，政府性基金预算财政拨款1492590.00元，比上年同期增加1387590.00元，同期增长1321.5%。因2016年政府性基金预算财政拨款只有105000.00元，为合理优化财政支出结构，调整预算支出进度，2017年加大对政府性基金预算监控力度，因而造成2017年全年财政拨款少于上年度。</w:t>
      </w:r>
    </w:p>
    <w:p>
      <w:pPr>
        <w:widowControl/>
        <w:spacing w:line="600" w:lineRule="exact"/>
        <w:ind w:firstLine="627" w:firstLineChars="196"/>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2017年全年财政拨款支出7150492.17元，其中一般公共预算财政拨款支出5657902.17元，政府性基金预算财政拨款支出1492590.00元。</w:t>
      </w:r>
    </w:p>
    <w:p>
      <w:pPr>
        <w:widowControl/>
        <w:spacing w:line="600" w:lineRule="exact"/>
        <w:ind w:firstLine="627" w:firstLineChars="196"/>
        <w:jc w:val="left"/>
        <w:rPr>
          <w:rFonts w:hint="eastAsia" w:ascii="仿宋_GB2312" w:eastAsia="仿宋_GB2312"/>
          <w:kern w:val="0"/>
          <w:sz w:val="32"/>
          <w:szCs w:val="32"/>
        </w:rPr>
      </w:pPr>
      <w:r>
        <w:rPr>
          <w:rFonts w:hint="eastAsia" w:ascii="仿宋_GB2312" w:eastAsia="仿宋_GB2312"/>
          <w:kern w:val="0"/>
          <w:sz w:val="32"/>
          <w:szCs w:val="32"/>
        </w:rPr>
        <w:t>五、一般公共预算财政拨款支出决算情况说明</w:t>
      </w:r>
    </w:p>
    <w:tbl>
      <w:tblPr>
        <w:tblStyle w:val="6"/>
        <w:tblW w:w="8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91"/>
        <w:gridCol w:w="870"/>
        <w:gridCol w:w="1200"/>
        <w:gridCol w:w="735"/>
        <w:gridCol w:w="870"/>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    标</w:t>
            </w:r>
          </w:p>
        </w:tc>
        <w:tc>
          <w:tcPr>
            <w:tcW w:w="87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本年度</w:t>
            </w:r>
          </w:p>
        </w:tc>
        <w:tc>
          <w:tcPr>
            <w:tcW w:w="120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上年度</w:t>
            </w:r>
          </w:p>
        </w:tc>
        <w:tc>
          <w:tcPr>
            <w:tcW w:w="73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比上年增减</w:t>
            </w:r>
          </w:p>
        </w:tc>
        <w:tc>
          <w:tcPr>
            <w:tcW w:w="87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增减％</w:t>
            </w:r>
          </w:p>
        </w:tc>
        <w:tc>
          <w:tcPr>
            <w:tcW w:w="2232" w:type="dxa"/>
            <w:vMerge w:val="restart"/>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32" w:type="dxa"/>
            <w:vMerge w:val="continue"/>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栏    次 </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一、年度收支情况（单位：万元）</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1.本年收入</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765.61</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811.52</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-45.92</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-5.66</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其中：一般公共预算财政拨款</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524.77</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691.34</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-166.57</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-24.09</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财政压缩一般预算拨款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149.26</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138.76</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1,321.51</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财政加大政府基金管理拨款力度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*事业收入</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32" w:type="dxa"/>
            <w:tcBorders>
              <w:bottom w:val="single" w:color="000000" w:sz="4"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经营收入</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32" w:type="dxa"/>
            <w:tcBorders>
              <w:bottom w:val="single" w:color="000000" w:sz="4"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*其他收入</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91.58</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109.68</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-16.51</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2.本年支出</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807.68</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766.34</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41.35</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按公务需要，支出略有增加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其中：基本支出</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807.68</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532.34</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275.35</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51.72</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按公务需要，财政拨款人员工资、津贴、绩效提标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（1）人员经费</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476.39</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340.21</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136.18</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40.03</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财政拨款人员工资、津贴、绩效提标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（2）日常公用经费</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331.29</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192.12</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139.17</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72.44</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按公务需要，支出略有增加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234.00</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-234.00</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今年没有文化广场建设项目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（1）基本建设类项目</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234.00</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-234.00</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2232" w:type="dxa"/>
            <w:tcBorders>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今年没有文化广场建设项目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09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（2）行政事业类项目</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32" w:type="dxa"/>
            <w:tcBorders>
              <w:bottom w:val="single" w:color="000000" w:sz="4"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r>
    </w:tbl>
    <w:p>
      <w:pPr>
        <w:widowControl/>
        <w:spacing w:line="600" w:lineRule="exact"/>
        <w:ind w:firstLine="627" w:firstLineChars="196"/>
        <w:jc w:val="left"/>
        <w:rPr>
          <w:rFonts w:hint="eastAsia" w:ascii="仿宋_GB2312" w:eastAsia="仿宋_GB2312"/>
          <w:kern w:val="0"/>
          <w:sz w:val="32"/>
          <w:szCs w:val="32"/>
        </w:rPr>
      </w:pPr>
    </w:p>
    <w:p>
      <w:pPr>
        <w:widowControl/>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七、一般公共预算财政拨款“三公”经费支出决算情况说明</w:t>
      </w:r>
    </w:p>
    <w:p>
      <w:pPr>
        <w:widowControl/>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（一）“三公”经费财政拨款支出决算总体情况说明。</w:t>
      </w:r>
    </w:p>
    <w:tbl>
      <w:tblPr>
        <w:tblStyle w:val="6"/>
        <w:tblW w:w="8983" w:type="dxa"/>
        <w:tblInd w:w="93" w:type="dxa"/>
        <w:tblLayout w:type="fixed"/>
        <w:tblCellMar>
          <w:top w:w="0" w:type="dxa"/>
          <w:left w:w="108" w:type="dxa"/>
          <w:bottom w:w="0" w:type="dxa"/>
          <w:right w:w="108" w:type="dxa"/>
        </w:tblCellMar>
      </w:tblPr>
      <w:tblGrid>
        <w:gridCol w:w="2175"/>
        <w:gridCol w:w="778"/>
        <w:gridCol w:w="547"/>
        <w:gridCol w:w="383"/>
        <w:gridCol w:w="597"/>
        <w:gridCol w:w="393"/>
        <w:gridCol w:w="1050"/>
        <w:gridCol w:w="885"/>
        <w:gridCol w:w="1290"/>
        <w:gridCol w:w="885"/>
      </w:tblGrid>
      <w:tr>
        <w:tblPrEx>
          <w:tblLayout w:type="fixed"/>
          <w:tblCellMar>
            <w:top w:w="0" w:type="dxa"/>
            <w:left w:w="108" w:type="dxa"/>
            <w:bottom w:w="0" w:type="dxa"/>
            <w:right w:w="108" w:type="dxa"/>
          </w:tblCellMar>
        </w:tblPrEx>
        <w:trPr>
          <w:trHeight w:val="555" w:hRule="atLeast"/>
        </w:trPr>
        <w:tc>
          <w:tcPr>
            <w:tcW w:w="8983" w:type="dxa"/>
            <w:gridSpan w:val="10"/>
            <w:tcBorders>
              <w:top w:val="nil"/>
              <w:left w:val="nil"/>
              <w:bottom w:val="nil"/>
              <w:right w:val="nil"/>
            </w:tcBorders>
            <w:vAlign w:val="center"/>
          </w:tcPr>
          <w:p>
            <w:pPr>
              <w:widowControl/>
              <w:jc w:val="center"/>
              <w:rPr>
                <w:rFonts w:ascii="仿宋" w:hAnsi="仿宋" w:eastAsia="仿宋" w:cs="宋体"/>
                <w:b w:val="0"/>
                <w:bCs w:val="0"/>
                <w:color w:val="000000"/>
                <w:kern w:val="0"/>
                <w:sz w:val="36"/>
                <w:szCs w:val="36"/>
              </w:rPr>
            </w:pPr>
            <w:r>
              <w:rPr>
                <w:rFonts w:hint="eastAsia" w:ascii="仿宋" w:hAnsi="仿宋" w:eastAsia="仿宋" w:cs="宋体"/>
                <w:b w:val="0"/>
                <w:bCs w:val="0"/>
                <w:color w:val="000000"/>
                <w:kern w:val="0"/>
                <w:sz w:val="36"/>
                <w:szCs w:val="36"/>
                <w:lang w:eastAsia="zh-CN"/>
              </w:rPr>
              <w:t>“</w:t>
            </w:r>
            <w:r>
              <w:rPr>
                <w:rFonts w:hint="eastAsia" w:ascii="仿宋" w:hAnsi="仿宋" w:eastAsia="仿宋" w:cs="宋体"/>
                <w:b w:val="0"/>
                <w:bCs w:val="0"/>
                <w:color w:val="000000"/>
                <w:kern w:val="0"/>
                <w:sz w:val="36"/>
                <w:szCs w:val="36"/>
              </w:rPr>
              <w:t>三公”经费执行情况分析表</w:t>
            </w:r>
          </w:p>
        </w:tc>
      </w:tr>
      <w:tr>
        <w:tblPrEx>
          <w:tblLayout w:type="fixed"/>
          <w:tblCellMar>
            <w:top w:w="0" w:type="dxa"/>
            <w:left w:w="108" w:type="dxa"/>
            <w:bottom w:w="0" w:type="dxa"/>
            <w:right w:w="108" w:type="dxa"/>
          </w:tblCellMar>
        </w:tblPrEx>
        <w:trPr>
          <w:trHeight w:val="390" w:hRule="atLeast"/>
        </w:trPr>
        <w:tc>
          <w:tcPr>
            <w:tcW w:w="2175" w:type="dxa"/>
            <w:tcBorders>
              <w:top w:val="nil"/>
              <w:left w:val="nil"/>
              <w:bottom w:val="nil"/>
              <w:right w:val="nil"/>
            </w:tcBorders>
            <w:vAlign w:val="center"/>
          </w:tcPr>
          <w:p>
            <w:pPr>
              <w:widowControl/>
              <w:jc w:val="left"/>
              <w:rPr>
                <w:rFonts w:ascii="仿宋" w:hAnsi="仿宋" w:eastAsia="仿宋" w:cs="宋体"/>
                <w:b w:val="0"/>
                <w:bCs w:val="0"/>
                <w:kern w:val="0"/>
                <w:sz w:val="24"/>
              </w:rPr>
            </w:pPr>
          </w:p>
        </w:tc>
        <w:tc>
          <w:tcPr>
            <w:tcW w:w="1325" w:type="dxa"/>
            <w:gridSpan w:val="2"/>
            <w:tcBorders>
              <w:top w:val="nil"/>
              <w:left w:val="nil"/>
              <w:bottom w:val="nil"/>
              <w:right w:val="nil"/>
            </w:tcBorders>
            <w:vAlign w:val="center"/>
          </w:tcPr>
          <w:p>
            <w:pPr>
              <w:widowControl/>
              <w:jc w:val="left"/>
              <w:rPr>
                <w:rFonts w:ascii="仿宋" w:hAnsi="仿宋" w:eastAsia="仿宋" w:cs="宋体"/>
                <w:b w:val="0"/>
                <w:bCs w:val="0"/>
                <w:kern w:val="0"/>
                <w:sz w:val="24"/>
              </w:rPr>
            </w:pPr>
          </w:p>
        </w:tc>
        <w:tc>
          <w:tcPr>
            <w:tcW w:w="980" w:type="dxa"/>
            <w:gridSpan w:val="2"/>
            <w:tcBorders>
              <w:top w:val="nil"/>
              <w:left w:val="nil"/>
              <w:bottom w:val="nil"/>
              <w:right w:val="nil"/>
            </w:tcBorders>
            <w:vAlign w:val="center"/>
          </w:tcPr>
          <w:p>
            <w:pPr>
              <w:widowControl/>
              <w:jc w:val="left"/>
              <w:rPr>
                <w:rFonts w:ascii="仿宋" w:hAnsi="仿宋" w:eastAsia="仿宋" w:cs="宋体"/>
                <w:b w:val="0"/>
                <w:bCs w:val="0"/>
                <w:kern w:val="0"/>
                <w:sz w:val="24"/>
              </w:rPr>
            </w:pPr>
          </w:p>
        </w:tc>
        <w:tc>
          <w:tcPr>
            <w:tcW w:w="393" w:type="dxa"/>
            <w:tcBorders>
              <w:top w:val="nil"/>
              <w:left w:val="nil"/>
              <w:bottom w:val="nil"/>
              <w:right w:val="nil"/>
            </w:tcBorders>
            <w:vAlign w:val="center"/>
          </w:tcPr>
          <w:p>
            <w:pPr>
              <w:widowControl/>
              <w:jc w:val="left"/>
              <w:rPr>
                <w:rFonts w:ascii="仿宋" w:hAnsi="仿宋" w:eastAsia="仿宋" w:cs="宋体"/>
                <w:b w:val="0"/>
                <w:bCs w:val="0"/>
                <w:kern w:val="0"/>
                <w:sz w:val="24"/>
              </w:rPr>
            </w:pPr>
          </w:p>
        </w:tc>
        <w:tc>
          <w:tcPr>
            <w:tcW w:w="1050" w:type="dxa"/>
            <w:tcBorders>
              <w:top w:val="nil"/>
              <w:left w:val="nil"/>
              <w:bottom w:val="nil"/>
              <w:right w:val="nil"/>
            </w:tcBorders>
            <w:vAlign w:val="center"/>
          </w:tcPr>
          <w:p>
            <w:pPr>
              <w:widowControl/>
              <w:jc w:val="left"/>
              <w:rPr>
                <w:rFonts w:ascii="仿宋" w:hAnsi="仿宋" w:eastAsia="仿宋" w:cs="宋体"/>
                <w:b w:val="0"/>
                <w:bCs w:val="0"/>
                <w:kern w:val="0"/>
                <w:sz w:val="24"/>
              </w:rPr>
            </w:pPr>
          </w:p>
        </w:tc>
        <w:tc>
          <w:tcPr>
            <w:tcW w:w="885" w:type="dxa"/>
            <w:tcBorders>
              <w:top w:val="nil"/>
              <w:left w:val="nil"/>
              <w:bottom w:val="nil"/>
              <w:right w:val="nil"/>
            </w:tcBorders>
            <w:vAlign w:val="center"/>
          </w:tcPr>
          <w:p>
            <w:pPr>
              <w:widowControl/>
              <w:jc w:val="left"/>
              <w:rPr>
                <w:rFonts w:ascii="仿宋" w:hAnsi="仿宋" w:eastAsia="仿宋" w:cs="宋体"/>
                <w:b w:val="0"/>
                <w:bCs w:val="0"/>
                <w:kern w:val="0"/>
                <w:sz w:val="24"/>
              </w:rPr>
            </w:pPr>
          </w:p>
        </w:tc>
        <w:tc>
          <w:tcPr>
            <w:tcW w:w="2175" w:type="dxa"/>
            <w:gridSpan w:val="2"/>
            <w:tcBorders>
              <w:top w:val="nil"/>
              <w:left w:val="nil"/>
              <w:bottom w:val="nil"/>
              <w:right w:val="nil"/>
            </w:tcBorders>
            <w:vAlign w:val="center"/>
          </w:tcPr>
          <w:p>
            <w:pPr>
              <w:widowControl/>
              <w:jc w:val="left"/>
              <w:rPr>
                <w:rFonts w:ascii="仿宋" w:hAnsi="仿宋" w:eastAsia="仿宋" w:cs="宋体"/>
                <w:b w:val="0"/>
                <w:bCs w:val="0"/>
                <w:kern w:val="0"/>
                <w:sz w:val="24"/>
              </w:rPr>
            </w:pPr>
            <w:r>
              <w:rPr>
                <w:rFonts w:hint="eastAsia" w:ascii="仿宋" w:hAnsi="仿宋" w:eastAsia="仿宋" w:cs="宋体"/>
                <w:b w:val="0"/>
                <w:bCs w:val="0"/>
                <w:kern w:val="0"/>
                <w:sz w:val="24"/>
              </w:rPr>
              <w:t>单位：万元</w:t>
            </w:r>
          </w:p>
        </w:tc>
      </w:tr>
      <w:tr>
        <w:tblPrEx>
          <w:tblLayout w:type="fixed"/>
          <w:tblCellMar>
            <w:top w:w="0" w:type="dxa"/>
            <w:left w:w="108" w:type="dxa"/>
            <w:bottom w:w="0" w:type="dxa"/>
            <w:right w:w="108" w:type="dxa"/>
          </w:tblCellMar>
        </w:tblPrEx>
        <w:trPr>
          <w:trHeight w:val="284" w:hRule="atLeast"/>
        </w:trPr>
        <w:tc>
          <w:tcPr>
            <w:tcW w:w="2175" w:type="dxa"/>
            <w:vMerge w:val="restart"/>
            <w:tcBorders>
              <w:top w:val="single" w:color="auto" w:sz="8" w:space="0"/>
              <w:left w:val="single" w:color="auto" w:sz="8" w:space="0"/>
              <w:bottom w:val="single" w:color="000000" w:sz="8" w:space="0"/>
              <w:right w:val="nil"/>
            </w:tcBorders>
            <w:vAlign w:val="center"/>
          </w:tcPr>
          <w:p>
            <w:pPr>
              <w:widowControl/>
              <w:jc w:val="center"/>
              <w:rPr>
                <w:rFonts w:ascii="仿宋" w:hAnsi="仿宋" w:eastAsia="仿宋" w:cs="宋体"/>
                <w:b w:val="0"/>
                <w:bCs w:val="0"/>
                <w:color w:val="000000"/>
                <w:kern w:val="0"/>
                <w:sz w:val="18"/>
                <w:szCs w:val="18"/>
              </w:rPr>
            </w:pPr>
            <w:r>
              <w:rPr>
                <w:rFonts w:hint="eastAsia" w:ascii="仿宋" w:hAnsi="仿宋" w:eastAsia="仿宋" w:cs="宋体"/>
                <w:b w:val="0"/>
                <w:bCs w:val="0"/>
                <w:color w:val="000000"/>
                <w:kern w:val="0"/>
                <w:sz w:val="18"/>
                <w:szCs w:val="18"/>
              </w:rPr>
              <w:t>项目</w:t>
            </w:r>
          </w:p>
        </w:tc>
        <w:tc>
          <w:tcPr>
            <w:tcW w:w="269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val="0"/>
                <w:bCs w:val="0"/>
                <w:color w:val="000000"/>
                <w:kern w:val="0"/>
                <w:sz w:val="18"/>
                <w:szCs w:val="18"/>
              </w:rPr>
            </w:pPr>
            <w:r>
              <w:rPr>
                <w:rFonts w:hint="eastAsia" w:ascii="仿宋" w:hAnsi="仿宋" w:eastAsia="仿宋" w:cs="宋体"/>
                <w:b w:val="0"/>
                <w:bCs w:val="0"/>
                <w:color w:val="000000"/>
                <w:kern w:val="0"/>
                <w:sz w:val="18"/>
                <w:szCs w:val="18"/>
              </w:rPr>
              <w:t>2017年度</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val="0"/>
                <w:bCs w:val="0"/>
                <w:color w:val="000000"/>
                <w:kern w:val="0"/>
                <w:sz w:val="18"/>
                <w:szCs w:val="18"/>
              </w:rPr>
            </w:pPr>
            <w:r>
              <w:rPr>
                <w:rFonts w:hint="eastAsia" w:ascii="仿宋" w:hAnsi="仿宋" w:eastAsia="仿宋" w:cs="宋体"/>
                <w:b w:val="0"/>
                <w:bCs w:val="0"/>
                <w:color w:val="000000"/>
                <w:kern w:val="0"/>
                <w:sz w:val="18"/>
                <w:szCs w:val="18"/>
              </w:rPr>
              <w:t>2016年度</w:t>
            </w:r>
          </w:p>
        </w:tc>
        <w:tc>
          <w:tcPr>
            <w:tcW w:w="885" w:type="dxa"/>
            <w:vMerge w:val="restart"/>
            <w:tcBorders>
              <w:top w:val="single" w:color="auto" w:sz="4" w:space="0"/>
              <w:left w:val="single" w:color="auto" w:sz="4" w:space="0"/>
              <w:bottom w:val="single" w:color="auto" w:sz="4" w:space="0"/>
              <w:right w:val="single" w:color="auto" w:sz="4" w:space="0"/>
            </w:tcBorders>
            <w:vAlign w:val="top"/>
          </w:tcPr>
          <w:p>
            <w:pPr>
              <w:widowControl/>
              <w:jc w:val="center"/>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rPr>
              <w:t xml:space="preserve"> 比上年增减额</w:t>
            </w:r>
          </w:p>
        </w:tc>
        <w:tc>
          <w:tcPr>
            <w:tcW w:w="1290" w:type="dxa"/>
            <w:vMerge w:val="restart"/>
            <w:tcBorders>
              <w:top w:val="single" w:color="auto" w:sz="4" w:space="0"/>
              <w:left w:val="single" w:color="auto" w:sz="4" w:space="0"/>
              <w:bottom w:val="single" w:color="auto" w:sz="4" w:space="0"/>
              <w:right w:val="single" w:color="auto" w:sz="4" w:space="0"/>
            </w:tcBorders>
            <w:vAlign w:val="top"/>
          </w:tcPr>
          <w:p>
            <w:pPr>
              <w:widowControl/>
              <w:jc w:val="center"/>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rPr>
              <w:t xml:space="preserve"> 比上年下降率</w:t>
            </w:r>
          </w:p>
        </w:tc>
        <w:tc>
          <w:tcPr>
            <w:tcW w:w="885" w:type="dxa"/>
            <w:vMerge w:val="restart"/>
            <w:tcBorders>
              <w:top w:val="single" w:color="auto" w:sz="4" w:space="0"/>
              <w:left w:val="single" w:color="auto" w:sz="4" w:space="0"/>
              <w:bottom w:val="single" w:color="000000" w:sz="4" w:space="0"/>
              <w:right w:val="single" w:color="auto" w:sz="4" w:space="0"/>
            </w:tcBorders>
            <w:vAlign w:val="top"/>
          </w:tcPr>
          <w:p>
            <w:pPr>
              <w:widowControl/>
              <w:jc w:val="center"/>
              <w:rPr>
                <w:rFonts w:ascii="仿宋" w:hAnsi="仿宋" w:eastAsia="仿宋" w:cs="宋体"/>
                <w:b w:val="0"/>
                <w:bCs w:val="0"/>
                <w:color w:val="000000"/>
                <w:kern w:val="0"/>
                <w:sz w:val="18"/>
                <w:szCs w:val="18"/>
              </w:rPr>
            </w:pPr>
            <w:r>
              <w:rPr>
                <w:rFonts w:hint="eastAsia" w:ascii="仿宋" w:hAnsi="仿宋" w:eastAsia="仿宋" w:cs="宋体"/>
                <w:b w:val="0"/>
                <w:bCs w:val="0"/>
                <w:color w:val="000000"/>
                <w:kern w:val="0"/>
                <w:sz w:val="18"/>
                <w:szCs w:val="18"/>
              </w:rPr>
              <w:t xml:space="preserve">           原因</w:t>
            </w:r>
          </w:p>
        </w:tc>
      </w:tr>
      <w:tr>
        <w:tblPrEx>
          <w:tblLayout w:type="fixed"/>
          <w:tblCellMar>
            <w:top w:w="0" w:type="dxa"/>
            <w:left w:w="108" w:type="dxa"/>
            <w:bottom w:w="0" w:type="dxa"/>
            <w:right w:w="108" w:type="dxa"/>
          </w:tblCellMar>
        </w:tblPrEx>
        <w:trPr>
          <w:trHeight w:val="431" w:hRule="atLeast"/>
        </w:trPr>
        <w:tc>
          <w:tcPr>
            <w:tcW w:w="2175" w:type="dxa"/>
            <w:vMerge w:val="continue"/>
            <w:tcBorders>
              <w:top w:val="single" w:color="auto" w:sz="8" w:space="0"/>
              <w:left w:val="single" w:color="auto" w:sz="8" w:space="0"/>
              <w:bottom w:val="single" w:color="000000" w:sz="8" w:space="0"/>
              <w:right w:val="nil"/>
            </w:tcBorders>
            <w:vAlign w:val="center"/>
          </w:tcPr>
          <w:p>
            <w:pPr>
              <w:widowControl/>
              <w:jc w:val="left"/>
              <w:rPr>
                <w:rFonts w:ascii="仿宋" w:hAnsi="仿宋" w:eastAsia="仿宋" w:cs="宋体"/>
                <w:b w:val="0"/>
                <w:bCs w:val="0"/>
                <w:color w:val="000000"/>
                <w:kern w:val="0"/>
                <w:sz w:val="18"/>
                <w:szCs w:val="18"/>
              </w:rPr>
            </w:pPr>
          </w:p>
        </w:tc>
        <w:tc>
          <w:tcPr>
            <w:tcW w:w="778" w:type="dxa"/>
            <w:tcBorders>
              <w:top w:val="nil"/>
              <w:left w:val="single" w:color="auto" w:sz="4" w:space="0"/>
              <w:bottom w:val="single" w:color="auto" w:sz="4" w:space="0"/>
              <w:right w:val="single" w:color="auto" w:sz="4" w:space="0"/>
            </w:tcBorders>
            <w:vAlign w:val="top"/>
          </w:tcPr>
          <w:p>
            <w:pPr>
              <w:widowControl/>
              <w:jc w:val="center"/>
              <w:rPr>
                <w:rFonts w:ascii="仿宋" w:hAnsi="仿宋" w:eastAsia="仿宋" w:cs="宋体"/>
                <w:b w:val="0"/>
                <w:bCs w:val="0"/>
                <w:kern w:val="0"/>
                <w:sz w:val="16"/>
                <w:szCs w:val="16"/>
              </w:rPr>
            </w:pPr>
            <w:r>
              <w:rPr>
                <w:rFonts w:hint="eastAsia" w:ascii="仿宋" w:hAnsi="仿宋" w:eastAsia="仿宋" w:cs="宋体"/>
                <w:b w:val="0"/>
                <w:bCs w:val="0"/>
                <w:kern w:val="0"/>
                <w:sz w:val="16"/>
                <w:szCs w:val="16"/>
              </w:rPr>
              <w:t>年初预算数</w:t>
            </w:r>
          </w:p>
        </w:tc>
        <w:tc>
          <w:tcPr>
            <w:tcW w:w="930" w:type="dxa"/>
            <w:gridSpan w:val="2"/>
            <w:tcBorders>
              <w:top w:val="nil"/>
              <w:left w:val="nil"/>
              <w:bottom w:val="single" w:color="auto" w:sz="4" w:space="0"/>
              <w:right w:val="single" w:color="auto" w:sz="4" w:space="0"/>
            </w:tcBorders>
            <w:vAlign w:val="top"/>
          </w:tcPr>
          <w:p>
            <w:pPr>
              <w:widowControl/>
              <w:jc w:val="center"/>
              <w:rPr>
                <w:rFonts w:ascii="仿宋" w:hAnsi="仿宋" w:eastAsia="仿宋" w:cs="宋体"/>
                <w:b w:val="0"/>
                <w:bCs w:val="0"/>
                <w:kern w:val="0"/>
                <w:sz w:val="18"/>
                <w:szCs w:val="18"/>
              </w:rPr>
            </w:pPr>
            <w:r>
              <w:rPr>
                <w:rFonts w:hint="eastAsia" w:ascii="仿宋" w:hAnsi="仿宋" w:eastAsia="仿宋" w:cs="宋体"/>
                <w:b w:val="0"/>
                <w:bCs w:val="0"/>
                <w:kern w:val="0"/>
                <w:sz w:val="18"/>
                <w:szCs w:val="18"/>
              </w:rPr>
              <w:t>决算数</w:t>
            </w:r>
          </w:p>
        </w:tc>
        <w:tc>
          <w:tcPr>
            <w:tcW w:w="990" w:type="dxa"/>
            <w:gridSpan w:val="2"/>
            <w:tcBorders>
              <w:top w:val="nil"/>
              <w:left w:val="nil"/>
              <w:bottom w:val="single" w:color="auto" w:sz="4" w:space="0"/>
              <w:right w:val="single" w:color="auto" w:sz="4" w:space="0"/>
            </w:tcBorders>
            <w:vAlign w:val="top"/>
          </w:tcPr>
          <w:p>
            <w:pPr>
              <w:widowControl/>
              <w:jc w:val="center"/>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rPr>
              <w:t>执行预算增减额度</w:t>
            </w:r>
          </w:p>
        </w:tc>
        <w:tc>
          <w:tcPr>
            <w:tcW w:w="1050" w:type="dxa"/>
            <w:tcBorders>
              <w:top w:val="nil"/>
              <w:left w:val="nil"/>
              <w:bottom w:val="single" w:color="auto" w:sz="4" w:space="0"/>
              <w:right w:val="single" w:color="auto" w:sz="4" w:space="0"/>
            </w:tcBorders>
            <w:vAlign w:val="top"/>
          </w:tcPr>
          <w:p>
            <w:pPr>
              <w:widowControl/>
              <w:jc w:val="center"/>
              <w:rPr>
                <w:rFonts w:ascii="仿宋" w:hAnsi="仿宋" w:eastAsia="仿宋" w:cs="宋体"/>
                <w:b w:val="0"/>
                <w:bCs w:val="0"/>
                <w:kern w:val="0"/>
                <w:sz w:val="18"/>
                <w:szCs w:val="18"/>
              </w:rPr>
            </w:pPr>
            <w:r>
              <w:rPr>
                <w:rFonts w:hint="eastAsia" w:ascii="仿宋" w:hAnsi="仿宋" w:eastAsia="仿宋" w:cs="宋体"/>
                <w:b w:val="0"/>
                <w:bCs w:val="0"/>
                <w:kern w:val="0"/>
                <w:sz w:val="18"/>
                <w:szCs w:val="18"/>
              </w:rPr>
              <w:t>决算数</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val="0"/>
                <w:bCs w:val="0"/>
                <w:color w:val="000000"/>
                <w:kern w:val="0"/>
                <w:sz w:val="16"/>
                <w:szCs w:val="16"/>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val="0"/>
                <w:bCs w:val="0"/>
                <w:color w:val="000000"/>
                <w:kern w:val="0"/>
                <w:sz w:val="16"/>
                <w:szCs w:val="16"/>
              </w:rPr>
            </w:pPr>
          </w:p>
        </w:tc>
        <w:tc>
          <w:tcPr>
            <w:tcW w:w="8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b w:val="0"/>
                <w:bCs w:val="0"/>
                <w:color w:val="000000"/>
                <w:kern w:val="0"/>
                <w:sz w:val="18"/>
                <w:szCs w:val="18"/>
              </w:rPr>
            </w:pPr>
          </w:p>
        </w:tc>
      </w:tr>
      <w:tr>
        <w:tblPrEx>
          <w:tblLayout w:type="fixed"/>
          <w:tblCellMar>
            <w:top w:w="0" w:type="dxa"/>
            <w:left w:w="108" w:type="dxa"/>
            <w:bottom w:w="0" w:type="dxa"/>
            <w:right w:w="108" w:type="dxa"/>
          </w:tblCellMar>
        </w:tblPrEx>
        <w:trPr>
          <w:trHeight w:val="300" w:hRule="atLeast"/>
        </w:trPr>
        <w:tc>
          <w:tcPr>
            <w:tcW w:w="2175" w:type="dxa"/>
            <w:tcBorders>
              <w:top w:val="nil"/>
              <w:left w:val="single" w:color="auto" w:sz="8" w:space="0"/>
              <w:bottom w:val="single" w:color="auto" w:sz="8" w:space="0"/>
              <w:right w:val="nil"/>
            </w:tcBorders>
            <w:vAlign w:val="center"/>
          </w:tcPr>
          <w:p>
            <w:pPr>
              <w:widowControl/>
              <w:jc w:val="left"/>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lang w:eastAsia="zh-CN"/>
              </w:rPr>
              <w:t>一、</w:t>
            </w:r>
            <w:r>
              <w:rPr>
                <w:rFonts w:hint="eastAsia" w:ascii="仿宋" w:hAnsi="仿宋" w:eastAsia="仿宋" w:cs="宋体"/>
                <w:b w:val="0"/>
                <w:bCs w:val="0"/>
                <w:color w:val="000000"/>
                <w:kern w:val="0"/>
                <w:sz w:val="16"/>
                <w:szCs w:val="16"/>
              </w:rPr>
              <w:t>“三公”经费支出</w:t>
            </w:r>
          </w:p>
        </w:tc>
        <w:tc>
          <w:tcPr>
            <w:tcW w:w="778" w:type="dxa"/>
            <w:tcBorders>
              <w:top w:val="nil"/>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54</w:t>
            </w:r>
          </w:p>
        </w:tc>
        <w:tc>
          <w:tcPr>
            <w:tcW w:w="930" w:type="dxa"/>
            <w:gridSpan w:val="2"/>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49.48</w:t>
            </w:r>
          </w:p>
        </w:tc>
        <w:tc>
          <w:tcPr>
            <w:tcW w:w="990" w:type="dxa"/>
            <w:gridSpan w:val="2"/>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ascii="仿宋" w:hAnsi="仿宋" w:eastAsia="仿宋" w:cs="Calibri"/>
                <w:b w:val="0"/>
                <w:bCs w:val="0"/>
                <w:kern w:val="0"/>
                <w:szCs w:val="21"/>
              </w:rPr>
              <w:t>-</w:t>
            </w:r>
            <w:r>
              <w:rPr>
                <w:rFonts w:hint="eastAsia" w:ascii="仿宋" w:hAnsi="仿宋" w:eastAsia="仿宋" w:cs="Calibri"/>
                <w:b w:val="0"/>
                <w:bCs w:val="0"/>
                <w:kern w:val="0"/>
                <w:szCs w:val="21"/>
                <w:lang w:val="en-US" w:eastAsia="zh-CN"/>
              </w:rPr>
              <w:t>8.37</w:t>
            </w:r>
          </w:p>
        </w:tc>
        <w:tc>
          <w:tcPr>
            <w:tcW w:w="1050" w:type="dxa"/>
            <w:tcBorders>
              <w:top w:val="nil"/>
              <w:left w:val="nil"/>
              <w:bottom w:val="single" w:color="auto" w:sz="4" w:space="0"/>
              <w:right w:val="single" w:color="auto" w:sz="4" w:space="0"/>
            </w:tcBorders>
            <w:vAlign w:val="top"/>
          </w:tcPr>
          <w:p>
            <w:pPr>
              <w:widowControl/>
              <w:rPr>
                <w:rFonts w:ascii="仿宋" w:hAnsi="仿宋" w:eastAsia="仿宋" w:cs="Calibri"/>
                <w:b w:val="0"/>
                <w:bCs w:val="0"/>
                <w:kern w:val="0"/>
                <w:szCs w:val="21"/>
              </w:rPr>
            </w:pPr>
            <w:r>
              <w:rPr>
                <w:rFonts w:ascii="仿宋" w:hAnsi="仿宋" w:eastAsia="仿宋" w:cs="Calibri"/>
                <w:b w:val="0"/>
                <w:bCs w:val="0"/>
                <w:kern w:val="0"/>
                <w:szCs w:val="21"/>
              </w:rPr>
              <w:t>28.3265</w:t>
            </w:r>
          </w:p>
        </w:tc>
        <w:tc>
          <w:tcPr>
            <w:tcW w:w="885" w:type="dxa"/>
            <w:tcBorders>
              <w:top w:val="nil"/>
              <w:left w:val="nil"/>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w:t>
            </w:r>
            <w:r>
              <w:rPr>
                <w:rFonts w:hint="eastAsia" w:ascii="仿宋" w:hAnsi="仿宋" w:eastAsia="仿宋" w:cs="Calibri"/>
                <w:b w:val="0"/>
                <w:bCs w:val="0"/>
                <w:kern w:val="0"/>
                <w:szCs w:val="21"/>
              </w:rPr>
              <w:t>8.5265</w:t>
            </w:r>
          </w:p>
        </w:tc>
        <w:tc>
          <w:tcPr>
            <w:tcW w:w="1290" w:type="dxa"/>
            <w:tcBorders>
              <w:top w:val="nil"/>
              <w:left w:val="nil"/>
              <w:bottom w:val="single" w:color="auto" w:sz="4" w:space="0"/>
              <w:right w:val="single" w:color="auto" w:sz="4" w:space="0"/>
            </w:tcBorders>
            <w:vAlign w:val="center"/>
          </w:tcPr>
          <w:p>
            <w:pPr>
              <w:widowControl/>
              <w:jc w:val="right"/>
              <w:rPr>
                <w:rFonts w:ascii="仿宋" w:hAnsi="仿宋" w:eastAsia="仿宋" w:cs="宋体"/>
                <w:b w:val="0"/>
                <w:bCs w:val="0"/>
                <w:kern w:val="0"/>
                <w:sz w:val="18"/>
                <w:szCs w:val="18"/>
              </w:rPr>
            </w:pPr>
            <w:r>
              <w:rPr>
                <w:rFonts w:hint="eastAsia" w:ascii="仿宋" w:hAnsi="仿宋" w:eastAsia="仿宋" w:cs="宋体"/>
                <w:b w:val="0"/>
                <w:bCs w:val="0"/>
                <w:kern w:val="0"/>
                <w:sz w:val="18"/>
                <w:szCs w:val="18"/>
              </w:rPr>
              <w:t>30.1%</w:t>
            </w:r>
          </w:p>
        </w:tc>
        <w:tc>
          <w:tcPr>
            <w:tcW w:w="885" w:type="dxa"/>
            <w:vMerge w:val="restart"/>
            <w:tcBorders>
              <w:top w:val="nil"/>
              <w:left w:val="single" w:color="auto" w:sz="4" w:space="0"/>
              <w:right w:val="single" w:color="auto" w:sz="4" w:space="0"/>
            </w:tcBorders>
            <w:vAlign w:val="center"/>
          </w:tcPr>
          <w:p>
            <w:pPr>
              <w:widowControl/>
              <w:jc w:val="center"/>
              <w:rPr>
                <w:rFonts w:ascii="仿宋" w:hAnsi="仿宋" w:eastAsia="仿宋" w:cs="宋体"/>
                <w:b w:val="0"/>
                <w:bCs w:val="0"/>
                <w:kern w:val="0"/>
                <w:sz w:val="18"/>
                <w:szCs w:val="18"/>
              </w:rPr>
            </w:pPr>
            <w:r>
              <w:rPr>
                <w:rFonts w:hint="eastAsia" w:ascii="仿宋" w:hAnsi="仿宋" w:eastAsia="仿宋" w:cs="宋体"/>
                <w:b w:val="0"/>
                <w:bCs w:val="0"/>
                <w:kern w:val="0"/>
                <w:sz w:val="18"/>
                <w:szCs w:val="18"/>
              </w:rPr>
              <w:t>经费不足和严格执行中央、省、州的规定以及财经制度和审批程序</w:t>
            </w:r>
          </w:p>
        </w:tc>
      </w:tr>
      <w:tr>
        <w:tblPrEx>
          <w:tblLayout w:type="fixed"/>
          <w:tblCellMar>
            <w:top w:w="0" w:type="dxa"/>
            <w:left w:w="108" w:type="dxa"/>
            <w:bottom w:w="0" w:type="dxa"/>
            <w:right w:w="108" w:type="dxa"/>
          </w:tblCellMar>
        </w:tblPrEx>
        <w:trPr>
          <w:trHeight w:val="373" w:hRule="atLeast"/>
        </w:trPr>
        <w:tc>
          <w:tcPr>
            <w:tcW w:w="2175" w:type="dxa"/>
            <w:tcBorders>
              <w:top w:val="nil"/>
              <w:left w:val="single" w:color="auto" w:sz="8" w:space="0"/>
              <w:bottom w:val="single" w:color="auto" w:sz="8" w:space="0"/>
              <w:right w:val="nil"/>
            </w:tcBorders>
            <w:vAlign w:val="center"/>
          </w:tcPr>
          <w:p>
            <w:pPr>
              <w:widowControl/>
              <w:jc w:val="left"/>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rPr>
              <w:t>因公出国（境）费</w:t>
            </w:r>
          </w:p>
        </w:tc>
        <w:tc>
          <w:tcPr>
            <w:tcW w:w="778" w:type="dxa"/>
            <w:tcBorders>
              <w:top w:val="nil"/>
              <w:left w:val="single" w:color="auto" w:sz="4" w:space="0"/>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　</w:t>
            </w:r>
          </w:p>
        </w:tc>
        <w:tc>
          <w:tcPr>
            <w:tcW w:w="930" w:type="dxa"/>
            <w:gridSpan w:val="2"/>
            <w:tcBorders>
              <w:top w:val="nil"/>
              <w:left w:val="nil"/>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　</w:t>
            </w:r>
          </w:p>
        </w:tc>
        <w:tc>
          <w:tcPr>
            <w:tcW w:w="990" w:type="dxa"/>
            <w:gridSpan w:val="2"/>
            <w:tcBorders>
              <w:top w:val="nil"/>
              <w:left w:val="nil"/>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　</w:t>
            </w:r>
          </w:p>
        </w:tc>
        <w:tc>
          <w:tcPr>
            <w:tcW w:w="1050" w:type="dxa"/>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18.53</w:t>
            </w:r>
          </w:p>
        </w:tc>
        <w:tc>
          <w:tcPr>
            <w:tcW w:w="885" w:type="dxa"/>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ascii="仿宋" w:hAnsi="仿宋" w:eastAsia="仿宋" w:cs="Calibri"/>
                <w:b w:val="0"/>
                <w:bCs w:val="0"/>
                <w:kern w:val="0"/>
                <w:szCs w:val="21"/>
              </w:rPr>
              <w:t>-</w:t>
            </w:r>
            <w:r>
              <w:rPr>
                <w:rFonts w:hint="eastAsia" w:ascii="仿宋" w:hAnsi="仿宋" w:eastAsia="仿宋" w:cs="Calibri"/>
                <w:b w:val="0"/>
                <w:bCs w:val="0"/>
                <w:kern w:val="0"/>
                <w:szCs w:val="21"/>
                <w:lang w:val="en-US" w:eastAsia="zh-CN"/>
              </w:rPr>
              <w:t>18.53</w:t>
            </w:r>
          </w:p>
        </w:tc>
        <w:tc>
          <w:tcPr>
            <w:tcW w:w="1290" w:type="dxa"/>
            <w:tcBorders>
              <w:top w:val="nil"/>
              <w:left w:val="nil"/>
              <w:bottom w:val="single" w:color="auto" w:sz="4" w:space="0"/>
              <w:right w:val="single" w:color="auto" w:sz="4" w:space="0"/>
            </w:tcBorders>
            <w:vAlign w:val="center"/>
          </w:tcPr>
          <w:p>
            <w:pPr>
              <w:widowControl/>
              <w:jc w:val="right"/>
              <w:rPr>
                <w:rFonts w:ascii="仿宋" w:hAnsi="仿宋" w:eastAsia="仿宋" w:cs="宋体"/>
                <w:b w:val="0"/>
                <w:bCs w:val="0"/>
                <w:kern w:val="0"/>
                <w:sz w:val="18"/>
                <w:szCs w:val="18"/>
              </w:rPr>
            </w:pPr>
            <w:r>
              <w:rPr>
                <w:rFonts w:hint="eastAsia" w:ascii="仿宋" w:hAnsi="仿宋" w:eastAsia="仿宋" w:cs="宋体"/>
                <w:b w:val="0"/>
                <w:bCs w:val="0"/>
                <w:kern w:val="0"/>
                <w:sz w:val="18"/>
                <w:szCs w:val="18"/>
                <w:lang w:val="en-US" w:eastAsia="zh-CN"/>
              </w:rPr>
              <w:t>-</w:t>
            </w:r>
            <w:r>
              <w:rPr>
                <w:rFonts w:hint="eastAsia" w:ascii="仿宋" w:hAnsi="仿宋" w:eastAsia="仿宋" w:cs="宋体"/>
                <w:b w:val="0"/>
                <w:bCs w:val="0"/>
                <w:kern w:val="0"/>
                <w:sz w:val="18"/>
                <w:szCs w:val="18"/>
              </w:rPr>
              <w:t>100%</w:t>
            </w:r>
          </w:p>
        </w:tc>
        <w:tc>
          <w:tcPr>
            <w:tcW w:w="885" w:type="dxa"/>
            <w:vMerge w:val="continue"/>
            <w:tcBorders>
              <w:left w:val="single" w:color="auto" w:sz="4" w:space="0"/>
              <w:right w:val="single" w:color="auto" w:sz="4" w:space="0"/>
            </w:tcBorders>
            <w:vAlign w:val="center"/>
          </w:tcPr>
          <w:p>
            <w:pPr>
              <w:widowControl/>
              <w:jc w:val="left"/>
              <w:rPr>
                <w:rFonts w:ascii="仿宋" w:hAnsi="仿宋" w:eastAsia="仿宋" w:cs="宋体"/>
                <w:b w:val="0"/>
                <w:bCs w:val="0"/>
                <w:kern w:val="0"/>
                <w:sz w:val="18"/>
                <w:szCs w:val="18"/>
              </w:rPr>
            </w:pPr>
          </w:p>
        </w:tc>
      </w:tr>
      <w:tr>
        <w:tblPrEx>
          <w:tblLayout w:type="fixed"/>
          <w:tblCellMar>
            <w:top w:w="0" w:type="dxa"/>
            <w:left w:w="108" w:type="dxa"/>
            <w:bottom w:w="0" w:type="dxa"/>
            <w:right w:w="108" w:type="dxa"/>
          </w:tblCellMar>
        </w:tblPrEx>
        <w:trPr>
          <w:trHeight w:val="300" w:hRule="atLeast"/>
        </w:trPr>
        <w:tc>
          <w:tcPr>
            <w:tcW w:w="2175" w:type="dxa"/>
            <w:tcBorders>
              <w:top w:val="nil"/>
              <w:left w:val="single" w:color="auto" w:sz="8" w:space="0"/>
              <w:bottom w:val="single" w:color="auto" w:sz="8" w:space="0"/>
              <w:right w:val="nil"/>
            </w:tcBorders>
            <w:vAlign w:val="center"/>
          </w:tcPr>
          <w:p>
            <w:pPr>
              <w:widowControl/>
              <w:jc w:val="left"/>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rPr>
              <w:t>公务用车购置及运行维护费</w:t>
            </w:r>
          </w:p>
        </w:tc>
        <w:tc>
          <w:tcPr>
            <w:tcW w:w="778" w:type="dxa"/>
            <w:tcBorders>
              <w:top w:val="nil"/>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10</w:t>
            </w:r>
          </w:p>
        </w:tc>
        <w:tc>
          <w:tcPr>
            <w:tcW w:w="930" w:type="dxa"/>
            <w:gridSpan w:val="2"/>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9.58</w:t>
            </w:r>
          </w:p>
        </w:tc>
        <w:tc>
          <w:tcPr>
            <w:tcW w:w="990" w:type="dxa"/>
            <w:gridSpan w:val="2"/>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ascii="仿宋" w:hAnsi="仿宋" w:eastAsia="仿宋" w:cs="Calibri"/>
                <w:b w:val="0"/>
                <w:bCs w:val="0"/>
                <w:kern w:val="0"/>
                <w:szCs w:val="21"/>
              </w:rPr>
              <w:t>-</w:t>
            </w:r>
            <w:r>
              <w:rPr>
                <w:rFonts w:hint="eastAsia" w:ascii="仿宋" w:hAnsi="仿宋" w:eastAsia="仿宋" w:cs="Calibri"/>
                <w:b w:val="0"/>
                <w:bCs w:val="0"/>
                <w:kern w:val="0"/>
                <w:szCs w:val="21"/>
                <w:lang w:val="en-US" w:eastAsia="zh-CN"/>
              </w:rPr>
              <w:t>4.21</w:t>
            </w:r>
          </w:p>
        </w:tc>
        <w:tc>
          <w:tcPr>
            <w:tcW w:w="1050" w:type="dxa"/>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10.04</w:t>
            </w:r>
          </w:p>
        </w:tc>
        <w:tc>
          <w:tcPr>
            <w:tcW w:w="885" w:type="dxa"/>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-0.46</w:t>
            </w:r>
          </w:p>
        </w:tc>
        <w:tc>
          <w:tcPr>
            <w:tcW w:w="12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b w:val="0"/>
                <w:bCs w:val="0"/>
                <w:kern w:val="0"/>
                <w:sz w:val="18"/>
                <w:szCs w:val="18"/>
                <w:lang w:val="en-US" w:eastAsia="zh-CN"/>
              </w:rPr>
            </w:pPr>
            <w:r>
              <w:rPr>
                <w:rFonts w:hint="eastAsia" w:ascii="仿宋" w:hAnsi="仿宋" w:eastAsia="仿宋" w:cs="宋体"/>
                <w:b w:val="0"/>
                <w:bCs w:val="0"/>
                <w:kern w:val="0"/>
                <w:sz w:val="18"/>
                <w:szCs w:val="18"/>
                <w:lang w:val="en-US" w:eastAsia="zh-CN"/>
              </w:rPr>
              <w:t>-4.6</w:t>
            </w:r>
          </w:p>
        </w:tc>
        <w:tc>
          <w:tcPr>
            <w:tcW w:w="885" w:type="dxa"/>
            <w:vMerge w:val="continue"/>
            <w:tcBorders>
              <w:left w:val="single" w:color="auto" w:sz="4" w:space="0"/>
              <w:right w:val="single" w:color="auto" w:sz="4" w:space="0"/>
            </w:tcBorders>
            <w:vAlign w:val="center"/>
          </w:tcPr>
          <w:p>
            <w:pPr>
              <w:widowControl/>
              <w:jc w:val="left"/>
              <w:rPr>
                <w:rFonts w:ascii="仿宋" w:hAnsi="仿宋" w:eastAsia="仿宋" w:cs="宋体"/>
                <w:b w:val="0"/>
                <w:bCs w:val="0"/>
                <w:kern w:val="0"/>
                <w:sz w:val="18"/>
                <w:szCs w:val="18"/>
              </w:rPr>
            </w:pPr>
          </w:p>
        </w:tc>
      </w:tr>
      <w:tr>
        <w:tblPrEx>
          <w:tblLayout w:type="fixed"/>
          <w:tblCellMar>
            <w:top w:w="0" w:type="dxa"/>
            <w:left w:w="108" w:type="dxa"/>
            <w:bottom w:w="0" w:type="dxa"/>
            <w:right w:w="108" w:type="dxa"/>
          </w:tblCellMar>
        </w:tblPrEx>
        <w:trPr>
          <w:trHeight w:val="383" w:hRule="atLeast"/>
        </w:trPr>
        <w:tc>
          <w:tcPr>
            <w:tcW w:w="2175" w:type="dxa"/>
            <w:tcBorders>
              <w:top w:val="nil"/>
              <w:left w:val="single" w:color="auto" w:sz="8" w:space="0"/>
              <w:bottom w:val="single" w:color="auto" w:sz="8" w:space="0"/>
              <w:right w:val="nil"/>
            </w:tcBorders>
            <w:vAlign w:val="center"/>
          </w:tcPr>
          <w:p>
            <w:pPr>
              <w:widowControl/>
              <w:jc w:val="left"/>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rPr>
              <w:t>其中：公务用车购置费</w:t>
            </w:r>
          </w:p>
        </w:tc>
        <w:tc>
          <w:tcPr>
            <w:tcW w:w="778" w:type="dxa"/>
            <w:tcBorders>
              <w:top w:val="nil"/>
              <w:left w:val="single" w:color="auto" w:sz="4" w:space="0"/>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　</w:t>
            </w:r>
          </w:p>
        </w:tc>
        <w:tc>
          <w:tcPr>
            <w:tcW w:w="930" w:type="dxa"/>
            <w:gridSpan w:val="2"/>
            <w:tcBorders>
              <w:top w:val="nil"/>
              <w:left w:val="nil"/>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　</w:t>
            </w:r>
          </w:p>
        </w:tc>
        <w:tc>
          <w:tcPr>
            <w:tcW w:w="990" w:type="dxa"/>
            <w:gridSpan w:val="2"/>
            <w:tcBorders>
              <w:top w:val="nil"/>
              <w:left w:val="nil"/>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　</w:t>
            </w:r>
          </w:p>
        </w:tc>
        <w:tc>
          <w:tcPr>
            <w:tcW w:w="1050" w:type="dxa"/>
            <w:tcBorders>
              <w:top w:val="nil"/>
              <w:left w:val="nil"/>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　</w:t>
            </w:r>
          </w:p>
        </w:tc>
        <w:tc>
          <w:tcPr>
            <w:tcW w:w="885" w:type="dxa"/>
            <w:tcBorders>
              <w:top w:val="nil"/>
              <w:left w:val="nil"/>
              <w:bottom w:val="single" w:color="auto" w:sz="4" w:space="0"/>
              <w:right w:val="single" w:color="auto" w:sz="4" w:space="0"/>
            </w:tcBorders>
            <w:vAlign w:val="top"/>
          </w:tcPr>
          <w:p>
            <w:pPr>
              <w:widowControl/>
              <w:jc w:val="center"/>
              <w:rPr>
                <w:rFonts w:ascii="仿宋" w:hAnsi="仿宋" w:eastAsia="仿宋" w:cs="Calibri"/>
                <w:b w:val="0"/>
                <w:bCs w:val="0"/>
                <w:kern w:val="0"/>
                <w:szCs w:val="21"/>
              </w:rPr>
            </w:pPr>
            <w:r>
              <w:rPr>
                <w:rFonts w:ascii="仿宋" w:hAnsi="仿宋" w:eastAsia="仿宋" w:cs="Calibri"/>
                <w:b w:val="0"/>
                <w:bCs w:val="0"/>
                <w:kern w:val="0"/>
                <w:szCs w:val="21"/>
              </w:rPr>
              <w:t>　</w:t>
            </w:r>
          </w:p>
        </w:tc>
        <w:tc>
          <w:tcPr>
            <w:tcW w:w="1290" w:type="dxa"/>
            <w:tcBorders>
              <w:top w:val="nil"/>
              <w:left w:val="nil"/>
              <w:bottom w:val="single" w:color="auto" w:sz="4" w:space="0"/>
              <w:right w:val="single" w:color="auto" w:sz="4" w:space="0"/>
            </w:tcBorders>
            <w:vAlign w:val="center"/>
          </w:tcPr>
          <w:p>
            <w:pPr>
              <w:widowControl/>
              <w:jc w:val="left"/>
              <w:rPr>
                <w:rFonts w:ascii="仿宋" w:hAnsi="仿宋" w:eastAsia="仿宋" w:cs="宋体"/>
                <w:b w:val="0"/>
                <w:bCs w:val="0"/>
                <w:kern w:val="0"/>
                <w:sz w:val="18"/>
                <w:szCs w:val="18"/>
              </w:rPr>
            </w:pPr>
            <w:r>
              <w:rPr>
                <w:rFonts w:hint="eastAsia" w:ascii="仿宋" w:hAnsi="仿宋" w:eastAsia="仿宋" w:cs="宋体"/>
                <w:b w:val="0"/>
                <w:bCs w:val="0"/>
                <w:kern w:val="0"/>
                <w:sz w:val="18"/>
                <w:szCs w:val="18"/>
              </w:rPr>
              <w:t>　</w:t>
            </w:r>
          </w:p>
        </w:tc>
        <w:tc>
          <w:tcPr>
            <w:tcW w:w="885" w:type="dxa"/>
            <w:vMerge w:val="continue"/>
            <w:tcBorders>
              <w:left w:val="single" w:color="auto" w:sz="4" w:space="0"/>
              <w:right w:val="single" w:color="auto" w:sz="4" w:space="0"/>
            </w:tcBorders>
            <w:vAlign w:val="center"/>
          </w:tcPr>
          <w:p>
            <w:pPr>
              <w:widowControl/>
              <w:jc w:val="left"/>
              <w:rPr>
                <w:rFonts w:ascii="仿宋" w:hAnsi="仿宋" w:eastAsia="仿宋" w:cs="宋体"/>
                <w:b w:val="0"/>
                <w:bCs w:val="0"/>
                <w:kern w:val="0"/>
                <w:sz w:val="18"/>
                <w:szCs w:val="18"/>
              </w:rPr>
            </w:pPr>
          </w:p>
        </w:tc>
      </w:tr>
      <w:tr>
        <w:tblPrEx>
          <w:tblLayout w:type="fixed"/>
          <w:tblCellMar>
            <w:top w:w="0" w:type="dxa"/>
            <w:left w:w="108" w:type="dxa"/>
            <w:bottom w:w="0" w:type="dxa"/>
            <w:right w:w="108" w:type="dxa"/>
          </w:tblCellMar>
        </w:tblPrEx>
        <w:trPr>
          <w:trHeight w:val="405" w:hRule="atLeast"/>
        </w:trPr>
        <w:tc>
          <w:tcPr>
            <w:tcW w:w="2175" w:type="dxa"/>
            <w:tcBorders>
              <w:top w:val="nil"/>
              <w:left w:val="single" w:color="auto" w:sz="8" w:space="0"/>
              <w:bottom w:val="single" w:color="auto" w:sz="4" w:space="0"/>
              <w:right w:val="nil"/>
            </w:tcBorders>
            <w:vAlign w:val="center"/>
          </w:tcPr>
          <w:p>
            <w:pPr>
              <w:widowControl/>
              <w:ind w:firstLine="320" w:firstLineChars="200"/>
              <w:jc w:val="left"/>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rPr>
              <w:t>公务用车运行维护费</w:t>
            </w:r>
          </w:p>
        </w:tc>
        <w:tc>
          <w:tcPr>
            <w:tcW w:w="778" w:type="dxa"/>
            <w:tcBorders>
              <w:top w:val="nil"/>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10</w:t>
            </w:r>
          </w:p>
        </w:tc>
        <w:tc>
          <w:tcPr>
            <w:tcW w:w="930" w:type="dxa"/>
            <w:gridSpan w:val="2"/>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9.58</w:t>
            </w:r>
          </w:p>
        </w:tc>
        <w:tc>
          <w:tcPr>
            <w:tcW w:w="990" w:type="dxa"/>
            <w:gridSpan w:val="2"/>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ascii="仿宋" w:hAnsi="仿宋" w:eastAsia="仿宋" w:cs="Calibri"/>
                <w:b w:val="0"/>
                <w:bCs w:val="0"/>
                <w:kern w:val="0"/>
                <w:szCs w:val="21"/>
              </w:rPr>
              <w:t>-</w:t>
            </w:r>
            <w:r>
              <w:rPr>
                <w:rFonts w:hint="eastAsia" w:ascii="仿宋" w:hAnsi="仿宋" w:eastAsia="仿宋" w:cs="Calibri"/>
                <w:b w:val="0"/>
                <w:bCs w:val="0"/>
                <w:kern w:val="0"/>
                <w:szCs w:val="21"/>
                <w:lang w:val="en-US" w:eastAsia="zh-CN"/>
              </w:rPr>
              <w:t>4.21</w:t>
            </w:r>
          </w:p>
        </w:tc>
        <w:tc>
          <w:tcPr>
            <w:tcW w:w="1050" w:type="dxa"/>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10.04</w:t>
            </w:r>
          </w:p>
        </w:tc>
        <w:tc>
          <w:tcPr>
            <w:tcW w:w="885" w:type="dxa"/>
            <w:tcBorders>
              <w:top w:val="nil"/>
              <w:left w:val="nil"/>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ascii="仿宋" w:hAnsi="仿宋" w:eastAsia="仿宋" w:cs="Calibri"/>
                <w:b w:val="0"/>
                <w:bCs w:val="0"/>
                <w:kern w:val="0"/>
                <w:szCs w:val="21"/>
              </w:rPr>
              <w:t>-</w:t>
            </w:r>
            <w:r>
              <w:rPr>
                <w:rFonts w:hint="eastAsia" w:ascii="仿宋" w:hAnsi="仿宋" w:eastAsia="仿宋" w:cs="Calibri"/>
                <w:b w:val="0"/>
                <w:bCs w:val="0"/>
                <w:kern w:val="0"/>
                <w:szCs w:val="21"/>
                <w:lang w:val="en-US" w:eastAsia="zh-CN"/>
              </w:rPr>
              <w:t>0.46</w:t>
            </w:r>
          </w:p>
        </w:tc>
        <w:tc>
          <w:tcPr>
            <w:tcW w:w="1290" w:type="dxa"/>
            <w:tcBorders>
              <w:top w:val="nil"/>
              <w:left w:val="nil"/>
              <w:bottom w:val="single" w:color="auto" w:sz="4" w:space="0"/>
              <w:right w:val="single" w:color="auto" w:sz="4" w:space="0"/>
            </w:tcBorders>
            <w:vAlign w:val="center"/>
          </w:tcPr>
          <w:p>
            <w:pPr>
              <w:widowControl/>
              <w:jc w:val="right"/>
              <w:rPr>
                <w:rFonts w:hint="eastAsia" w:ascii="仿宋" w:hAnsi="仿宋" w:eastAsia="仿宋" w:cs="宋体"/>
                <w:b w:val="0"/>
                <w:bCs w:val="0"/>
                <w:kern w:val="0"/>
                <w:sz w:val="18"/>
                <w:szCs w:val="18"/>
                <w:lang w:val="en-US" w:eastAsia="zh-CN"/>
              </w:rPr>
            </w:pPr>
            <w:r>
              <w:rPr>
                <w:rFonts w:hint="eastAsia" w:ascii="仿宋" w:hAnsi="仿宋" w:eastAsia="仿宋" w:cs="宋体"/>
                <w:b w:val="0"/>
                <w:bCs w:val="0"/>
                <w:kern w:val="0"/>
                <w:sz w:val="18"/>
                <w:szCs w:val="18"/>
                <w:lang w:val="en-US" w:eastAsia="zh-CN"/>
              </w:rPr>
              <w:t>-4.6</w:t>
            </w:r>
          </w:p>
        </w:tc>
        <w:tc>
          <w:tcPr>
            <w:tcW w:w="885" w:type="dxa"/>
            <w:vMerge w:val="continue"/>
            <w:tcBorders>
              <w:left w:val="single" w:color="auto" w:sz="4" w:space="0"/>
              <w:right w:val="single" w:color="auto" w:sz="4" w:space="0"/>
            </w:tcBorders>
            <w:vAlign w:val="center"/>
          </w:tcPr>
          <w:p>
            <w:pPr>
              <w:widowControl/>
              <w:jc w:val="left"/>
              <w:rPr>
                <w:rFonts w:ascii="仿宋" w:hAnsi="仿宋" w:eastAsia="仿宋" w:cs="宋体"/>
                <w:b w:val="0"/>
                <w:bCs w:val="0"/>
                <w:kern w:val="0"/>
                <w:sz w:val="18"/>
                <w:szCs w:val="18"/>
              </w:rPr>
            </w:pPr>
          </w:p>
        </w:tc>
      </w:tr>
      <w:tr>
        <w:tblPrEx>
          <w:tblLayout w:type="fixed"/>
          <w:tblCellMar>
            <w:top w:w="0" w:type="dxa"/>
            <w:left w:w="108" w:type="dxa"/>
            <w:bottom w:w="0" w:type="dxa"/>
            <w:right w:w="108" w:type="dxa"/>
          </w:tblCellMar>
        </w:tblPrEx>
        <w:trPr>
          <w:trHeight w:val="232"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rPr>
              <w:t>公务接待费</w:t>
            </w:r>
          </w:p>
        </w:tc>
        <w:tc>
          <w:tcPr>
            <w:tcW w:w="7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44</w:t>
            </w:r>
          </w:p>
        </w:tc>
        <w:tc>
          <w:tcPr>
            <w:tcW w:w="93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39.9</w:t>
            </w:r>
          </w:p>
        </w:tc>
        <w:tc>
          <w:tcPr>
            <w:tcW w:w="99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ascii="仿宋" w:hAnsi="仿宋" w:eastAsia="仿宋" w:cs="Calibri"/>
                <w:b w:val="0"/>
                <w:bCs w:val="0"/>
                <w:kern w:val="0"/>
                <w:szCs w:val="21"/>
              </w:rPr>
              <w:t>-</w:t>
            </w:r>
            <w:r>
              <w:rPr>
                <w:rFonts w:hint="eastAsia" w:ascii="仿宋" w:hAnsi="仿宋" w:eastAsia="仿宋" w:cs="Calibri"/>
                <w:b w:val="0"/>
                <w:bCs w:val="0"/>
                <w:kern w:val="0"/>
                <w:szCs w:val="21"/>
                <w:lang w:val="en-US" w:eastAsia="zh-CN"/>
              </w:rPr>
              <w:t>9.32</w:t>
            </w:r>
          </w:p>
        </w:tc>
        <w:tc>
          <w:tcPr>
            <w:tcW w:w="105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42.17</w:t>
            </w:r>
          </w:p>
        </w:tc>
        <w:tc>
          <w:tcPr>
            <w:tcW w:w="8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-2.27</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仿宋" w:eastAsia="仿宋" w:cs="宋体"/>
                <w:b w:val="0"/>
                <w:bCs w:val="0"/>
                <w:kern w:val="0"/>
                <w:sz w:val="18"/>
                <w:szCs w:val="18"/>
                <w:lang w:val="en-US" w:eastAsia="zh-CN"/>
              </w:rPr>
            </w:pPr>
            <w:r>
              <w:rPr>
                <w:rFonts w:hint="eastAsia" w:ascii="仿宋" w:hAnsi="仿宋" w:eastAsia="仿宋" w:cs="宋体"/>
                <w:b w:val="0"/>
                <w:bCs w:val="0"/>
                <w:kern w:val="0"/>
                <w:sz w:val="18"/>
                <w:szCs w:val="18"/>
                <w:lang w:val="en-US" w:eastAsia="zh-CN"/>
              </w:rPr>
              <w:t>-5.4</w:t>
            </w:r>
          </w:p>
        </w:tc>
        <w:tc>
          <w:tcPr>
            <w:tcW w:w="885" w:type="dxa"/>
            <w:vMerge w:val="continue"/>
            <w:tcBorders>
              <w:left w:val="single" w:color="auto" w:sz="4" w:space="0"/>
              <w:right w:val="single" w:color="auto" w:sz="4" w:space="0"/>
            </w:tcBorders>
            <w:vAlign w:val="center"/>
          </w:tcPr>
          <w:p>
            <w:pPr>
              <w:widowControl/>
              <w:jc w:val="left"/>
              <w:rPr>
                <w:rFonts w:ascii="仿宋" w:hAnsi="仿宋" w:eastAsia="仿宋" w:cs="宋体"/>
                <w:b w:val="0"/>
                <w:bCs w:val="0"/>
                <w:kern w:val="0"/>
                <w:sz w:val="18"/>
                <w:szCs w:val="18"/>
              </w:rPr>
            </w:pPr>
          </w:p>
        </w:tc>
      </w:tr>
      <w:tr>
        <w:tblPrEx>
          <w:tblLayout w:type="fixed"/>
          <w:tblCellMar>
            <w:top w:w="0" w:type="dxa"/>
            <w:left w:w="108" w:type="dxa"/>
            <w:bottom w:w="0" w:type="dxa"/>
            <w:right w:w="108" w:type="dxa"/>
          </w:tblCellMar>
        </w:tblPrEx>
        <w:trPr>
          <w:trHeight w:val="329"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lang w:eastAsia="zh-CN"/>
              </w:rPr>
              <w:t>二、</w:t>
            </w:r>
            <w:r>
              <w:rPr>
                <w:rFonts w:hint="eastAsia" w:ascii="仿宋" w:hAnsi="仿宋" w:eastAsia="仿宋" w:cs="宋体"/>
                <w:b w:val="0"/>
                <w:bCs w:val="0"/>
                <w:color w:val="000000"/>
                <w:kern w:val="0"/>
                <w:sz w:val="16"/>
                <w:szCs w:val="16"/>
              </w:rPr>
              <w:t>会议费</w:t>
            </w:r>
          </w:p>
        </w:tc>
        <w:tc>
          <w:tcPr>
            <w:tcW w:w="7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0.72</w:t>
            </w:r>
          </w:p>
        </w:tc>
        <w:tc>
          <w:tcPr>
            <w:tcW w:w="93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0.72</w:t>
            </w:r>
          </w:p>
        </w:tc>
        <w:tc>
          <w:tcPr>
            <w:tcW w:w="99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w:t>
            </w:r>
          </w:p>
        </w:tc>
        <w:tc>
          <w:tcPr>
            <w:tcW w:w="105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0.72</w:t>
            </w:r>
          </w:p>
        </w:tc>
        <w:tc>
          <w:tcPr>
            <w:tcW w:w="8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rPr>
            </w:pPr>
            <w:r>
              <w:rPr>
                <w:rFonts w:hint="eastAsia" w:ascii="仿宋" w:hAnsi="仿宋" w:eastAsia="仿宋" w:cs="Calibri"/>
                <w:b w:val="0"/>
                <w:bCs w:val="0"/>
                <w:kern w:val="0"/>
                <w:szCs w:val="21"/>
              </w:rPr>
              <w:t>0</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仿宋" w:eastAsia="仿宋" w:cs="宋体"/>
                <w:b w:val="0"/>
                <w:bCs w:val="0"/>
                <w:kern w:val="0"/>
                <w:sz w:val="18"/>
                <w:szCs w:val="18"/>
              </w:rPr>
            </w:pPr>
            <w:r>
              <w:rPr>
                <w:rFonts w:hint="eastAsia" w:ascii="仿宋" w:hAnsi="仿宋" w:eastAsia="仿宋" w:cs="宋体"/>
                <w:b w:val="0"/>
                <w:bCs w:val="0"/>
                <w:kern w:val="0"/>
                <w:sz w:val="18"/>
                <w:szCs w:val="18"/>
              </w:rPr>
              <w:t>0</w:t>
            </w:r>
          </w:p>
        </w:tc>
        <w:tc>
          <w:tcPr>
            <w:tcW w:w="885" w:type="dxa"/>
            <w:vMerge w:val="continue"/>
            <w:tcBorders>
              <w:left w:val="single" w:color="auto" w:sz="4" w:space="0"/>
              <w:right w:val="single" w:color="auto" w:sz="4" w:space="0"/>
            </w:tcBorders>
            <w:vAlign w:val="center"/>
          </w:tcPr>
          <w:p>
            <w:pPr>
              <w:widowControl/>
              <w:jc w:val="left"/>
              <w:rPr>
                <w:rFonts w:ascii="仿宋" w:hAnsi="仿宋" w:eastAsia="仿宋" w:cs="宋体"/>
                <w:b w:val="0"/>
                <w:bCs w:val="0"/>
                <w:kern w:val="0"/>
                <w:sz w:val="18"/>
                <w:szCs w:val="18"/>
              </w:rPr>
            </w:pPr>
          </w:p>
        </w:tc>
      </w:tr>
      <w:tr>
        <w:tblPrEx>
          <w:tblLayout w:type="fixed"/>
          <w:tblCellMar>
            <w:top w:w="0" w:type="dxa"/>
            <w:left w:w="108" w:type="dxa"/>
            <w:bottom w:w="0" w:type="dxa"/>
            <w:right w:w="108" w:type="dxa"/>
          </w:tblCellMar>
        </w:tblPrEx>
        <w:trPr>
          <w:trHeight w:val="469"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b w:val="0"/>
                <w:bCs w:val="0"/>
                <w:color w:val="000000"/>
                <w:kern w:val="0"/>
                <w:sz w:val="16"/>
                <w:szCs w:val="16"/>
              </w:rPr>
            </w:pPr>
            <w:r>
              <w:rPr>
                <w:rFonts w:hint="eastAsia" w:ascii="仿宋" w:hAnsi="仿宋" w:eastAsia="仿宋" w:cs="宋体"/>
                <w:b w:val="0"/>
                <w:bCs w:val="0"/>
                <w:color w:val="000000"/>
                <w:kern w:val="0"/>
                <w:sz w:val="16"/>
                <w:szCs w:val="16"/>
                <w:lang w:eastAsia="zh-CN"/>
              </w:rPr>
              <w:t>三、</w:t>
            </w:r>
            <w:r>
              <w:rPr>
                <w:rFonts w:hint="eastAsia" w:ascii="仿宋" w:hAnsi="仿宋" w:eastAsia="仿宋" w:cs="宋体"/>
                <w:b w:val="0"/>
                <w:bCs w:val="0"/>
                <w:color w:val="000000"/>
                <w:kern w:val="0"/>
                <w:sz w:val="16"/>
                <w:szCs w:val="16"/>
              </w:rPr>
              <w:t>培训费</w:t>
            </w:r>
          </w:p>
        </w:tc>
        <w:tc>
          <w:tcPr>
            <w:tcW w:w="77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0.54</w:t>
            </w:r>
          </w:p>
        </w:tc>
        <w:tc>
          <w:tcPr>
            <w:tcW w:w="93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0.54</w:t>
            </w:r>
          </w:p>
        </w:tc>
        <w:tc>
          <w:tcPr>
            <w:tcW w:w="99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w:t>
            </w:r>
          </w:p>
        </w:tc>
        <w:tc>
          <w:tcPr>
            <w:tcW w:w="105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lang w:val="en-US" w:eastAsia="zh-CN"/>
              </w:rPr>
            </w:pPr>
            <w:r>
              <w:rPr>
                <w:rFonts w:hint="eastAsia" w:ascii="仿宋" w:hAnsi="仿宋" w:eastAsia="仿宋" w:cs="Calibri"/>
                <w:b w:val="0"/>
                <w:bCs w:val="0"/>
                <w:kern w:val="0"/>
                <w:szCs w:val="21"/>
                <w:lang w:val="en-US" w:eastAsia="zh-CN"/>
              </w:rPr>
              <w:t>0.54</w:t>
            </w:r>
          </w:p>
        </w:tc>
        <w:tc>
          <w:tcPr>
            <w:tcW w:w="88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 w:hAnsi="仿宋" w:eastAsia="仿宋" w:cs="Calibri"/>
                <w:b w:val="0"/>
                <w:bCs w:val="0"/>
                <w:kern w:val="0"/>
                <w:szCs w:val="21"/>
              </w:rPr>
            </w:pPr>
            <w:r>
              <w:rPr>
                <w:rFonts w:hint="eastAsia" w:ascii="仿宋" w:hAnsi="仿宋" w:eastAsia="仿宋" w:cs="Calibri"/>
                <w:b w:val="0"/>
                <w:bCs w:val="0"/>
                <w:kern w:val="0"/>
                <w:szCs w:val="21"/>
              </w:rPr>
              <w:t>0</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仿宋" w:eastAsia="仿宋" w:cs="宋体"/>
                <w:b w:val="0"/>
                <w:bCs w:val="0"/>
                <w:kern w:val="0"/>
                <w:sz w:val="18"/>
                <w:szCs w:val="18"/>
              </w:rPr>
            </w:pPr>
            <w:r>
              <w:rPr>
                <w:rFonts w:hint="eastAsia" w:ascii="仿宋" w:hAnsi="仿宋" w:eastAsia="仿宋" w:cs="宋体"/>
                <w:b w:val="0"/>
                <w:bCs w:val="0"/>
                <w:kern w:val="0"/>
                <w:sz w:val="18"/>
                <w:szCs w:val="18"/>
              </w:rPr>
              <w:t>0</w:t>
            </w:r>
          </w:p>
        </w:tc>
        <w:tc>
          <w:tcPr>
            <w:tcW w:w="885"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val="0"/>
                <w:bCs w:val="0"/>
                <w:kern w:val="0"/>
                <w:sz w:val="18"/>
                <w:szCs w:val="18"/>
              </w:rPr>
            </w:pPr>
          </w:p>
        </w:tc>
      </w:tr>
    </w:tbl>
    <w:p>
      <w:pPr>
        <w:widowControl/>
        <w:ind w:firstLine="640" w:firstLineChars="200"/>
        <w:rPr>
          <w:rFonts w:hint="eastAsia" w:ascii="仿宋_GB2312" w:eastAsia="仿宋_GB2312"/>
          <w:b w:val="0"/>
          <w:bCs w:val="0"/>
          <w:kern w:val="0"/>
          <w:sz w:val="32"/>
          <w:szCs w:val="32"/>
        </w:rPr>
      </w:pPr>
    </w:p>
    <w:p>
      <w:pPr>
        <w:snapToGrid w:val="0"/>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2017年中共龙山县委宣传部“三公”经费财政拨款支出总计494794.77元，其中：</w:t>
      </w:r>
    </w:p>
    <w:p>
      <w:pPr>
        <w:snapToGrid w:val="0"/>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a.因公出国（境）</w:t>
      </w:r>
      <w:r>
        <w:rPr>
          <w:rFonts w:hint="eastAsia" w:ascii="仿宋" w:hAnsi="仿宋" w:eastAsia="仿宋" w:cs="仿宋"/>
          <w:sz w:val="30"/>
          <w:szCs w:val="30"/>
          <w:lang w:eastAsia="zh-CN"/>
        </w:rPr>
        <w:t>因</w:t>
      </w:r>
      <w:r>
        <w:rPr>
          <w:rFonts w:hint="eastAsia" w:ascii="仿宋" w:hAnsi="仿宋" w:eastAsia="仿宋" w:cs="仿宋"/>
          <w:sz w:val="30"/>
          <w:szCs w:val="30"/>
          <w:lang w:val="en-US" w:eastAsia="zh-CN"/>
        </w:rPr>
        <w:t>2017年无工作需要，因而本年度无相关支出列支；</w:t>
      </w:r>
    </w:p>
    <w:p>
      <w:pPr>
        <w:snapToGrid w:val="0"/>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b.公务用车运行维护费95794.77元，</w:t>
      </w:r>
      <w:r>
        <w:rPr>
          <w:rFonts w:hint="eastAsia" w:ascii="仿宋" w:hAnsi="仿宋" w:eastAsia="仿宋" w:cs="仿宋"/>
          <w:sz w:val="30"/>
          <w:szCs w:val="30"/>
          <w:lang w:eastAsia="zh-CN"/>
        </w:rPr>
        <w:t>公车改革县委宣传部于年中上交公车三辆，因而比上年同期下降</w:t>
      </w:r>
      <w:r>
        <w:rPr>
          <w:rFonts w:hint="eastAsia" w:ascii="仿宋" w:hAnsi="仿宋" w:eastAsia="仿宋" w:cs="仿宋"/>
          <w:sz w:val="30"/>
          <w:szCs w:val="30"/>
          <w:lang w:val="en-US" w:eastAsia="zh-CN"/>
        </w:rPr>
        <w:t>4563.09元；</w:t>
      </w:r>
    </w:p>
    <w:p>
      <w:pPr>
        <w:snapToGrid w:val="0"/>
        <w:spacing w:line="52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c.公务接待费399000元，因本单位严格执行公务接待管理制度，厉行节约，反对浪费，因而比上年同期下降22700.50元</w:t>
      </w:r>
      <w:r>
        <w:rPr>
          <w:rFonts w:hint="eastAsia" w:ascii="仿宋" w:hAnsi="仿宋" w:eastAsia="仿宋" w:cs="仿宋"/>
          <w:sz w:val="30"/>
          <w:szCs w:val="30"/>
          <w:lang w:eastAsia="zh-CN"/>
        </w:rPr>
        <w:t>。</w:t>
      </w:r>
    </w:p>
    <w:p>
      <w:pPr>
        <w:snapToGrid w:val="0"/>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三公”经费财政拨款支出年初预算540000.00元，其中：公务用车购置及运行维护费100000.00元，公务接待费440000.00元。因单位压缩开支，2017年公务用车运行维护费决算数比年初预算数减少4205.23元，公务接待费决算数比年初预算数减少41000.00元。</w:t>
      </w:r>
    </w:p>
    <w:p>
      <w:pPr>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（2）会议费支出</w:t>
      </w:r>
      <w:r>
        <w:rPr>
          <w:rFonts w:hint="eastAsia" w:ascii="仿宋" w:hAnsi="仿宋" w:eastAsia="仿宋" w:cs="仿宋"/>
          <w:sz w:val="30"/>
          <w:szCs w:val="30"/>
          <w:lang w:val="en-US" w:eastAsia="zh-CN"/>
        </w:rPr>
        <w:t>7200元，与上年比无变化。</w:t>
      </w:r>
    </w:p>
    <w:p>
      <w:pPr>
        <w:widowControl/>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（二）“三公”经费财政拨款支出决算具体情况说明。</w:t>
      </w:r>
    </w:p>
    <w:p>
      <w:pPr>
        <w:widowControl/>
        <w:ind w:firstLine="640" w:firstLineChars="2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2017年单位无公务需要出国出境，2017年决算数上无相关金额；2017年公务接待费399000元，共接待1564批次，国内公务接待7564人次；2017年公务用车运行维护费95794.77元，因公务用车制度改革，已于2017年11月将本单位3台公务用车上交县公车办，11-12月公务用车运行维护费在县公车办列支，并且在上交前将所有公车全部进行整修，改善车况，因而造成本年度公务用车运行维护费比上年略有下降。</w:t>
      </w:r>
    </w:p>
    <w:p>
      <w:pPr>
        <w:widowControl/>
        <w:numPr>
          <w:ilvl w:val="0"/>
          <w:numId w:val="2"/>
        </w:numPr>
        <w:ind w:firstLine="640" w:firstLineChars="200"/>
        <w:rPr>
          <w:rFonts w:hint="eastAsia" w:ascii="仿宋_GB2312" w:eastAsia="仿宋_GB2312"/>
          <w:bCs/>
          <w:kern w:val="0"/>
          <w:sz w:val="32"/>
          <w:szCs w:val="32"/>
        </w:rPr>
      </w:pPr>
      <w:r>
        <w:rPr>
          <w:rFonts w:hint="eastAsia" w:ascii="仿宋_GB2312" w:eastAsia="仿宋_GB2312"/>
          <w:bCs/>
          <w:kern w:val="0"/>
          <w:sz w:val="32"/>
          <w:szCs w:val="32"/>
        </w:rPr>
        <w:t>政府性基金预算收入支出决算情况</w:t>
      </w:r>
    </w:p>
    <w:p>
      <w:pPr>
        <w:widowControl/>
        <w:numPr>
          <w:ilvl w:val="0"/>
          <w:numId w:val="0"/>
        </w:numPr>
        <w:rPr>
          <w:rFonts w:hint="eastAsia" w:ascii="仿宋_GB2312" w:hAnsi="宋体" w:eastAsia="仿宋_GB2312"/>
          <w:kern w:val="0"/>
          <w:sz w:val="32"/>
          <w:szCs w:val="32"/>
        </w:rPr>
      </w:pPr>
      <w:r>
        <w:rPr>
          <w:rFonts w:hint="eastAsia" w:ascii="仿宋_GB2312" w:eastAsia="仿宋_GB2312"/>
          <w:bCs/>
          <w:kern w:val="0"/>
          <w:sz w:val="32"/>
          <w:szCs w:val="32"/>
          <w:lang w:eastAsia="zh-CN"/>
        </w:rPr>
        <w:t>　　政府性基金预算年初无上年结转，本年收入</w:t>
      </w:r>
      <w:r>
        <w:rPr>
          <w:rFonts w:hint="eastAsia" w:ascii="仿宋_GB2312" w:eastAsia="仿宋_GB2312"/>
          <w:bCs/>
          <w:kern w:val="0"/>
          <w:sz w:val="32"/>
          <w:szCs w:val="32"/>
          <w:lang w:val="en-US" w:eastAsia="zh-CN"/>
        </w:rPr>
        <w:t>1492590.00元，本年支出1492590.00元，用于弥补一般公共预算拨款不足，财政加大对财政拨款政府性基金支出规范和监管力度。</w:t>
      </w:r>
    </w:p>
    <w:p>
      <w:pPr>
        <w:widowControl/>
        <w:ind w:firstLine="645"/>
        <w:rPr>
          <w:rFonts w:hint="eastAsia" w:ascii="仿宋_GB2312" w:hAnsi="宋体" w:eastAsia="仿宋_GB2312"/>
          <w:b/>
          <w:kern w:val="0"/>
          <w:sz w:val="32"/>
          <w:szCs w:val="32"/>
        </w:rPr>
      </w:pPr>
      <w:r>
        <w:rPr>
          <w:rFonts w:hint="eastAsia" w:ascii="仿宋_GB2312" w:hAnsi="宋体" w:eastAsia="仿宋_GB2312"/>
          <w:b/>
          <w:kern w:val="0"/>
          <w:sz w:val="32"/>
          <w:szCs w:val="32"/>
        </w:rPr>
        <w:t>九、关于2017年度预算绩效情况说明</w:t>
      </w:r>
    </w:p>
    <w:p>
      <w:pPr>
        <w:ind w:firstLine="640" w:firstLineChars="200"/>
        <w:rPr>
          <w:rFonts w:ascii="仿宋" w:hAnsi="仿宋" w:eastAsia="仿宋" w:cs="仿宋"/>
          <w:b/>
          <w:bCs/>
          <w:color w:val="000000"/>
          <w:sz w:val="32"/>
          <w:szCs w:val="32"/>
        </w:rPr>
      </w:pPr>
      <w:r>
        <w:rPr>
          <w:rFonts w:hint="eastAsia" w:ascii="仿宋" w:hAnsi="仿宋" w:eastAsia="仿宋" w:cs="仿宋"/>
          <w:bCs/>
          <w:color w:val="000000"/>
          <w:sz w:val="32"/>
          <w:szCs w:val="32"/>
          <w:lang w:val="en-US" w:eastAsia="zh-CN"/>
        </w:rPr>
        <w:t>(1)</w:t>
      </w:r>
      <w:r>
        <w:rPr>
          <w:rFonts w:ascii="仿宋" w:hAnsi="仿宋" w:eastAsia="仿宋" w:cs="仿宋"/>
          <w:b w:val="0"/>
          <w:bCs w:val="0"/>
          <w:color w:val="000000"/>
          <w:sz w:val="32"/>
          <w:szCs w:val="32"/>
        </w:rPr>
        <w:t>预算绩效管理工作开展情况。</w:t>
      </w:r>
    </w:p>
    <w:p>
      <w:pPr>
        <w:snapToGrid w:val="0"/>
        <w:spacing w:line="520" w:lineRule="exact"/>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开展</w:t>
      </w:r>
      <w:r>
        <w:rPr>
          <w:rFonts w:ascii="仿宋" w:hAnsi="仿宋" w:eastAsia="仿宋" w:cs="仿宋"/>
          <w:bCs/>
          <w:color w:val="000000"/>
          <w:sz w:val="32"/>
          <w:szCs w:val="32"/>
        </w:rPr>
        <w:t>了</w:t>
      </w:r>
      <w:r>
        <w:rPr>
          <w:rFonts w:hint="eastAsia" w:ascii="仿宋" w:hAnsi="仿宋" w:eastAsia="仿宋" w:cs="仿宋"/>
          <w:bCs/>
          <w:color w:val="000000"/>
          <w:sz w:val="32"/>
          <w:szCs w:val="32"/>
          <w:lang w:val="en-US" w:eastAsia="zh-CN"/>
        </w:rPr>
        <w:t>2017年度</w:t>
      </w:r>
      <w:r>
        <w:rPr>
          <w:rFonts w:hint="eastAsia" w:ascii="仿宋" w:hAnsi="仿宋" w:eastAsia="仿宋" w:cs="仿宋"/>
          <w:bCs/>
          <w:color w:val="000000"/>
          <w:sz w:val="32"/>
          <w:szCs w:val="32"/>
          <w:lang w:eastAsia="zh-CN"/>
        </w:rPr>
        <w:t>部门整体支出、</w:t>
      </w:r>
      <w:r>
        <w:rPr>
          <w:rFonts w:hint="eastAsia" w:ascii="仿宋" w:hAnsi="仿宋" w:eastAsia="仿宋" w:cs="仿宋"/>
          <w:bCs/>
          <w:color w:val="000000"/>
          <w:sz w:val="32"/>
          <w:szCs w:val="32"/>
          <w:lang w:val="en-US" w:eastAsia="zh-CN"/>
        </w:rPr>
        <w:t>2017年龙山县文化宣传专项资金</w:t>
      </w:r>
      <w:r>
        <w:rPr>
          <w:rFonts w:ascii="仿宋" w:hAnsi="仿宋" w:eastAsia="仿宋" w:cs="仿宋"/>
          <w:bCs/>
          <w:color w:val="000000"/>
          <w:sz w:val="32"/>
          <w:szCs w:val="32"/>
        </w:rPr>
        <w:t>的绩效评价</w:t>
      </w:r>
      <w:r>
        <w:rPr>
          <w:rFonts w:hint="eastAsia" w:ascii="仿宋" w:hAnsi="仿宋" w:eastAsia="仿宋" w:cs="仿宋"/>
          <w:bCs/>
          <w:color w:val="000000"/>
          <w:sz w:val="32"/>
          <w:szCs w:val="32"/>
          <w:lang w:eastAsia="zh-CN"/>
        </w:rPr>
        <w:t>。</w:t>
      </w:r>
    </w:p>
    <w:p>
      <w:pPr>
        <w:numPr>
          <w:ilvl w:val="0"/>
          <w:numId w:val="3"/>
        </w:numPr>
        <w:snapToGrid w:val="0"/>
        <w:spacing w:line="520" w:lineRule="exact"/>
        <w:ind w:firstLine="640" w:firstLineChars="20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绩效目标。</w:t>
      </w:r>
    </w:p>
    <w:p>
      <w:pPr>
        <w:pStyle w:val="5"/>
        <w:shd w:val="clear" w:color="auto" w:fill="FFFFFF"/>
        <w:spacing w:before="0" w:beforeAutospacing="0" w:after="0" w:afterAutospacing="0" w:line="520" w:lineRule="exact"/>
        <w:ind w:firstLine="64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加强</w:t>
      </w:r>
      <w:r>
        <w:rPr>
          <w:rFonts w:hint="eastAsia" w:ascii="仿宋" w:hAnsi="仿宋" w:eastAsia="仿宋" w:cs="仿宋"/>
          <w:b w:val="0"/>
          <w:bCs w:val="0"/>
          <w:sz w:val="32"/>
          <w:szCs w:val="32"/>
        </w:rPr>
        <w:t>学习宣讲</w:t>
      </w:r>
      <w:r>
        <w:rPr>
          <w:rFonts w:hint="eastAsia" w:ascii="仿宋" w:hAnsi="仿宋" w:eastAsia="仿宋" w:cs="仿宋"/>
          <w:b w:val="0"/>
          <w:bCs w:val="0"/>
          <w:sz w:val="32"/>
          <w:szCs w:val="32"/>
          <w:lang w:eastAsia="zh-CN"/>
        </w:rPr>
        <w:t>、突出重点</w:t>
      </w:r>
      <w:r>
        <w:rPr>
          <w:rFonts w:hint="eastAsia" w:ascii="仿宋" w:hAnsi="仿宋" w:eastAsia="仿宋" w:cs="仿宋"/>
          <w:b w:val="0"/>
          <w:bCs w:val="0"/>
          <w:sz w:val="32"/>
          <w:szCs w:val="32"/>
        </w:rPr>
        <w:t>宣传</w:t>
      </w:r>
      <w:r>
        <w:rPr>
          <w:rFonts w:hint="eastAsia" w:ascii="仿宋" w:hAnsi="仿宋" w:eastAsia="仿宋" w:cs="仿宋"/>
          <w:b w:val="0"/>
          <w:bCs w:val="0"/>
          <w:sz w:val="32"/>
          <w:szCs w:val="32"/>
          <w:lang w:eastAsia="zh-CN"/>
        </w:rPr>
        <w:t>、加强</w:t>
      </w:r>
      <w:r>
        <w:rPr>
          <w:rFonts w:hint="eastAsia" w:ascii="仿宋" w:hAnsi="仿宋" w:eastAsia="仿宋" w:cs="仿宋"/>
          <w:b w:val="0"/>
          <w:bCs w:val="0"/>
          <w:sz w:val="32"/>
          <w:szCs w:val="32"/>
        </w:rPr>
        <w:t>网络管理</w:t>
      </w:r>
      <w:r>
        <w:rPr>
          <w:rFonts w:hint="eastAsia" w:ascii="仿宋" w:hAnsi="仿宋" w:eastAsia="仿宋" w:cs="仿宋"/>
          <w:b w:val="0"/>
          <w:bCs w:val="0"/>
          <w:sz w:val="32"/>
          <w:szCs w:val="32"/>
          <w:lang w:eastAsia="zh-CN"/>
        </w:rPr>
        <w:t>、提高</w:t>
      </w:r>
      <w:r>
        <w:rPr>
          <w:rFonts w:hint="eastAsia" w:ascii="仿宋" w:hAnsi="仿宋" w:eastAsia="仿宋" w:cs="仿宋"/>
          <w:b w:val="0"/>
          <w:bCs w:val="0"/>
          <w:sz w:val="32"/>
          <w:szCs w:val="32"/>
        </w:rPr>
        <w:t>惠民服务</w:t>
      </w:r>
      <w:r>
        <w:rPr>
          <w:rFonts w:hint="eastAsia" w:ascii="仿宋" w:hAnsi="仿宋" w:eastAsia="仿宋" w:cs="仿宋"/>
          <w:b w:val="0"/>
          <w:bCs w:val="0"/>
          <w:sz w:val="32"/>
          <w:szCs w:val="32"/>
          <w:lang w:eastAsia="zh-CN"/>
        </w:rPr>
        <w:t>、推广全域</w:t>
      </w:r>
      <w:r>
        <w:rPr>
          <w:rFonts w:hint="eastAsia" w:ascii="仿宋" w:hAnsi="仿宋" w:eastAsia="仿宋" w:cs="仿宋"/>
          <w:b w:val="0"/>
          <w:bCs w:val="0"/>
          <w:sz w:val="32"/>
          <w:szCs w:val="32"/>
        </w:rPr>
        <w:t>旅游为目标，进一步规范财政专项资金管理，提高政府管理效能和财政资金使用效益，</w:t>
      </w:r>
      <w:r>
        <w:rPr>
          <w:rFonts w:hint="eastAsia" w:ascii="仿宋" w:hAnsi="仿宋" w:eastAsia="仿宋" w:cs="仿宋"/>
          <w:b w:val="0"/>
          <w:bCs w:val="0"/>
          <w:kern w:val="0"/>
          <w:sz w:val="32"/>
          <w:szCs w:val="32"/>
          <w:lang w:eastAsia="zh-CN"/>
        </w:rPr>
        <w:t>负责指导全县对内对个新闻宣传工作</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维护监督红网、新闻网工作。</w:t>
      </w:r>
    </w:p>
    <w:p>
      <w:pPr>
        <w:numPr>
          <w:ilvl w:val="0"/>
          <w:numId w:val="3"/>
        </w:numPr>
        <w:snapToGrid w:val="0"/>
        <w:spacing w:line="520" w:lineRule="exact"/>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绩效评价报告</w:t>
      </w:r>
    </w:p>
    <w:p>
      <w:pPr>
        <w:numPr>
          <w:ilvl w:val="0"/>
          <w:numId w:val="0"/>
        </w:numPr>
        <w:snapToGrid w:val="0"/>
        <w:spacing w:line="520" w:lineRule="exact"/>
        <w:rPr>
          <w:rFonts w:hint="eastAsia" w:ascii="仿宋" w:hAnsi="仿宋" w:eastAsia="仿宋" w:cs="仿宋"/>
          <w:bCs/>
          <w:color w:val="000000"/>
          <w:sz w:val="32"/>
          <w:szCs w:val="32"/>
          <w:lang w:val="en-US" w:eastAsia="zh-CN"/>
        </w:rPr>
      </w:pPr>
    </w:p>
    <w:p>
      <w:pPr>
        <w:spacing w:line="520" w:lineRule="exact"/>
        <w:jc w:val="center"/>
        <w:rPr>
          <w:rFonts w:hint="eastAsia" w:ascii="黑体" w:hAnsi="宋体" w:eastAsia="黑体"/>
          <w:b/>
          <w:bCs/>
          <w:sz w:val="30"/>
          <w:szCs w:val="30"/>
          <w:lang w:eastAsia="zh-CN"/>
        </w:rPr>
      </w:pPr>
      <w:r>
        <w:rPr>
          <w:rFonts w:hint="eastAsia" w:ascii="黑体" w:hAnsi="宋体" w:eastAsia="黑体"/>
          <w:b/>
          <w:bCs/>
          <w:sz w:val="30"/>
          <w:szCs w:val="30"/>
          <w:lang w:eastAsia="zh-CN"/>
        </w:rPr>
        <w:t>中共龙山县委宣传部</w:t>
      </w:r>
    </w:p>
    <w:p>
      <w:pPr>
        <w:spacing w:line="520" w:lineRule="exact"/>
        <w:jc w:val="center"/>
        <w:rPr>
          <w:rFonts w:hint="eastAsia" w:ascii="黑体" w:eastAsia="黑体"/>
          <w:sz w:val="44"/>
          <w:szCs w:val="44"/>
        </w:rPr>
      </w:pPr>
      <w:r>
        <w:rPr>
          <w:rFonts w:hint="eastAsia" w:ascii="黑体" w:hAnsi="宋体" w:eastAsia="黑体"/>
          <w:b/>
          <w:bCs/>
          <w:sz w:val="30"/>
          <w:szCs w:val="30"/>
          <w:lang w:eastAsia="zh-CN"/>
        </w:rPr>
        <w:t>整体</w:t>
      </w:r>
      <w:r>
        <w:rPr>
          <w:rStyle w:val="9"/>
          <w:rFonts w:hint="eastAsia" w:ascii="黑体" w:hAnsi="Arial" w:eastAsia="黑体"/>
          <w:b/>
          <w:bCs/>
          <w:spacing w:val="-6"/>
          <w:sz w:val="30"/>
          <w:szCs w:val="30"/>
          <w:lang w:val="en-US"/>
        </w:rPr>
        <w:t>支出</w:t>
      </w:r>
      <w:r>
        <w:rPr>
          <w:rStyle w:val="9"/>
          <w:rFonts w:hint="eastAsia" w:ascii="黑体" w:hAnsi="Arial" w:eastAsia="黑体"/>
          <w:b/>
          <w:bCs/>
          <w:spacing w:val="-6"/>
          <w:sz w:val="30"/>
          <w:szCs w:val="30"/>
        </w:rPr>
        <w:t>绩效评价自评报告</w:t>
      </w:r>
    </w:p>
    <w:p>
      <w:pPr>
        <w:pStyle w:val="5"/>
        <w:spacing w:line="520" w:lineRule="exact"/>
        <w:jc w:val="both"/>
        <w:rPr>
          <w:rFonts w:ascii="仿宋_GB2312" w:eastAsia="仿宋_GB2312"/>
          <w:spacing w:val="-20"/>
          <w:sz w:val="32"/>
          <w:szCs w:val="32"/>
        </w:rPr>
      </w:pPr>
      <w:r>
        <w:rPr>
          <w:rFonts w:hint="eastAsia" w:ascii="仿宋_GB2312" w:eastAsia="仿宋_GB2312"/>
          <w:sz w:val="32"/>
          <w:szCs w:val="32"/>
          <w:lang w:eastAsia="zh-CN"/>
        </w:rPr>
        <w:t>　　</w:t>
      </w:r>
      <w:r>
        <w:rPr>
          <w:rFonts w:hint="eastAsia" w:ascii="仿宋_GB2312" w:eastAsia="仿宋_GB2312"/>
          <w:sz w:val="32"/>
          <w:szCs w:val="32"/>
        </w:rPr>
        <w:t>根据《龙山县人民政府关于印发〈龙山县全面推进财政预算绩效管理工作的实施方案〉的通知》(龙政办函〔2014〕40号)文件精神以及龙山县财政局下发的《关于做好2017年度部门整体支出的绩效自评的通知》等相关要求，现将</w:t>
      </w:r>
      <w:r>
        <w:rPr>
          <w:rFonts w:hint="eastAsia" w:ascii="仿宋_GB2312" w:eastAsia="仿宋_GB2312"/>
          <w:spacing w:val="-20"/>
          <w:sz w:val="32"/>
          <w:szCs w:val="32"/>
        </w:rPr>
        <w:t>2017年度部门整体支出绩效情况自评如下：</w:t>
      </w:r>
    </w:p>
    <w:p>
      <w:pPr>
        <w:spacing w:line="520" w:lineRule="exact"/>
        <w:ind w:firstLine="964" w:firstLineChars="300"/>
        <w:rPr>
          <w:rFonts w:hint="eastAsia" w:eastAsia="仿宋_GB2312"/>
          <w:b/>
          <w:bCs/>
          <w:sz w:val="32"/>
          <w:szCs w:val="32"/>
        </w:rPr>
      </w:pPr>
      <w:r>
        <w:rPr>
          <w:rFonts w:hint="eastAsia" w:eastAsia="仿宋_GB2312"/>
          <w:b/>
          <w:bCs/>
          <w:sz w:val="32"/>
          <w:szCs w:val="32"/>
        </w:rPr>
        <w:t>一、基本概况</w:t>
      </w:r>
    </w:p>
    <w:p>
      <w:pPr>
        <w:spacing w:line="520" w:lineRule="exact"/>
        <w:ind w:firstLine="640" w:firstLineChars="200"/>
        <w:rPr>
          <w:rFonts w:eastAsia="仿宋_GB2312"/>
          <w:sz w:val="32"/>
          <w:szCs w:val="32"/>
        </w:rPr>
      </w:pPr>
      <w:r>
        <w:rPr>
          <w:rFonts w:hint="eastAsia" w:eastAsia="仿宋_GB2312"/>
          <w:sz w:val="32"/>
          <w:szCs w:val="32"/>
        </w:rPr>
        <w:t>（一）部门概况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 xml:space="preserve">  </w:t>
      </w:r>
      <w:r>
        <w:rPr>
          <w:rFonts w:ascii="仿宋_GB2312" w:hAnsi="仿宋_GB2312" w:eastAsia="仿宋_GB2312" w:cs="仿宋_GB2312"/>
          <w:sz w:val="32"/>
          <w:szCs w:val="32"/>
        </w:rPr>
        <w:t>县委宣传部为正科级全额拔款，实行公务员管理单位，内设办公室、理教组（党教组）、文明办、新闻组、纪检组、外宣办(副科级)、文产办(副科级)7个职能组室，</w:t>
      </w:r>
      <w:r>
        <w:rPr>
          <w:rFonts w:hint="eastAsia" w:ascii="仿宋_GB2312" w:hAnsi="仿宋_GB2312" w:eastAsia="仿宋_GB2312" w:cs="仿宋_GB2312"/>
          <w:sz w:val="32"/>
          <w:szCs w:val="32"/>
        </w:rPr>
        <w:t>含下属新闻中心，网宣办</w:t>
      </w:r>
      <w:r>
        <w:rPr>
          <w:rFonts w:ascii="仿宋_GB2312" w:hAnsi="仿宋_GB2312" w:eastAsia="仿宋_GB2312" w:cs="仿宋_GB2312"/>
          <w:sz w:val="32"/>
          <w:szCs w:val="32"/>
        </w:rPr>
        <w:t>核定编制共</w:t>
      </w:r>
      <w:r>
        <w:rPr>
          <w:rFonts w:hint="eastAsia" w:ascii="仿宋_GB2312" w:hAnsi="仿宋_GB2312" w:eastAsia="仿宋_GB2312" w:cs="仿宋_GB2312"/>
          <w:sz w:val="32"/>
          <w:szCs w:val="32"/>
        </w:rPr>
        <w:t>31</w:t>
      </w:r>
      <w:r>
        <w:rPr>
          <w:rFonts w:ascii="仿宋_GB2312" w:hAnsi="仿宋_GB2312" w:eastAsia="仿宋_GB2312" w:cs="仿宋_GB2312"/>
          <w:sz w:val="32"/>
          <w:szCs w:val="32"/>
        </w:rPr>
        <w:t>人（含县级领导1人，其中公务员编1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人</w:t>
      </w:r>
      <w:r>
        <w:rPr>
          <w:rFonts w:hint="eastAsia" w:ascii="仿宋_GB2312" w:hAnsi="仿宋_GB2312" w:eastAsia="仿宋_GB2312" w:cs="仿宋_GB2312"/>
          <w:sz w:val="32"/>
          <w:szCs w:val="32"/>
        </w:rPr>
        <w:t>（含文联3个编）</w:t>
      </w:r>
      <w:r>
        <w:rPr>
          <w:rFonts w:ascii="仿宋_GB2312" w:hAnsi="仿宋_GB2312" w:eastAsia="仿宋_GB2312" w:cs="仿宋_GB2312"/>
          <w:sz w:val="32"/>
          <w:szCs w:val="32"/>
        </w:rPr>
        <w:t>，工勤1人</w:t>
      </w:r>
      <w:r>
        <w:rPr>
          <w:rFonts w:hint="eastAsia" w:ascii="仿宋_GB2312" w:hAnsi="仿宋_GB2312" w:eastAsia="仿宋_GB2312" w:cs="仿宋_GB2312"/>
          <w:sz w:val="32"/>
          <w:szCs w:val="32"/>
        </w:rPr>
        <w:t>，事业编11人</w:t>
      </w:r>
      <w:r>
        <w:rPr>
          <w:rFonts w:ascii="仿宋_GB2312" w:hAnsi="仿宋_GB2312" w:eastAsia="仿宋_GB2312" w:cs="仿宋_GB2312"/>
          <w:sz w:val="32"/>
          <w:szCs w:val="32"/>
        </w:rPr>
        <w:t>）。实有人数</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人，有退休人员</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人</w:t>
      </w:r>
      <w:r>
        <w:rPr>
          <w:rFonts w:hint="eastAsia" w:ascii="仿宋_GB2312" w:hAnsi="仿宋_GB2312" w:eastAsia="仿宋_GB2312" w:cs="仿宋_GB2312"/>
          <w:sz w:val="32"/>
          <w:szCs w:val="32"/>
        </w:rPr>
        <w:t>。</w:t>
      </w:r>
    </w:p>
    <w:p>
      <w:pPr>
        <w:spacing w:line="520" w:lineRule="exact"/>
        <w:rPr>
          <w:rFonts w:hint="eastAsia" w:eastAsia="仿宋_GB2312"/>
          <w:sz w:val="32"/>
          <w:szCs w:val="32"/>
        </w:rPr>
      </w:pPr>
      <w:r>
        <w:rPr>
          <w:rFonts w:hint="eastAsia" w:eastAsia="仿宋_GB2312"/>
          <w:sz w:val="32"/>
          <w:szCs w:val="32"/>
          <w:lang w:eastAsia="zh-CN"/>
        </w:rPr>
        <w:t>　　</w:t>
      </w:r>
      <w:r>
        <w:rPr>
          <w:rFonts w:hint="eastAsia" w:eastAsia="仿宋_GB2312"/>
          <w:sz w:val="32"/>
          <w:szCs w:val="32"/>
        </w:rPr>
        <w:t>（二）部门整体支出概况</w:t>
      </w:r>
    </w:p>
    <w:p>
      <w:pPr>
        <w:spacing w:line="520" w:lineRule="exact"/>
        <w:rPr>
          <w:rFonts w:ascii="Arial" w:hAnsi="Arial" w:cs="Arial"/>
          <w:color w:val="000000"/>
          <w:sz w:val="20"/>
          <w:szCs w:val="20"/>
        </w:rPr>
      </w:pPr>
      <w:r>
        <w:rPr>
          <w:rFonts w:hint="eastAsia" w:ascii="仿宋_GB2312" w:hAnsi="宋体" w:eastAsia="仿宋_GB2312" w:cs="宋体"/>
          <w:kern w:val="0"/>
          <w:sz w:val="32"/>
          <w:szCs w:val="32"/>
        </w:rPr>
        <w:t xml:space="preserve">     2017年</w:t>
      </w:r>
      <w:r>
        <w:rPr>
          <w:rFonts w:hint="eastAsia" w:ascii="宋体" w:hAnsi="宋体" w:eastAsia="仿宋_GB2312"/>
          <w:sz w:val="32"/>
          <w:szCs w:val="32"/>
        </w:rPr>
        <w:t>全年支出总计8,076,826.05元，基本支出8,076,826.05元。年初结余473,120.77元，年末结余52,359.72元。</w:t>
      </w:r>
    </w:p>
    <w:p>
      <w:pPr>
        <w:spacing w:line="520" w:lineRule="exact"/>
        <w:ind w:firstLine="643" w:firstLineChars="200"/>
        <w:rPr>
          <w:rFonts w:hint="eastAsia" w:eastAsia="仿宋_GB2312"/>
          <w:b/>
          <w:bCs/>
          <w:sz w:val="32"/>
          <w:szCs w:val="32"/>
        </w:rPr>
      </w:pPr>
      <w:r>
        <w:rPr>
          <w:rFonts w:hint="eastAsia" w:eastAsia="仿宋_GB2312"/>
          <w:b/>
          <w:bCs/>
          <w:sz w:val="32"/>
          <w:szCs w:val="32"/>
        </w:rPr>
        <w:t>二、部门整体支出管理及使用情况</w:t>
      </w:r>
    </w:p>
    <w:p>
      <w:pPr>
        <w:spacing w:line="520" w:lineRule="exact"/>
        <w:ind w:firstLine="643" w:firstLineChars="200"/>
        <w:rPr>
          <w:rFonts w:hint="eastAsia" w:ascii="宋体" w:hAnsi="宋体" w:eastAsia="仿宋_GB2312"/>
          <w:b/>
          <w:bCs/>
          <w:sz w:val="32"/>
          <w:szCs w:val="32"/>
        </w:rPr>
      </w:pPr>
      <w:r>
        <w:rPr>
          <w:rFonts w:hint="eastAsia" w:ascii="宋体" w:hAnsi="宋体" w:eastAsia="仿宋_GB2312"/>
          <w:b/>
          <w:bCs/>
          <w:sz w:val="32"/>
          <w:szCs w:val="32"/>
        </w:rPr>
        <w:t>基本支出</w:t>
      </w:r>
      <w:r>
        <w:rPr>
          <w:rFonts w:hint="eastAsia" w:ascii="宋体" w:hAnsi="宋体" w:eastAsia="仿宋_GB2312"/>
          <w:sz w:val="32"/>
          <w:szCs w:val="32"/>
        </w:rPr>
        <w:t>8,076,826.05</w:t>
      </w:r>
      <w:r>
        <w:rPr>
          <w:rFonts w:hint="eastAsia" w:ascii="宋体" w:hAnsi="宋体" w:eastAsia="仿宋_GB2312"/>
          <w:b/>
          <w:bCs/>
          <w:sz w:val="32"/>
          <w:szCs w:val="32"/>
        </w:rPr>
        <w:t>元：</w:t>
      </w:r>
    </w:p>
    <w:p>
      <w:pPr>
        <w:spacing w:line="520" w:lineRule="exact"/>
        <w:ind w:firstLine="643" w:firstLineChars="200"/>
        <w:rPr>
          <w:rFonts w:hint="eastAsia" w:ascii="宋体" w:hAnsi="宋体" w:eastAsia="仿宋_GB2312"/>
          <w:sz w:val="32"/>
          <w:szCs w:val="32"/>
        </w:rPr>
      </w:pPr>
      <w:r>
        <w:rPr>
          <w:rFonts w:hint="eastAsia" w:ascii="宋体" w:hAnsi="宋体" w:eastAsia="仿宋_GB2312"/>
          <w:b/>
          <w:bCs/>
          <w:sz w:val="32"/>
          <w:szCs w:val="32"/>
        </w:rPr>
        <w:t>工资福利支出3,281,806.97元，</w:t>
      </w:r>
      <w:r>
        <w:rPr>
          <w:rFonts w:hint="eastAsia" w:ascii="宋体" w:hAnsi="宋体" w:eastAsia="仿宋_GB2312"/>
          <w:sz w:val="32"/>
          <w:szCs w:val="32"/>
        </w:rPr>
        <w:t>其中基本工资1,045,998.00元，津贴补贴909,896.00元，奖金</w:t>
      </w:r>
      <w:r>
        <w:rPr>
          <w:rFonts w:hint="eastAsia" w:ascii="宋体" w:hAnsi="宋体" w:eastAsia="仿宋_GB2312"/>
          <w:sz w:val="32"/>
          <w:szCs w:val="32"/>
          <w:lang w:val="en-US" w:eastAsia="zh-CN"/>
        </w:rPr>
        <w:t>390,224.00</w:t>
      </w:r>
      <w:r>
        <w:rPr>
          <w:rFonts w:hint="eastAsia" w:ascii="宋体" w:hAnsi="宋体" w:eastAsia="仿宋_GB2312"/>
          <w:sz w:val="32"/>
          <w:szCs w:val="32"/>
        </w:rPr>
        <w:t>元，绩效工资86,184.00元，社会保障缴费523,024.00元，其他工资福利支出</w:t>
      </w:r>
      <w:r>
        <w:rPr>
          <w:rFonts w:hint="eastAsia" w:ascii="宋体" w:hAnsi="宋体" w:eastAsia="仿宋_GB2312"/>
          <w:sz w:val="32"/>
          <w:szCs w:val="32"/>
          <w:lang w:val="en-US" w:eastAsia="zh-CN"/>
        </w:rPr>
        <w:t>326,480.97</w:t>
      </w:r>
      <w:r>
        <w:rPr>
          <w:rFonts w:hint="eastAsia" w:ascii="宋体" w:hAnsi="宋体" w:eastAsia="仿宋_GB2312"/>
          <w:sz w:val="32"/>
          <w:szCs w:val="32"/>
        </w:rPr>
        <w:t>元。</w:t>
      </w:r>
    </w:p>
    <w:p>
      <w:pPr>
        <w:spacing w:line="520" w:lineRule="exact"/>
        <w:ind w:firstLine="643" w:firstLineChars="200"/>
        <w:rPr>
          <w:rFonts w:hint="eastAsia" w:ascii="宋体" w:hAnsi="宋体" w:eastAsia="仿宋_GB2312"/>
          <w:sz w:val="32"/>
          <w:szCs w:val="32"/>
          <w:lang w:eastAsia="zh-CN"/>
        </w:rPr>
      </w:pPr>
      <w:r>
        <w:rPr>
          <w:rFonts w:hint="eastAsia" w:ascii="宋体" w:hAnsi="宋体" w:eastAsia="仿宋_GB2312"/>
          <w:b/>
          <w:bCs/>
          <w:sz w:val="32"/>
          <w:szCs w:val="32"/>
        </w:rPr>
        <w:t>商品服务支出3,298,300.11元，</w:t>
      </w:r>
      <w:r>
        <w:rPr>
          <w:rFonts w:hint="eastAsia" w:ascii="宋体" w:hAnsi="宋体" w:eastAsia="仿宋_GB2312"/>
          <w:sz w:val="32"/>
          <w:szCs w:val="32"/>
        </w:rPr>
        <w:t>其中办公费1,173,231.30元，印刷费316,670.00元，</w:t>
      </w:r>
      <w:r>
        <w:rPr>
          <w:rFonts w:hint="eastAsia" w:ascii="宋体" w:hAnsi="宋体" w:eastAsia="仿宋_GB2312"/>
          <w:sz w:val="32"/>
          <w:szCs w:val="32"/>
          <w:lang w:eastAsia="zh-CN"/>
        </w:rPr>
        <w:t>咨询费</w:t>
      </w:r>
      <w:r>
        <w:rPr>
          <w:rFonts w:hint="eastAsia" w:ascii="宋体" w:hAnsi="宋体" w:eastAsia="仿宋_GB2312"/>
          <w:sz w:val="32"/>
          <w:szCs w:val="32"/>
        </w:rPr>
        <w:t>918.00元，</w:t>
      </w:r>
      <w:r>
        <w:rPr>
          <w:rFonts w:hint="eastAsia" w:ascii="宋体" w:hAnsi="宋体" w:eastAsia="仿宋_GB2312"/>
          <w:sz w:val="32"/>
          <w:szCs w:val="32"/>
          <w:lang w:eastAsia="zh-CN"/>
        </w:rPr>
        <w:t>手续</w:t>
      </w:r>
      <w:r>
        <w:rPr>
          <w:rFonts w:hint="eastAsia" w:ascii="宋体" w:hAnsi="宋体" w:eastAsia="仿宋_GB2312"/>
          <w:sz w:val="32"/>
          <w:szCs w:val="32"/>
        </w:rPr>
        <w:t>费96.11元，</w:t>
      </w:r>
      <w:r>
        <w:rPr>
          <w:rFonts w:hint="eastAsia" w:ascii="宋体" w:hAnsi="宋体" w:eastAsia="仿宋_GB2312"/>
          <w:sz w:val="32"/>
          <w:szCs w:val="32"/>
          <w:lang w:eastAsia="zh-CN"/>
        </w:rPr>
        <w:t>电</w:t>
      </w:r>
      <w:r>
        <w:rPr>
          <w:rFonts w:hint="eastAsia" w:ascii="宋体" w:hAnsi="宋体" w:eastAsia="仿宋_GB2312"/>
          <w:sz w:val="32"/>
          <w:szCs w:val="32"/>
        </w:rPr>
        <w:t>费21,853.93元，</w:t>
      </w:r>
      <w:r>
        <w:rPr>
          <w:rFonts w:hint="eastAsia" w:ascii="宋体" w:hAnsi="宋体" w:eastAsia="仿宋_GB2312"/>
          <w:sz w:val="32"/>
          <w:szCs w:val="32"/>
          <w:lang w:eastAsia="zh-CN"/>
        </w:rPr>
        <w:t>邮电费248,434.0</w:t>
      </w:r>
      <w:r>
        <w:rPr>
          <w:rFonts w:hint="eastAsia" w:ascii="宋体" w:hAnsi="宋体" w:eastAsia="仿宋_GB2312"/>
          <w:sz w:val="32"/>
          <w:szCs w:val="32"/>
          <w:lang w:val="en-US" w:eastAsia="zh-CN"/>
        </w:rPr>
        <w:t>0元，</w:t>
      </w:r>
      <w:r>
        <w:rPr>
          <w:rFonts w:hint="eastAsia" w:ascii="宋体" w:hAnsi="宋体" w:eastAsia="仿宋_GB2312"/>
          <w:sz w:val="32"/>
          <w:szCs w:val="32"/>
        </w:rPr>
        <w:t>差旅费399,414.00元，</w:t>
      </w:r>
      <w:r>
        <w:rPr>
          <w:rFonts w:hint="eastAsia" w:ascii="宋体" w:hAnsi="宋体" w:eastAsia="仿宋_GB2312"/>
          <w:sz w:val="32"/>
          <w:szCs w:val="32"/>
          <w:lang w:eastAsia="zh-CN"/>
        </w:rPr>
        <w:t>维修费87,416.00元，会</w:t>
      </w:r>
      <w:r>
        <w:rPr>
          <w:rFonts w:hint="eastAsia" w:ascii="宋体" w:hAnsi="宋体" w:eastAsia="仿宋_GB2312"/>
          <w:sz w:val="32"/>
          <w:szCs w:val="32"/>
        </w:rPr>
        <w:t>议费7,200.00元，培训费39,269.00元，工会经费165,000.00元，公务接待费399,000.00元，</w:t>
      </w:r>
      <w:r>
        <w:rPr>
          <w:rFonts w:hint="eastAsia" w:ascii="宋体" w:hAnsi="宋体" w:eastAsia="仿宋_GB2312"/>
          <w:sz w:val="32"/>
          <w:szCs w:val="32"/>
          <w:lang w:eastAsia="zh-CN"/>
        </w:rPr>
        <w:t>劳务费119,028.00元，公务运行维护费95,794.77元，其他交通费用101,330.00元，其他商品服务支出123,645.00元。</w:t>
      </w:r>
    </w:p>
    <w:p>
      <w:pPr>
        <w:spacing w:line="520" w:lineRule="exact"/>
        <w:ind w:firstLine="643" w:firstLineChars="200"/>
        <w:rPr>
          <w:rFonts w:hint="eastAsia" w:ascii="宋体" w:hAnsi="宋体" w:eastAsia="仿宋_GB2312"/>
          <w:sz w:val="32"/>
          <w:szCs w:val="32"/>
          <w:lang w:eastAsia="zh-CN"/>
        </w:rPr>
      </w:pPr>
      <w:r>
        <w:rPr>
          <w:rFonts w:hint="eastAsia" w:ascii="宋体" w:hAnsi="宋体" w:eastAsia="仿宋_GB2312"/>
          <w:b/>
          <w:bCs/>
          <w:sz w:val="32"/>
          <w:szCs w:val="32"/>
          <w:lang w:eastAsia="zh-CN"/>
        </w:rPr>
        <w:t>对个人和家庭补助支出1,482,111.97元，</w:t>
      </w:r>
      <w:r>
        <w:rPr>
          <w:rFonts w:hint="eastAsia" w:ascii="宋体" w:hAnsi="宋体" w:eastAsia="仿宋_GB2312"/>
          <w:sz w:val="32"/>
          <w:szCs w:val="32"/>
          <w:lang w:eastAsia="zh-CN"/>
        </w:rPr>
        <w:t>其中抚恤费198,390.00元，生活补助34,010.00元，医疗费37,120.00元，奖励金749,254.00元，住房公积金219,701.00元，其他对个人和家庭补助支出243,636.97元。</w:t>
      </w:r>
    </w:p>
    <w:p>
      <w:pPr>
        <w:spacing w:line="520" w:lineRule="exact"/>
        <w:ind w:firstLine="640" w:firstLineChars="200"/>
        <w:rPr>
          <w:rFonts w:hint="eastAsia" w:eastAsia="仿宋_GB2312"/>
          <w:b/>
          <w:bCs/>
          <w:sz w:val="32"/>
          <w:szCs w:val="32"/>
        </w:rPr>
      </w:pPr>
      <w:r>
        <w:rPr>
          <w:rFonts w:hint="eastAsia" w:ascii="仿宋_GB2312" w:eastAsia="仿宋_GB2312"/>
          <w:sz w:val="32"/>
          <w:szCs w:val="32"/>
        </w:rPr>
        <w:t xml:space="preserve">  </w:t>
      </w:r>
      <w:r>
        <w:rPr>
          <w:rFonts w:eastAsia="仿宋_GB2312"/>
          <w:sz w:val="32"/>
          <w:szCs w:val="32"/>
        </w:rPr>
        <w:tab/>
      </w:r>
      <w:r>
        <w:rPr>
          <w:rFonts w:hint="eastAsia" w:eastAsia="仿宋_GB2312"/>
          <w:b/>
          <w:bCs/>
          <w:sz w:val="32"/>
          <w:szCs w:val="32"/>
        </w:rPr>
        <w:t>三、部门整体支出绩效情况</w:t>
      </w:r>
    </w:p>
    <w:p>
      <w:pPr>
        <w:tabs>
          <w:tab w:val="left" w:pos="613"/>
        </w:tabs>
        <w:spacing w:line="520" w:lineRule="exact"/>
        <w:ind w:firstLine="640" w:firstLineChars="200"/>
        <w:rPr>
          <w:rFonts w:eastAsia="仿宋_GB2312"/>
          <w:sz w:val="32"/>
          <w:szCs w:val="32"/>
        </w:rPr>
      </w:pPr>
      <w:r>
        <w:rPr>
          <w:rFonts w:hint="eastAsia" w:ascii="新宋体" w:hAnsi="新宋体" w:eastAsia="仿宋_GB2312"/>
          <w:sz w:val="32"/>
          <w:szCs w:val="32"/>
        </w:rPr>
        <w:t xml:space="preserve"> </w:t>
      </w:r>
      <w:r>
        <w:rPr>
          <w:rFonts w:hint="eastAsia" w:ascii="仿宋_GB2312" w:hAnsi="仿宋_GB2312" w:eastAsia="仿宋_GB2312"/>
          <w:sz w:val="32"/>
          <w:szCs w:val="32"/>
        </w:rPr>
        <w:t>2017年本单位对其财政拨入资金，首先严格按照上级的 “先保工资，再保运转”原则开展工作，从而达到稳定基层干部队伍，夯实基层基础的目的。</w:t>
      </w:r>
    </w:p>
    <w:p>
      <w:pPr>
        <w:tabs>
          <w:tab w:val="left" w:pos="613"/>
        </w:tabs>
        <w:spacing w:line="520" w:lineRule="exact"/>
        <w:ind w:firstLine="1285" w:firstLineChars="400"/>
        <w:rPr>
          <w:rFonts w:hint="eastAsia" w:ascii="仿宋_GB2312" w:hAnsi="仿宋_GB2312" w:eastAsia="仿宋_GB2312"/>
          <w:b/>
          <w:bCs/>
          <w:sz w:val="32"/>
          <w:szCs w:val="32"/>
        </w:rPr>
      </w:pPr>
      <w:r>
        <w:rPr>
          <w:rFonts w:hint="eastAsia" w:ascii="仿宋_GB2312" w:hAnsi="仿宋_GB2312" w:eastAsia="仿宋_GB2312"/>
          <w:b/>
          <w:bCs/>
          <w:sz w:val="32"/>
          <w:szCs w:val="32"/>
        </w:rPr>
        <w:t>四、存在的主要问题</w:t>
      </w:r>
    </w:p>
    <w:p>
      <w:pPr>
        <w:tabs>
          <w:tab w:val="left" w:pos="613"/>
        </w:tabs>
        <w:spacing w:line="520" w:lineRule="exact"/>
        <w:ind w:left="445" w:hanging="444" w:hangingChars="139"/>
        <w:rPr>
          <w:rFonts w:hint="eastAsia" w:ascii="仿宋_GB2312" w:hAnsi="仿宋_GB2312" w:eastAsia="仿宋_GB2312"/>
          <w:sz w:val="32"/>
          <w:szCs w:val="32"/>
        </w:rPr>
      </w:pPr>
      <w:r>
        <w:rPr>
          <w:rFonts w:hint="eastAsia" w:ascii="仿宋_GB2312" w:hAnsi="仿宋_GB2312" w:eastAsia="仿宋_GB2312"/>
          <w:sz w:val="32"/>
          <w:szCs w:val="32"/>
        </w:rPr>
        <w:t xml:space="preserve">       1、基本支出中的人员工资结构不合理，人员工资处于中低下水平，因此干部职工的工资收入无法满足正常的日常开支需要。</w:t>
      </w:r>
    </w:p>
    <w:p>
      <w:pPr>
        <w:tabs>
          <w:tab w:val="left" w:pos="613"/>
        </w:tabs>
        <w:spacing w:line="520" w:lineRule="exact"/>
        <w:ind w:left="445" w:hanging="444" w:hangingChars="139"/>
        <w:rPr>
          <w:rFonts w:hint="eastAsia" w:ascii="仿宋_GB2312" w:hAnsi="仿宋_GB2312" w:eastAsia="仿宋_GB2312"/>
          <w:spacing w:val="-20"/>
          <w:sz w:val="32"/>
          <w:szCs w:val="32"/>
        </w:rPr>
      </w:pPr>
      <w:r>
        <w:rPr>
          <w:rFonts w:hint="eastAsia" w:ascii="仿宋_GB2312" w:hAnsi="仿宋_GB2312" w:eastAsia="仿宋_GB2312"/>
          <w:sz w:val="32"/>
          <w:szCs w:val="32"/>
        </w:rPr>
        <w:t xml:space="preserve">       2、三公</w:t>
      </w:r>
      <w:r>
        <w:rPr>
          <w:rFonts w:hint="eastAsia" w:ascii="仿宋_GB2312" w:hAnsi="仿宋_GB2312" w:eastAsia="仿宋_GB2312"/>
          <w:spacing w:val="-20"/>
          <w:sz w:val="32"/>
          <w:szCs w:val="32"/>
        </w:rPr>
        <w:t>经费管理方面接待清单及接待明细管理有待加强。</w:t>
      </w:r>
    </w:p>
    <w:p>
      <w:pPr>
        <w:tabs>
          <w:tab w:val="left" w:pos="613"/>
        </w:tabs>
        <w:spacing w:line="520" w:lineRule="exact"/>
        <w:ind w:left="416" w:leftChars="198" w:firstLine="964" w:firstLineChars="300"/>
        <w:rPr>
          <w:rFonts w:hint="eastAsia" w:ascii="仿宋_GB2312" w:hAnsi="仿宋_GB2312" w:eastAsia="仿宋_GB2312"/>
          <w:b/>
          <w:bCs/>
          <w:sz w:val="32"/>
          <w:szCs w:val="32"/>
        </w:rPr>
      </w:pPr>
      <w:r>
        <w:rPr>
          <w:rFonts w:hint="eastAsia" w:ascii="仿宋_GB2312" w:hAnsi="仿宋_GB2312" w:eastAsia="仿宋_GB2312"/>
          <w:b/>
          <w:bCs/>
          <w:sz w:val="32"/>
          <w:szCs w:val="32"/>
        </w:rPr>
        <w:t>五、改进措施和有关建议</w:t>
      </w:r>
    </w:p>
    <w:p>
      <w:pPr>
        <w:tabs>
          <w:tab w:val="left" w:pos="613"/>
        </w:tabs>
        <w:spacing w:line="520" w:lineRule="exact"/>
        <w:ind w:left="416" w:leftChars="198"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1、进一步规范财务管理，实行计划管理，规范各项支出报批手续。</w:t>
      </w:r>
    </w:p>
    <w:p>
      <w:pPr>
        <w:tabs>
          <w:tab w:val="left" w:pos="613"/>
        </w:tabs>
        <w:spacing w:line="520" w:lineRule="exact"/>
        <w:ind w:left="416" w:leftChars="198"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2、针对新预算法的实行，价格监督检查局的预算安排实行“以支定收，以支定预”的方式，从而达到对本单位当年度的各项工作开展心中有数，工作安排能统筹安排，合理配置。</w:t>
      </w:r>
    </w:p>
    <w:p>
      <w:pPr>
        <w:spacing w:line="520" w:lineRule="exact"/>
        <w:ind w:left="210" w:leftChars="100" w:firstLine="800" w:firstLineChars="250"/>
        <w:rPr>
          <w:rFonts w:hint="eastAsia" w:ascii="宋体" w:hAnsi="宋体" w:eastAsia="仿宋_GB2312"/>
          <w:sz w:val="32"/>
          <w:szCs w:val="32"/>
        </w:rPr>
      </w:pPr>
      <w:r>
        <w:rPr>
          <w:rFonts w:hint="eastAsia" w:ascii="仿宋_GB2312" w:hAnsi="仿宋_GB2312" w:eastAsia="仿宋_GB2312"/>
          <w:sz w:val="32"/>
          <w:szCs w:val="32"/>
        </w:rPr>
        <w:t>3、</w:t>
      </w:r>
      <w:r>
        <w:rPr>
          <w:rFonts w:hint="eastAsia" w:ascii="宋体" w:hAnsi="宋体" w:eastAsia="仿宋_GB2312"/>
          <w:sz w:val="32"/>
          <w:szCs w:val="32"/>
        </w:rPr>
        <w:t>在以后工作中，必须打实收入，打紧支出，压缩开支，合理安排预算资金，不断完善支出结构，优化资金使用率，进一步完善预算管理体制。</w:t>
      </w:r>
    </w:p>
    <w:p>
      <w:pPr>
        <w:widowControl/>
        <w:rPr>
          <w:rFonts w:hint="eastAsia" w:ascii="仿宋" w:hAnsi="仿宋" w:eastAsia="仿宋" w:cs="仿宋"/>
          <w:kern w:val="0"/>
          <w:sz w:val="30"/>
          <w:szCs w:val="30"/>
        </w:rPr>
      </w:pPr>
      <w:r>
        <w:rPr>
          <w:rFonts w:hint="eastAsia" w:ascii="仿宋" w:hAnsi="仿宋" w:eastAsia="仿宋" w:cs="仿宋"/>
          <w:kern w:val="0"/>
          <w:sz w:val="30"/>
          <w:szCs w:val="30"/>
        </w:rPr>
        <w:t>十、其他重要事项</w:t>
      </w:r>
    </w:p>
    <w:p>
      <w:pPr>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rPr>
        <w:t>（一）</w:t>
      </w:r>
      <w:r>
        <w:rPr>
          <w:rFonts w:hint="eastAsia" w:ascii="仿宋" w:hAnsi="仿宋" w:eastAsia="仿宋" w:cs="仿宋"/>
          <w:sz w:val="30"/>
          <w:szCs w:val="30"/>
          <w:lang w:eastAsia="zh-CN"/>
        </w:rPr>
        <w:t>机关运行维护费1008001.77元，因单位严格执行财务管理制度，优化支出结构，厉行节约，反对浪费，比上年同期下降163268.40元。</w:t>
      </w:r>
    </w:p>
    <w:p>
      <w:pPr>
        <w:autoSpaceDE w:val="0"/>
        <w:autoSpaceDN w:val="0"/>
        <w:adjustRightInd w:val="0"/>
        <w:ind w:firstLine="600" w:firstLineChars="200"/>
        <w:jc w:val="left"/>
        <w:rPr>
          <w:rFonts w:hint="eastAsia" w:ascii="仿宋" w:hAnsi="仿宋" w:eastAsia="仿宋" w:cs="仿宋"/>
          <w:bCs/>
          <w:color w:val="000000"/>
          <w:sz w:val="30"/>
          <w:szCs w:val="30"/>
        </w:rPr>
      </w:pPr>
      <w:r>
        <w:rPr>
          <w:rFonts w:hint="eastAsia" w:ascii="仿宋" w:hAnsi="仿宋" w:eastAsia="仿宋" w:cs="仿宋"/>
          <w:kern w:val="0"/>
          <w:sz w:val="30"/>
          <w:szCs w:val="30"/>
        </w:rPr>
        <w:t>（二）政府采购支出情况。</w:t>
      </w:r>
      <w:r>
        <w:rPr>
          <w:rFonts w:hint="eastAsia" w:ascii="仿宋" w:hAnsi="仿宋" w:eastAsia="仿宋" w:cs="仿宋"/>
          <w:bCs/>
          <w:color w:val="000000"/>
          <w:sz w:val="30"/>
          <w:szCs w:val="30"/>
        </w:rPr>
        <w:t>2017年度政府采购办公设备13.38万元。具体是电脑、复印机、打印机。</w:t>
      </w:r>
    </w:p>
    <w:p>
      <w:pPr>
        <w:autoSpaceDE w:val="0"/>
        <w:autoSpaceDN w:val="0"/>
        <w:adjustRightInd w:val="0"/>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（三）国有资产占用情况。截至2017 年12 月31 日，</w:t>
      </w:r>
      <w:r>
        <w:rPr>
          <w:rFonts w:hint="eastAsia" w:ascii="仿宋" w:hAnsi="仿宋" w:eastAsia="仿宋" w:cs="仿宋"/>
          <w:kern w:val="0"/>
          <w:sz w:val="30"/>
          <w:szCs w:val="30"/>
          <w:lang w:eastAsia="zh-CN"/>
        </w:rPr>
        <w:t>我单位资占有</w:t>
      </w:r>
      <w:r>
        <w:rPr>
          <w:rFonts w:hint="eastAsia" w:ascii="仿宋" w:hAnsi="仿宋" w:eastAsia="仿宋" w:cs="仿宋"/>
          <w:kern w:val="0"/>
          <w:sz w:val="30"/>
          <w:szCs w:val="30"/>
          <w:lang w:val="en-US" w:eastAsia="zh-CN"/>
        </w:rPr>
        <w:t>790443.33元，其中：流动资产88498.33元，</w:t>
      </w:r>
      <w:r>
        <w:rPr>
          <w:rFonts w:hint="eastAsia" w:ascii="仿宋" w:hAnsi="仿宋" w:eastAsia="仿宋" w:cs="仿宋"/>
          <w:kern w:val="0"/>
          <w:sz w:val="30"/>
          <w:szCs w:val="30"/>
          <w:lang w:eastAsia="zh-CN"/>
        </w:rPr>
        <w:t>固定资产</w:t>
      </w:r>
      <w:r>
        <w:rPr>
          <w:rFonts w:hint="eastAsia" w:ascii="仿宋" w:hAnsi="仿宋" w:eastAsia="仿宋" w:cs="仿宋"/>
          <w:kern w:val="0"/>
          <w:sz w:val="30"/>
          <w:szCs w:val="30"/>
          <w:lang w:val="en-US" w:eastAsia="zh-CN"/>
        </w:rPr>
        <w:t>701945.00元，为其他固定资产（办公设备及办公家具等）。年初固定资产</w:t>
      </w:r>
      <w:r>
        <w:rPr>
          <w:rFonts w:hint="eastAsia" w:ascii="仿宋" w:hAnsi="仿宋" w:eastAsia="仿宋" w:cs="仿宋"/>
          <w:kern w:val="0"/>
          <w:sz w:val="30"/>
          <w:szCs w:val="30"/>
        </w:rPr>
        <w:t>本部门共有车辆</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辆，</w:t>
      </w:r>
      <w:r>
        <w:rPr>
          <w:rFonts w:hint="eastAsia" w:ascii="仿宋" w:hAnsi="仿宋" w:eastAsia="仿宋" w:cs="仿宋"/>
          <w:kern w:val="0"/>
          <w:sz w:val="30"/>
          <w:szCs w:val="30"/>
          <w:lang w:eastAsia="zh-CN"/>
        </w:rPr>
        <w:t>单位因公车改革原持有车辆已全部上交，故交通设备资产依此进行核销。</w:t>
      </w:r>
    </w:p>
    <w:p>
      <w:pPr>
        <w:widowControl/>
        <w:spacing w:line="600" w:lineRule="exact"/>
        <w:ind w:firstLine="627" w:firstLineChars="196"/>
        <w:jc w:val="left"/>
        <w:rPr>
          <w:rFonts w:hint="eastAsia" w:ascii="宋体" w:hAnsi="宋体" w:eastAsia="宋体" w:cs="宋体"/>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center"/>
        <w:rPr>
          <w:rFonts w:ascii="微软雅黑" w:hAnsi="微软雅黑" w:eastAsia="微软雅黑" w:cs="微软雅黑"/>
          <w:i w:val="0"/>
          <w:caps w:val="0"/>
          <w:color w:val="000000"/>
          <w:spacing w:val="0"/>
          <w:sz w:val="21"/>
          <w:szCs w:val="21"/>
        </w:rPr>
      </w:pPr>
      <w:r>
        <w:rPr>
          <w:rFonts w:ascii="仿宋_GB2312" w:hAnsi="微软雅黑" w:eastAsia="仿宋_GB2312" w:cs="仿宋_GB2312"/>
          <w:b/>
          <w:i w:val="0"/>
          <w:caps w:val="0"/>
          <w:color w:val="000000"/>
          <w:spacing w:val="0"/>
          <w:kern w:val="0"/>
          <w:sz w:val="32"/>
          <w:szCs w:val="32"/>
          <w:shd w:val="clear" w:fill="FFFFFF"/>
          <w:lang w:val="en-US" w:eastAsia="zh-CN" w:bidi="ar"/>
        </w:rPr>
        <w:t>第四部分</w:t>
      </w:r>
      <w:r>
        <w:rPr>
          <w:rFonts w:hint="default" w:ascii="仿宋_GB2312" w:hAnsi="微软雅黑" w:eastAsia="仿宋_GB2312" w:cs="仿宋_GB2312"/>
          <w:b/>
          <w:i w:val="0"/>
          <w:caps w:val="0"/>
          <w:color w:val="000000"/>
          <w:spacing w:val="0"/>
          <w:kern w:val="0"/>
          <w:sz w:val="32"/>
          <w:szCs w:val="32"/>
          <w:shd w:val="clear" w:fill="FFFFFF"/>
          <w:lang w:val="en-US" w:eastAsia="zh-CN" w:bidi="ar"/>
        </w:rPr>
        <w:t>  名词解释</w:t>
      </w:r>
    </w:p>
    <w:p>
      <w:pPr>
        <w:widowControl/>
        <w:spacing w:line="600" w:lineRule="exact"/>
        <w:ind w:firstLine="6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（1）基本支出：指为保障机构正常运转、完成日常工作任务而发生的人员支出和公用支出。</w:t>
      </w:r>
    </w:p>
    <w:p>
      <w:pPr>
        <w:widowControl/>
        <w:spacing w:line="600" w:lineRule="exact"/>
        <w:ind w:firstLine="6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（2）项目支出：指在基本支出之外为完成特定行政任务和事业发展目标所发生的支出。</w:t>
      </w:r>
    </w:p>
    <w:p>
      <w:pPr>
        <w:widowControl/>
        <w:spacing w:line="600" w:lineRule="exact"/>
        <w:ind w:firstLine="6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3）“三公”经费：纳入财政预决算管理的“三公”经费，是指部门用财政拨款安排的因公出国（境）、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600" w:lineRule="exact"/>
        <w:ind w:firstLine="6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60"/>
        <w:jc w:val="left"/>
        <w:rPr>
          <w:rFonts w:hint="eastAsia" w:ascii="仿宋_GB2312" w:eastAsia="仿宋_GB2312"/>
          <w:sz w:val="32"/>
          <w:szCs w:val="32"/>
        </w:rPr>
      </w:pPr>
      <w:bookmarkStart w:id="0" w:name="_GoBack"/>
      <w:bookmarkEnd w:id="0"/>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CF70D"/>
    <w:multiLevelType w:val="singleLevel"/>
    <w:tmpl w:val="9CBCF70D"/>
    <w:lvl w:ilvl="0" w:tentative="0">
      <w:start w:val="2"/>
      <w:numFmt w:val="decimal"/>
      <w:suff w:val="nothing"/>
      <w:lvlText w:val="（%1）"/>
      <w:lvlJc w:val="left"/>
    </w:lvl>
  </w:abstractNum>
  <w:abstractNum w:abstractNumId="1">
    <w:nsid w:val="46FF7CB8"/>
    <w:multiLevelType w:val="singleLevel"/>
    <w:tmpl w:val="46FF7CB8"/>
    <w:lvl w:ilvl="0" w:tentative="0">
      <w:start w:val="2"/>
      <w:numFmt w:val="chineseCounting"/>
      <w:suff w:val="nothing"/>
      <w:lvlText w:val="%1、"/>
      <w:lvlJc w:val="left"/>
      <w:rPr>
        <w:rFonts w:hint="eastAsia"/>
      </w:rPr>
    </w:lvl>
  </w:abstractNum>
  <w:abstractNum w:abstractNumId="2">
    <w:nsid w:val="6805424D"/>
    <w:multiLevelType w:val="singleLevel"/>
    <w:tmpl w:val="6805424D"/>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D2131"/>
    <w:rsid w:val="05C4189C"/>
    <w:rsid w:val="07F776C8"/>
    <w:rsid w:val="1E4F2CD8"/>
    <w:rsid w:val="2A1F2FC9"/>
    <w:rsid w:val="2FE50944"/>
    <w:rsid w:val="3E2A1EFB"/>
    <w:rsid w:val="4C681EB5"/>
    <w:rsid w:val="52455B6E"/>
    <w:rsid w:val="54CA0AC3"/>
    <w:rsid w:val="55FD2131"/>
    <w:rsid w:val="5ABE31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标题 1 Char"/>
    <w:basedOn w:val="7"/>
    <w:link w:val="2"/>
    <w:qFormat/>
    <w:locked/>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555555"/>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2018-08-17T00:20:00Z</dcterms:created>
  <dc:creator>Administrator</dc:creator>
  <cp:lastModifiedBy>Administrator</cp:lastModifiedBy>
  <dcterms:modified xsi:type="dcterms:W3CDTF">2019-03-06T02:52:48Z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