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206" w:line="240" w:lineRule="atLeast"/>
        <w:ind w:left="93"/>
        <w:jc w:val="center"/>
        <w:rPr>
          <w:rFonts w:ascii="方正小标宋简体" w:hAnsi="宋体" w:cs="宋体"/>
          <w:kern w:val="0"/>
          <w:sz w:val="36"/>
          <w:szCs w:val="36"/>
        </w:rPr>
      </w:pPr>
      <w:r>
        <w:rPr>
          <w:rFonts w:ascii="方正小标宋简体" w:hAnsi="宋体" w:cs="宋体"/>
          <w:kern w:val="0"/>
          <w:sz w:val="36"/>
          <w:szCs w:val="36"/>
        </w:rPr>
        <w:t>整体支出绩效评价指标</w:t>
      </w:r>
    </w:p>
    <w:p>
      <w:pPr>
        <w:widowControl/>
        <w:shd w:val="clear" w:color="auto" w:fill="FFFFFF"/>
        <w:spacing w:before="100" w:beforeAutospacing="1" w:after="206" w:line="240" w:lineRule="atLeast"/>
        <w:ind w:left="93"/>
        <w:jc w:val="both"/>
        <w:rPr>
          <w:rFonts w:hint="eastAsia" w:ascii="方正小标宋简体" w:hAnsi="宋体" w:eastAsia="宋体" w:cs="宋体"/>
          <w:kern w:val="0"/>
          <w:sz w:val="32"/>
          <w:szCs w:val="32"/>
          <w:lang w:val="en-US" w:eastAsia="zh-CN"/>
        </w:rPr>
      </w:pPr>
      <w:r>
        <w:rPr>
          <w:rFonts w:hint="eastAsia" w:ascii="方正小标宋简体" w:hAnsi="宋体" w:cs="宋体"/>
          <w:kern w:val="0"/>
          <w:sz w:val="32"/>
          <w:szCs w:val="32"/>
          <w:lang w:val="en-US" w:eastAsia="zh-CN"/>
        </w:rPr>
        <w:t xml:space="preserve">   编制单位：龙山县交通建设质量安全监督管理所</w:t>
      </w:r>
    </w:p>
    <w:tbl>
      <w:tblPr>
        <w:tblStyle w:val="2"/>
        <w:tblW w:w="7554" w:type="dxa"/>
        <w:jc w:val="center"/>
        <w:tblInd w:w="0" w:type="dxa"/>
        <w:tblLayout w:type="fixed"/>
        <w:tblCellMar>
          <w:top w:w="0" w:type="dxa"/>
          <w:left w:w="108" w:type="dxa"/>
          <w:bottom w:w="0" w:type="dxa"/>
          <w:right w:w="108" w:type="dxa"/>
        </w:tblCellMar>
      </w:tblPr>
      <w:tblGrid>
        <w:gridCol w:w="501"/>
        <w:gridCol w:w="382"/>
        <w:gridCol w:w="569"/>
        <w:gridCol w:w="424"/>
        <w:gridCol w:w="536"/>
        <w:gridCol w:w="1994"/>
        <w:gridCol w:w="1897"/>
        <w:gridCol w:w="1251"/>
      </w:tblGrid>
      <w:tr>
        <w:tblPrEx>
          <w:tblLayout w:type="fixed"/>
          <w:tblCellMar>
            <w:top w:w="0" w:type="dxa"/>
            <w:left w:w="108" w:type="dxa"/>
            <w:bottom w:w="0" w:type="dxa"/>
            <w:right w:w="108" w:type="dxa"/>
          </w:tblCellMar>
        </w:tblPrEx>
        <w:trPr>
          <w:trHeight w:val="600"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一级指标</w:t>
            </w:r>
          </w:p>
        </w:tc>
        <w:tc>
          <w:tcPr>
            <w:tcW w:w="382"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二级指标</w:t>
            </w:r>
          </w:p>
        </w:tc>
        <w:tc>
          <w:tcPr>
            <w:tcW w:w="569"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分值</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三级指标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分值</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楷体_GB2312" w:hAnsi="宋体" w:cs="宋体"/>
                <w:b/>
                <w:bCs/>
                <w:kern w:val="0"/>
              </w:rPr>
            </w:pPr>
            <w:r>
              <w:rPr>
                <w:rFonts w:ascii="楷体_GB2312" w:hAnsi="宋体" w:cs="宋体"/>
                <w:b/>
                <w:bCs/>
                <w:kern w:val="0"/>
              </w:rPr>
              <w:t>评价标准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楷体_GB2312" w:hAnsi="宋体" w:eastAsia="宋体" w:cs="宋体"/>
                <w:b/>
                <w:bCs/>
                <w:kern w:val="0"/>
                <w:lang w:eastAsia="zh-CN"/>
              </w:rPr>
            </w:pPr>
            <w:r>
              <w:rPr>
                <w:rFonts w:hint="eastAsia" w:ascii="楷体_GB2312" w:hAnsi="宋体" w:cs="宋体"/>
                <w:b/>
                <w:bCs/>
                <w:kern w:val="0"/>
                <w:lang w:eastAsia="zh-CN"/>
              </w:rPr>
              <w:t>绩效目标值</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楷体_GB2312" w:hAnsi="宋体" w:eastAsia="宋体" w:cs="宋体"/>
                <w:b/>
                <w:bCs/>
                <w:kern w:val="0"/>
                <w:lang w:eastAsia="zh-CN"/>
              </w:rPr>
            </w:pPr>
            <w:r>
              <w:rPr>
                <w:rFonts w:hint="eastAsia" w:ascii="楷体_GB2312" w:hAnsi="宋体" w:cs="宋体"/>
                <w:b/>
                <w:bCs/>
                <w:kern w:val="0"/>
                <w:lang w:eastAsia="zh-CN"/>
              </w:rPr>
              <w:t>绩效自评综合得分</w:t>
            </w:r>
          </w:p>
        </w:tc>
      </w:tr>
      <w:tr>
        <w:tblPrEx>
          <w:tblLayout w:type="fixed"/>
          <w:tblCellMar>
            <w:top w:w="0" w:type="dxa"/>
            <w:left w:w="108" w:type="dxa"/>
            <w:bottom w:w="0" w:type="dxa"/>
            <w:right w:w="108" w:type="dxa"/>
          </w:tblCellMar>
        </w:tblPrEx>
        <w:trPr>
          <w:trHeight w:val="90"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投    入</w:t>
            </w:r>
          </w:p>
        </w:tc>
        <w:tc>
          <w:tcPr>
            <w:tcW w:w="382"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预算配置</w:t>
            </w:r>
          </w:p>
        </w:tc>
        <w:tc>
          <w:tcPr>
            <w:tcW w:w="569"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16</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财政供养人员控制率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以100%为标准。在职人员控制率</w:t>
            </w:r>
            <w:r>
              <w:rPr>
                <w:rFonts w:hint="eastAsia" w:ascii="仿宋_GB2312" w:hAnsi="宋体"/>
                <w:kern w:val="0"/>
              </w:rPr>
              <w:t>≦</w:t>
            </w:r>
            <w:r>
              <w:rPr>
                <w:rFonts w:ascii="仿宋_GB2312" w:hAnsi="宋体" w:cs="宋体"/>
                <w:kern w:val="0"/>
              </w:rPr>
              <w:t>100%，计5分；每超过一个百分点扣0.5分，扣完为止。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eastAsia="zh-CN"/>
              </w:rPr>
            </w:pPr>
            <w:r>
              <w:rPr>
                <w:rFonts w:hint="eastAsia" w:ascii="仿宋_GB2312" w:hAnsi="宋体" w:cs="宋体"/>
                <w:kern w:val="0"/>
                <w:lang w:val="en-US" w:eastAsia="zh-CN"/>
              </w:rPr>
              <w:t>27/29*100%=93.1%</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cs="宋体"/>
                <w:kern w:val="0"/>
                <w:lang w:val="en-US" w:eastAsia="zh-CN"/>
              </w:rPr>
            </w:pPr>
            <w:r>
              <w:rPr>
                <w:rFonts w:hint="eastAsia" w:ascii="仿宋_GB2312" w:hAnsi="宋体" w:cs="宋体"/>
                <w:kern w:val="0"/>
                <w:lang w:val="en-US" w:eastAsia="zh-CN"/>
              </w:rPr>
              <w:t>5</w:t>
            </w:r>
          </w:p>
        </w:tc>
      </w:tr>
      <w:tr>
        <w:tblPrEx>
          <w:tblLayout w:type="fixed"/>
          <w:tblCellMar>
            <w:top w:w="0" w:type="dxa"/>
            <w:left w:w="108" w:type="dxa"/>
            <w:bottom w:w="0" w:type="dxa"/>
            <w:right w:w="108" w:type="dxa"/>
          </w:tblCellMar>
        </w:tblPrEx>
        <w:trPr>
          <w:trHeight w:val="172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“三公经费”变动率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6</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“三公经费”变动率</w:t>
            </w:r>
            <w:r>
              <w:rPr>
                <w:rFonts w:hint="eastAsia" w:ascii="仿宋_GB2312" w:hAnsi="宋体"/>
                <w:kern w:val="0"/>
              </w:rPr>
              <w:t>≦</w:t>
            </w:r>
            <w:r>
              <w:rPr>
                <w:rFonts w:ascii="仿宋_GB2312" w:hAnsi="宋体" w:cs="宋体"/>
                <w:kern w:val="0"/>
              </w:rPr>
              <w:t>0,计6分；“三公经费”＞0，每超过一个百分点扣0.6分，扣完为止。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eastAsia="zh-CN"/>
              </w:rPr>
            </w:pPr>
            <w:r>
              <w:rPr>
                <w:rFonts w:hint="eastAsia" w:ascii="仿宋_GB2312" w:hAnsi="宋体" w:cs="宋体"/>
                <w:kern w:val="0"/>
                <w:lang w:val="en-US" w:eastAsia="zh-CN"/>
              </w:rPr>
              <w:t>(6.05-6.1)/6.1*100%=-0.82%</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default" w:ascii="仿宋_GB2312" w:hAnsi="宋体" w:cs="宋体"/>
                <w:kern w:val="0"/>
                <w:lang w:val="en-US" w:eastAsia="zh-CN"/>
              </w:rPr>
            </w:pPr>
            <w:r>
              <w:rPr>
                <w:rFonts w:hint="eastAsia" w:ascii="仿宋_GB2312" w:hAnsi="宋体" w:cs="宋体"/>
                <w:kern w:val="0"/>
                <w:lang w:val="en-US" w:eastAsia="zh-CN"/>
              </w:rPr>
              <w:t>6</w:t>
            </w:r>
          </w:p>
        </w:tc>
      </w:tr>
      <w:tr>
        <w:tblPrEx>
          <w:tblLayout w:type="fixed"/>
          <w:tblCellMar>
            <w:top w:w="0" w:type="dxa"/>
            <w:left w:w="108" w:type="dxa"/>
            <w:bottom w:w="0" w:type="dxa"/>
            <w:right w:w="108" w:type="dxa"/>
          </w:tblCellMar>
        </w:tblPrEx>
        <w:trPr>
          <w:trHeight w:val="2176"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重点支出安排率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重点支出安排率≥90%，计5分；80%（含）-90%，计4分；70%（含）-80%，计3分；60%（含）-70%，计2分；低于60%不得分。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val="en-US" w:eastAsia="zh-CN"/>
              </w:rPr>
            </w:pPr>
            <w:r>
              <w:rPr>
                <w:rFonts w:hint="eastAsia" w:ascii="仿宋_GB2312" w:hAnsi="宋体" w:eastAsia="宋体" w:cs="宋体"/>
                <w:kern w:val="0"/>
                <w:lang w:val="en-US" w:eastAsia="zh-CN"/>
              </w:rPr>
              <w:t>无</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cs="宋体"/>
                <w:kern w:val="0"/>
                <w:lang w:val="en-US" w:eastAsia="zh-CN"/>
              </w:rPr>
            </w:pPr>
            <w:r>
              <w:rPr>
                <w:rFonts w:hint="eastAsia" w:ascii="仿宋_GB2312" w:hAnsi="宋体" w:cs="宋体"/>
                <w:kern w:val="0"/>
                <w:lang w:val="en-US" w:eastAsia="zh-CN"/>
              </w:rPr>
              <w:t>0</w:t>
            </w:r>
          </w:p>
        </w:tc>
      </w:tr>
      <w:tr>
        <w:tblPrEx>
          <w:tblLayout w:type="fixed"/>
          <w:tblCellMar>
            <w:top w:w="0" w:type="dxa"/>
            <w:left w:w="108" w:type="dxa"/>
            <w:bottom w:w="0" w:type="dxa"/>
            <w:right w:w="108" w:type="dxa"/>
          </w:tblCellMar>
        </w:tblPrEx>
        <w:trPr>
          <w:trHeight w:val="1232"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过    程</w:t>
            </w:r>
          </w:p>
        </w:tc>
        <w:tc>
          <w:tcPr>
            <w:tcW w:w="382"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预算执行</w:t>
            </w:r>
          </w:p>
        </w:tc>
        <w:tc>
          <w:tcPr>
            <w:tcW w:w="569"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20</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预算调整率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eastAsia="宋体" w:cs="宋体"/>
                <w:kern w:val="0"/>
                <w:lang w:eastAsia="zh-CN"/>
              </w:rPr>
            </w:pPr>
            <w:r>
              <w:rPr>
                <w:rFonts w:hint="eastAsia" w:ascii="仿宋_GB2312" w:hAnsi="宋体" w:cs="宋体"/>
                <w:kern w:val="0"/>
                <w:lang w:val="en-US" w:eastAsia="zh-CN"/>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预算调整率=0，计5分；0-10%（含），计4, 分；10-20%（含），计3分；20-30%（含），计2分；大于30%不得分。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val="en-US" w:eastAsia="zh-CN"/>
              </w:rPr>
            </w:pPr>
            <w:r>
              <w:rPr>
                <w:rFonts w:hint="eastAsia" w:ascii="仿宋_GB2312" w:hAnsi="宋体" w:eastAsia="宋体" w:cs="宋体"/>
                <w:kern w:val="0"/>
                <w:lang w:val="en-US" w:eastAsia="zh-CN"/>
              </w:rPr>
              <w:t>（383.34-257.36）/257.36*100%=48.95%</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default" w:ascii="仿宋_GB2312" w:hAnsi="宋体" w:eastAsia="宋体" w:cs="宋体"/>
                <w:kern w:val="0"/>
                <w:lang w:val="en-US" w:eastAsia="zh-CN"/>
              </w:rPr>
            </w:pPr>
            <w:r>
              <w:rPr>
                <w:rFonts w:hint="eastAsia" w:ascii="仿宋_GB2312" w:hAnsi="宋体" w:eastAsia="宋体" w:cs="宋体"/>
                <w:kern w:val="0"/>
                <w:lang w:val="en-US" w:eastAsia="zh-CN"/>
              </w:rPr>
              <w:t>0</w:t>
            </w:r>
          </w:p>
        </w:tc>
      </w:tr>
      <w:tr>
        <w:tblPrEx>
          <w:tblLayout w:type="fixed"/>
          <w:tblCellMar>
            <w:top w:w="0" w:type="dxa"/>
            <w:left w:w="108" w:type="dxa"/>
            <w:bottom w:w="0" w:type="dxa"/>
            <w:right w:w="108" w:type="dxa"/>
          </w:tblCellMar>
        </w:tblPrEx>
        <w:trPr>
          <w:trHeight w:val="1246"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支出进度</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4</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每发生一个项目未按进度要求完成资金下达的扣1分，扣完为止。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 xml:space="preserve"> </w:t>
            </w:r>
            <w:r>
              <w:rPr>
                <w:rFonts w:hint="eastAsia" w:ascii="仿宋_GB2312" w:hAnsi="宋体" w:cs="宋体"/>
                <w:kern w:val="0"/>
                <w:lang w:eastAsia="zh-CN"/>
              </w:rPr>
              <w:t>及时完成项目进度</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4</w:t>
            </w:r>
          </w:p>
        </w:tc>
      </w:tr>
      <w:tr>
        <w:tblPrEx>
          <w:tblLayout w:type="fixed"/>
          <w:tblCellMar>
            <w:top w:w="0" w:type="dxa"/>
            <w:left w:w="108" w:type="dxa"/>
            <w:bottom w:w="0" w:type="dxa"/>
            <w:right w:w="108" w:type="dxa"/>
          </w:tblCellMar>
        </w:tblPrEx>
        <w:trPr>
          <w:trHeight w:val="78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资金结余</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无结余，5分；有结余，但不超过上年结转，4分；结余超过上年结转，不得分。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　</w:t>
            </w:r>
            <w:r>
              <w:rPr>
                <w:rFonts w:hint="eastAsia" w:ascii="仿宋_GB2312" w:hAnsi="宋体" w:cs="宋体"/>
                <w:kern w:val="0"/>
                <w:lang w:eastAsia="zh-CN"/>
              </w:rPr>
              <w:t>年底无结余。</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5</w:t>
            </w:r>
          </w:p>
        </w:tc>
      </w:tr>
      <w:tr>
        <w:tblPrEx>
          <w:tblLayout w:type="fixed"/>
          <w:tblCellMar>
            <w:top w:w="0" w:type="dxa"/>
            <w:left w:w="108" w:type="dxa"/>
            <w:bottom w:w="0" w:type="dxa"/>
            <w:right w:w="108" w:type="dxa"/>
          </w:tblCellMar>
        </w:tblPrEx>
        <w:trPr>
          <w:trHeight w:val="87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“三公经费”控制率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6</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以100%为标准。三公经费控制率</w:t>
            </w:r>
            <w:r>
              <w:rPr>
                <w:rFonts w:hint="eastAsia" w:ascii="仿宋_GB2312" w:hAnsi="宋体"/>
                <w:kern w:val="0"/>
              </w:rPr>
              <w:t>≦</w:t>
            </w:r>
            <w:r>
              <w:rPr>
                <w:rFonts w:ascii="仿宋_GB2312" w:hAnsi="宋体" w:cs="宋体"/>
                <w:kern w:val="0"/>
              </w:rPr>
              <w:t>100%，计6分；每超过一个百分点扣1分，扣完为止。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val="en-US" w:eastAsia="zh-CN"/>
              </w:rPr>
            </w:pPr>
            <w:r>
              <w:rPr>
                <w:rFonts w:hint="eastAsia" w:ascii="仿宋_GB2312" w:hAnsi="宋体" w:cs="宋体"/>
                <w:kern w:val="0"/>
                <w:lang w:val="en-US" w:eastAsia="zh-CN"/>
              </w:rPr>
              <w:t>6.05/7.25*100%=83.45%</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cs="宋体"/>
                <w:kern w:val="0"/>
                <w:lang w:val="en-US" w:eastAsia="zh-CN"/>
              </w:rPr>
            </w:pPr>
            <w:r>
              <w:rPr>
                <w:rFonts w:hint="eastAsia" w:ascii="仿宋_GB2312" w:hAnsi="宋体" w:cs="宋体"/>
                <w:kern w:val="0"/>
                <w:lang w:val="en-US" w:eastAsia="zh-CN"/>
              </w:rPr>
              <w:t>6</w:t>
            </w:r>
          </w:p>
        </w:tc>
      </w:tr>
      <w:tr>
        <w:tblPrEx>
          <w:tblLayout w:type="fixed"/>
          <w:tblCellMar>
            <w:top w:w="0" w:type="dxa"/>
            <w:left w:w="108" w:type="dxa"/>
            <w:bottom w:w="0" w:type="dxa"/>
            <w:right w:w="108" w:type="dxa"/>
          </w:tblCellMar>
        </w:tblPrEx>
        <w:trPr>
          <w:trHeight w:val="1455"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过      程</w:t>
            </w:r>
          </w:p>
        </w:tc>
        <w:tc>
          <w:tcPr>
            <w:tcW w:w="382"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预算管理</w:t>
            </w:r>
          </w:p>
        </w:tc>
        <w:tc>
          <w:tcPr>
            <w:tcW w:w="569" w:type="dxa"/>
            <w:vMerge w:val="restart"/>
            <w:tcBorders>
              <w:top w:val="nil"/>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16</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管理制度健全性</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6</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①已制定或具有预算资金管理办法，内部财务管理制度、会计核算制度等管理制度，2分；②相关管理制度合法、合规、完整，2分；③相关管理制度得到有效执行，2分。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　</w:t>
            </w:r>
            <w:r>
              <w:rPr>
                <w:rFonts w:hint="eastAsia" w:ascii="仿宋_GB2312" w:hAnsi="宋体" w:cs="宋体"/>
                <w:kern w:val="0"/>
                <w:lang w:eastAsia="zh-CN"/>
              </w:rPr>
              <w:t>制定相关的管理制度</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6</w:t>
            </w:r>
          </w:p>
        </w:tc>
      </w:tr>
      <w:tr>
        <w:tblPrEx>
          <w:tblLayout w:type="fixed"/>
          <w:tblCellMar>
            <w:top w:w="0" w:type="dxa"/>
            <w:left w:w="108" w:type="dxa"/>
            <w:bottom w:w="0" w:type="dxa"/>
            <w:right w:w="108" w:type="dxa"/>
          </w:tblCellMar>
        </w:tblPrEx>
        <w:trPr>
          <w:trHeight w:val="9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资金使用合规性</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ascii="仿宋_GB2312" w:hAnsi="宋体" w:cs="宋体"/>
                <w:kern w:val="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hint="eastAsia" w:ascii="仿宋_GB2312" w:hAnsi="宋体" w:eastAsia="宋体" w:cs="宋体"/>
                <w:kern w:val="0"/>
                <w:lang w:eastAsia="zh-CN"/>
              </w:rPr>
            </w:pPr>
            <w:r>
              <w:rPr>
                <w:rFonts w:hint="eastAsia" w:ascii="仿宋_GB2312" w:hAnsi="宋体" w:cs="宋体"/>
                <w:kern w:val="0"/>
                <w:lang w:eastAsia="zh-CN"/>
              </w:rPr>
              <w:t>严格按照资金用途使用</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cs="宋体"/>
                <w:kern w:val="0"/>
                <w:lang w:val="en-US" w:eastAsia="zh-CN"/>
              </w:rPr>
            </w:pPr>
            <w:r>
              <w:rPr>
                <w:rFonts w:hint="eastAsia" w:ascii="仿宋_GB2312" w:hAnsi="宋体" w:cs="宋体"/>
                <w:kern w:val="0"/>
                <w:lang w:val="en-US" w:eastAsia="zh-CN"/>
              </w:rPr>
              <w:t>5</w:t>
            </w:r>
          </w:p>
        </w:tc>
      </w:tr>
      <w:tr>
        <w:tblPrEx>
          <w:tblLayout w:type="fixed"/>
          <w:tblCellMar>
            <w:top w:w="0" w:type="dxa"/>
            <w:left w:w="108" w:type="dxa"/>
            <w:bottom w:w="0" w:type="dxa"/>
            <w:right w:w="108" w:type="dxa"/>
          </w:tblCellMar>
        </w:tblPrEx>
        <w:trPr>
          <w:trHeight w:val="196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预决算信息公开性和完善性</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left"/>
              <w:rPr>
                <w:rFonts w:ascii="仿宋_GB2312" w:hAnsi="宋体" w:cs="宋体"/>
                <w:kern w:val="0"/>
              </w:rPr>
            </w:pPr>
            <w:r>
              <w:rPr>
                <w:rFonts w:hint="eastAsia" w:ascii="仿宋_GB2312" w:hAnsi="宋体" w:cs="宋体"/>
                <w:kern w:val="0"/>
                <w:lang w:eastAsia="zh-CN"/>
              </w:rPr>
              <w:t>及时在本单位公开预决算</w:t>
            </w:r>
            <w:r>
              <w:rPr>
                <w:rFonts w:ascii="仿宋_GB2312" w:hAnsi="宋体" w:cs="宋体"/>
                <w:kern w:val="0"/>
              </w:rPr>
              <w:t xml:space="preserve">                                     </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20" w:lineRule="exact"/>
              <w:jc w:val="center"/>
              <w:rPr>
                <w:rFonts w:hint="eastAsia" w:ascii="仿宋_GB2312" w:hAnsi="宋体" w:cs="宋体"/>
                <w:kern w:val="0"/>
                <w:lang w:val="en-US" w:eastAsia="zh-CN"/>
              </w:rPr>
            </w:pPr>
            <w:r>
              <w:rPr>
                <w:rFonts w:hint="eastAsia" w:ascii="仿宋_GB2312" w:hAnsi="宋体" w:cs="宋体"/>
                <w:kern w:val="0"/>
                <w:lang w:val="en-US" w:eastAsia="zh-CN"/>
              </w:rPr>
              <w:t>5</w:t>
            </w:r>
          </w:p>
        </w:tc>
      </w:tr>
      <w:tr>
        <w:tblPrEx>
          <w:tblLayout w:type="fixed"/>
          <w:tblCellMar>
            <w:top w:w="0" w:type="dxa"/>
            <w:left w:w="108" w:type="dxa"/>
            <w:bottom w:w="0" w:type="dxa"/>
            <w:right w:w="108" w:type="dxa"/>
          </w:tblCellMar>
        </w:tblPrEx>
        <w:trPr>
          <w:trHeight w:val="191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restart"/>
            <w:tcBorders>
              <w:top w:val="nil"/>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资产管理</w:t>
            </w:r>
          </w:p>
        </w:tc>
        <w:tc>
          <w:tcPr>
            <w:tcW w:w="569" w:type="dxa"/>
            <w:vMerge w:val="restart"/>
            <w:tcBorders>
              <w:top w:val="nil"/>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12</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管理制度健全性</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4</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 xml:space="preserve">①已制定或具有资产管理制度，1分；②相关资产管理制度合法、合规、完整，2分；③相关资产管理制度得到有效执行，1分。                                           </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制定</w:t>
            </w:r>
            <w:r>
              <w:rPr>
                <w:rFonts w:hint="eastAsia" w:ascii="仿宋_GB2312" w:hAnsi="宋体" w:cs="宋体"/>
                <w:kern w:val="0"/>
                <w:lang w:eastAsia="zh-CN"/>
              </w:rPr>
              <w:t>健全的</w:t>
            </w:r>
            <w:r>
              <w:rPr>
                <w:rFonts w:ascii="仿宋_GB2312" w:hAnsi="宋体" w:cs="宋体"/>
                <w:kern w:val="0"/>
              </w:rPr>
              <w:t>管理制度</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4</w:t>
            </w:r>
          </w:p>
        </w:tc>
      </w:tr>
      <w:tr>
        <w:tblPrEx>
          <w:tblLayout w:type="fixed"/>
          <w:tblCellMar>
            <w:top w:w="0" w:type="dxa"/>
            <w:left w:w="108" w:type="dxa"/>
            <w:bottom w:w="0" w:type="dxa"/>
            <w:right w:w="108" w:type="dxa"/>
          </w:tblCellMar>
        </w:tblPrEx>
        <w:trPr>
          <w:trHeight w:val="3206"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资产管理安全性</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5</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①资产保存完整；②资产配置合理；③资产处置规范；④资产账务管理合规，帐实相符；⑤资产有偿使用及处置收入及时足额上缴；以上情况每出现一例不符合有关要求的扣1分，扣完为止。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资产保存完整，资产运行</w:t>
            </w:r>
            <w:r>
              <w:rPr>
                <w:rFonts w:hint="eastAsia" w:ascii="仿宋_GB2312" w:hAnsi="宋体" w:cs="宋体"/>
                <w:kern w:val="0"/>
                <w:lang w:eastAsia="zh-CN"/>
              </w:rPr>
              <w:t>安全</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5</w:t>
            </w:r>
          </w:p>
        </w:tc>
      </w:tr>
      <w:tr>
        <w:tblPrEx>
          <w:tblLayout w:type="fixed"/>
          <w:tblCellMar>
            <w:top w:w="0" w:type="dxa"/>
            <w:left w:w="108" w:type="dxa"/>
            <w:bottom w:w="0" w:type="dxa"/>
            <w:right w:w="108" w:type="dxa"/>
          </w:tblCellMar>
        </w:tblPrEx>
        <w:trPr>
          <w:trHeight w:val="2006"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固定资产利用率</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3</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每低于100%一个百分点扣0.2分，扣完为止。</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hint="eastAsia" w:ascii="仿宋_GB2312" w:hAnsi="宋体" w:eastAsia="宋体" w:cs="宋体"/>
                <w:kern w:val="0"/>
                <w:lang w:eastAsia="zh-CN"/>
              </w:rPr>
            </w:pPr>
            <w:r>
              <w:rPr>
                <w:rFonts w:hint="eastAsia" w:ascii="仿宋_GB2312" w:hAnsi="宋体" w:cs="宋体"/>
                <w:kern w:val="0"/>
                <w:lang w:val="en-US" w:eastAsia="zh-CN"/>
              </w:rPr>
              <w:t>217.58/217.58*100%=100%</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hint="eastAsia" w:ascii="仿宋_GB2312" w:hAnsi="宋体" w:cs="宋体"/>
                <w:kern w:val="0"/>
                <w:lang w:val="en-US" w:eastAsia="zh-CN"/>
              </w:rPr>
            </w:pPr>
            <w:r>
              <w:rPr>
                <w:rFonts w:hint="eastAsia" w:ascii="仿宋_GB2312" w:hAnsi="宋体" w:cs="宋体"/>
                <w:kern w:val="0"/>
                <w:lang w:val="en-US" w:eastAsia="zh-CN"/>
              </w:rPr>
              <w:t>3</w:t>
            </w:r>
          </w:p>
        </w:tc>
      </w:tr>
      <w:tr>
        <w:tblPrEx>
          <w:tblLayout w:type="fixed"/>
          <w:tblCellMar>
            <w:top w:w="0" w:type="dxa"/>
            <w:left w:w="108" w:type="dxa"/>
            <w:bottom w:w="0" w:type="dxa"/>
            <w:right w:w="108" w:type="dxa"/>
          </w:tblCellMar>
        </w:tblPrEx>
        <w:trPr>
          <w:trHeight w:val="1607"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产   出</w:t>
            </w:r>
          </w:p>
        </w:tc>
        <w:tc>
          <w:tcPr>
            <w:tcW w:w="382"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职责 履行</w:t>
            </w:r>
          </w:p>
        </w:tc>
        <w:tc>
          <w:tcPr>
            <w:tcW w:w="569"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12</w:t>
            </w:r>
          </w:p>
        </w:tc>
        <w:tc>
          <w:tcPr>
            <w:tcW w:w="42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工作目标完成情况</w:t>
            </w:r>
          </w:p>
        </w:tc>
        <w:tc>
          <w:tcPr>
            <w:tcW w:w="536"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12</w:t>
            </w:r>
          </w:p>
        </w:tc>
        <w:tc>
          <w:tcPr>
            <w:tcW w:w="1994"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ascii="仿宋_GB2312" w:hAnsi="宋体" w:cs="宋体"/>
                <w:kern w:val="0"/>
              </w:rPr>
              <w:t>根据本部门履行职责和年度工作计划完成情况，适情打分。建议参考县绩效考核办201</w:t>
            </w:r>
            <w:r>
              <w:rPr>
                <w:rFonts w:hint="eastAsia" w:ascii="仿宋_GB2312" w:hAnsi="宋体" w:cs="宋体"/>
                <w:kern w:val="0"/>
                <w:lang w:val="en-US" w:eastAsia="zh-CN"/>
              </w:rPr>
              <w:t>6</w:t>
            </w:r>
            <w:r>
              <w:rPr>
                <w:rFonts w:ascii="仿宋_GB2312" w:hAnsi="宋体" w:cs="宋体"/>
                <w:kern w:val="0"/>
              </w:rPr>
              <w:t>年对各部门工作目标任务完成情况考核打分。</w:t>
            </w:r>
          </w:p>
        </w:tc>
        <w:tc>
          <w:tcPr>
            <w:tcW w:w="1897"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left"/>
              <w:rPr>
                <w:rFonts w:ascii="仿宋_GB2312" w:hAnsi="宋体" w:cs="宋体"/>
                <w:kern w:val="0"/>
              </w:rPr>
            </w:pPr>
            <w:r>
              <w:rPr>
                <w:rFonts w:hint="eastAsia" w:ascii="仿宋_GB2312" w:hAnsi="宋体" w:cs="宋体"/>
                <w:kern w:val="0"/>
                <w:lang w:val="en-US" w:eastAsia="zh-CN"/>
              </w:rPr>
              <w:t>96.66</w:t>
            </w:r>
          </w:p>
        </w:tc>
        <w:tc>
          <w:tcPr>
            <w:tcW w:w="1251" w:type="dxa"/>
            <w:tcBorders>
              <w:top w:val="single" w:color="auto" w:sz="4" w:space="0"/>
              <w:left w:val="nil"/>
              <w:bottom w:val="single" w:color="auto" w:sz="4" w:space="0"/>
              <w:right w:val="single" w:color="auto" w:sz="4" w:space="0"/>
            </w:tcBorders>
            <w:vAlign w:val="center"/>
          </w:tcPr>
          <w:p>
            <w:pPr>
              <w:widowControl/>
              <w:spacing w:before="100" w:beforeAutospacing="1" w:after="206" w:line="300" w:lineRule="exact"/>
              <w:jc w:val="center"/>
              <w:rPr>
                <w:rFonts w:hint="default" w:ascii="仿宋_GB2312" w:hAnsi="宋体" w:cs="宋体"/>
                <w:kern w:val="0"/>
                <w:lang w:val="en-US" w:eastAsia="zh-CN"/>
              </w:rPr>
            </w:pPr>
            <w:r>
              <w:rPr>
                <w:rFonts w:hint="eastAsia" w:ascii="仿宋_GB2312" w:hAnsi="宋体" w:cs="宋体"/>
                <w:kern w:val="0"/>
                <w:lang w:val="en-US" w:eastAsia="zh-CN"/>
              </w:rPr>
              <w:t>10</w:t>
            </w:r>
            <w:bookmarkStart w:id="0" w:name="_GoBack"/>
            <w:bookmarkEnd w:id="0"/>
          </w:p>
        </w:tc>
      </w:tr>
      <w:tr>
        <w:tblPrEx>
          <w:tblLayout w:type="fixed"/>
          <w:tblCellMar>
            <w:top w:w="0" w:type="dxa"/>
            <w:left w:w="108" w:type="dxa"/>
            <w:bottom w:w="0" w:type="dxa"/>
            <w:right w:w="108" w:type="dxa"/>
          </w:tblCellMar>
        </w:tblPrEx>
        <w:trPr>
          <w:trHeight w:val="495" w:hRule="atLeast"/>
          <w:jc w:val="center"/>
        </w:trPr>
        <w:tc>
          <w:tcPr>
            <w:tcW w:w="501"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206" w:line="320" w:lineRule="exact"/>
              <w:jc w:val="center"/>
              <w:rPr>
                <w:rFonts w:ascii="仿宋_GB2312" w:hAnsi="宋体" w:cs="宋体"/>
                <w:kern w:val="0"/>
              </w:rPr>
            </w:pPr>
            <w:r>
              <w:rPr>
                <w:rFonts w:ascii="仿宋_GB2312" w:hAnsi="宋体" w:cs="宋体"/>
                <w:kern w:val="0"/>
              </w:rPr>
              <w:t>效  果</w:t>
            </w:r>
          </w:p>
        </w:tc>
        <w:tc>
          <w:tcPr>
            <w:tcW w:w="382" w:type="dxa"/>
            <w:vMerge w:val="restart"/>
            <w:tcBorders>
              <w:top w:val="nil"/>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履职 效益</w:t>
            </w:r>
          </w:p>
        </w:tc>
        <w:tc>
          <w:tcPr>
            <w:tcW w:w="569" w:type="dxa"/>
            <w:vMerge w:val="restart"/>
            <w:tcBorders>
              <w:top w:val="nil"/>
              <w:left w:val="nil"/>
              <w:bottom w:val="single" w:color="auto" w:sz="4" w:space="0"/>
              <w:right w:val="single" w:color="auto" w:sz="4" w:space="0"/>
            </w:tcBorders>
            <w:vAlign w:val="center"/>
          </w:tcPr>
          <w:p>
            <w:pPr>
              <w:widowControl/>
              <w:spacing w:before="100" w:beforeAutospacing="1" w:after="206" w:line="300" w:lineRule="exact"/>
              <w:jc w:val="center"/>
              <w:rPr>
                <w:rFonts w:ascii="仿宋_GB2312" w:hAnsi="宋体" w:cs="宋体"/>
                <w:kern w:val="0"/>
              </w:rPr>
            </w:pPr>
            <w:r>
              <w:rPr>
                <w:rFonts w:ascii="仿宋_GB2312" w:hAnsi="宋体" w:cs="宋体"/>
                <w:kern w:val="0"/>
              </w:rPr>
              <w:t>24</w:t>
            </w:r>
          </w:p>
        </w:tc>
        <w:tc>
          <w:tcPr>
            <w:tcW w:w="42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rPr>
            </w:pPr>
            <w:r>
              <w:rPr>
                <w:rFonts w:ascii="仿宋_GB2312" w:hAnsi="宋体" w:cs="宋体"/>
                <w:kern w:val="0"/>
              </w:rPr>
              <w:t>经济</w:t>
            </w:r>
          </w:p>
          <w:p>
            <w:pPr>
              <w:widowControl/>
              <w:spacing w:line="300" w:lineRule="exact"/>
              <w:jc w:val="center"/>
              <w:rPr>
                <w:rFonts w:ascii="仿宋_GB2312" w:hAnsi="宋体" w:cs="宋体"/>
                <w:kern w:val="0"/>
              </w:rPr>
            </w:pPr>
            <w:r>
              <w:rPr>
                <w:rFonts w:ascii="仿宋_GB2312" w:hAnsi="宋体" w:cs="宋体"/>
                <w:kern w:val="0"/>
              </w:rPr>
              <w:t>效益</w:t>
            </w:r>
          </w:p>
        </w:tc>
        <w:tc>
          <w:tcPr>
            <w:tcW w:w="5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rPr>
            </w:pPr>
            <w:r>
              <w:rPr>
                <w:rFonts w:ascii="仿宋_GB2312" w:hAnsi="宋体" w:cs="宋体"/>
                <w:kern w:val="0"/>
              </w:rPr>
              <w:t>9</w:t>
            </w:r>
          </w:p>
        </w:tc>
        <w:tc>
          <w:tcPr>
            <w:tcW w:w="199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cs="宋体"/>
                <w:kern w:val="0"/>
              </w:rPr>
            </w:pPr>
            <w:r>
              <w:rPr>
                <w:rFonts w:ascii="仿宋_GB2312" w:hAnsi="宋体" w:cs="宋体"/>
                <w:kern w:val="0"/>
              </w:rPr>
              <w:t>公共财政预算支出变动率</w:t>
            </w:r>
          </w:p>
        </w:tc>
        <w:tc>
          <w:tcPr>
            <w:tcW w:w="189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_GB2312" w:hAnsi="宋体" w:eastAsia="宋体" w:cs="宋体"/>
                <w:kern w:val="0"/>
                <w:lang w:eastAsia="zh-CN"/>
              </w:rPr>
            </w:pPr>
            <w:r>
              <w:rPr>
                <w:rFonts w:hint="eastAsia" w:ascii="仿宋_GB2312" w:hAnsi="宋体" w:cs="宋体"/>
                <w:kern w:val="0"/>
                <w:lang w:val="en-US" w:eastAsia="zh-CN"/>
              </w:rPr>
              <w:t>（257.36-216.14）/216.14*100%=19.07%</w:t>
            </w:r>
          </w:p>
        </w:tc>
        <w:tc>
          <w:tcPr>
            <w:tcW w:w="12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cs="宋体"/>
                <w:kern w:val="0"/>
                <w:lang w:val="en-US" w:eastAsia="zh-CN"/>
              </w:rPr>
            </w:pPr>
            <w:r>
              <w:rPr>
                <w:rFonts w:hint="eastAsia" w:ascii="仿宋_GB2312" w:hAnsi="宋体" w:cs="宋体"/>
                <w:kern w:val="0"/>
                <w:lang w:val="en-US" w:eastAsia="zh-CN"/>
              </w:rPr>
              <w:t>9</w:t>
            </w:r>
          </w:p>
        </w:tc>
      </w:tr>
      <w:tr>
        <w:tblPrEx>
          <w:tblLayout w:type="fixed"/>
          <w:tblCellMar>
            <w:top w:w="0" w:type="dxa"/>
            <w:left w:w="108" w:type="dxa"/>
            <w:bottom w:w="0" w:type="dxa"/>
            <w:right w:w="108" w:type="dxa"/>
          </w:tblCellMar>
        </w:tblPrEx>
        <w:trPr>
          <w:trHeight w:val="495"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rPr>
            </w:pPr>
            <w:r>
              <w:rPr>
                <w:rFonts w:ascii="仿宋_GB2312" w:hAnsi="宋体" w:cs="宋体"/>
                <w:kern w:val="0"/>
              </w:rPr>
              <w:t>社会</w:t>
            </w:r>
          </w:p>
          <w:p>
            <w:pPr>
              <w:widowControl/>
              <w:spacing w:line="300" w:lineRule="exact"/>
              <w:jc w:val="center"/>
              <w:rPr>
                <w:rFonts w:ascii="仿宋_GB2312" w:hAnsi="宋体" w:cs="宋体"/>
                <w:kern w:val="0"/>
              </w:rPr>
            </w:pPr>
            <w:r>
              <w:rPr>
                <w:rFonts w:ascii="仿宋_GB2312" w:hAnsi="宋体" w:cs="宋体"/>
                <w:kern w:val="0"/>
              </w:rPr>
              <w:t>效益</w:t>
            </w:r>
          </w:p>
        </w:tc>
        <w:tc>
          <w:tcPr>
            <w:tcW w:w="536"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cs="宋体"/>
                <w:kern w:val="0"/>
              </w:rPr>
            </w:pPr>
            <w:r>
              <w:rPr>
                <w:rFonts w:ascii="仿宋_GB2312" w:hAnsi="宋体" w:cs="宋体"/>
                <w:kern w:val="0"/>
              </w:rPr>
              <w:t>9</w:t>
            </w:r>
          </w:p>
        </w:tc>
        <w:tc>
          <w:tcPr>
            <w:tcW w:w="199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cs="宋体"/>
                <w:kern w:val="0"/>
              </w:rPr>
            </w:pPr>
            <w:r>
              <w:rPr>
                <w:rFonts w:ascii="仿宋_GB2312" w:hAnsi="宋体" w:cs="宋体"/>
                <w:kern w:val="0"/>
              </w:rPr>
              <w:t xml:space="preserve"> 部门（单位）履行职责对社会发展所带来的直接或间接影响</w:t>
            </w:r>
          </w:p>
        </w:tc>
        <w:tc>
          <w:tcPr>
            <w:tcW w:w="1897"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cs="宋体"/>
                <w:kern w:val="0"/>
              </w:rPr>
            </w:pPr>
            <w:r>
              <w:rPr>
                <w:rFonts w:ascii="仿宋_GB2312" w:hAnsi="宋体" w:cs="宋体"/>
                <w:kern w:val="0"/>
              </w:rPr>
              <w:t>预算绩效目标完成</w:t>
            </w:r>
            <w:r>
              <w:rPr>
                <w:rFonts w:hint="eastAsia" w:ascii="仿宋_GB2312" w:hAnsi="宋体" w:cs="宋体"/>
                <w:kern w:val="0"/>
                <w:lang w:eastAsia="zh-CN"/>
              </w:rPr>
              <w:t>良好</w:t>
            </w:r>
          </w:p>
        </w:tc>
        <w:tc>
          <w:tcPr>
            <w:tcW w:w="12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宋体" w:cs="宋体"/>
                <w:kern w:val="0"/>
                <w:lang w:val="en-US" w:eastAsia="zh-CN"/>
              </w:rPr>
            </w:pPr>
            <w:r>
              <w:rPr>
                <w:rFonts w:hint="eastAsia" w:ascii="仿宋_GB2312" w:hAnsi="宋体" w:cs="宋体"/>
                <w:kern w:val="0"/>
                <w:lang w:val="en-US" w:eastAsia="zh-CN"/>
              </w:rPr>
              <w:t>9</w:t>
            </w:r>
          </w:p>
        </w:tc>
      </w:tr>
      <w:tr>
        <w:tblPrEx>
          <w:tblLayout w:type="fixed"/>
          <w:tblCellMar>
            <w:top w:w="0" w:type="dxa"/>
            <w:left w:w="108" w:type="dxa"/>
            <w:bottom w:w="0" w:type="dxa"/>
            <w:right w:w="108" w:type="dxa"/>
          </w:tblCellMar>
        </w:tblPrEx>
        <w:trPr>
          <w:trHeight w:val="670" w:hRule="atLeast"/>
          <w:jc w:val="center"/>
        </w:trPr>
        <w:tc>
          <w:tcPr>
            <w:tcW w:w="5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kern w:val="0"/>
              </w:rPr>
            </w:pPr>
          </w:p>
        </w:tc>
        <w:tc>
          <w:tcPr>
            <w:tcW w:w="382"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569" w:type="dxa"/>
            <w:vMerge w:val="continue"/>
            <w:tcBorders>
              <w:top w:val="nil"/>
              <w:left w:val="nil"/>
              <w:bottom w:val="single" w:color="auto" w:sz="4" w:space="0"/>
              <w:right w:val="single" w:color="auto" w:sz="4" w:space="0"/>
            </w:tcBorders>
            <w:vAlign w:val="center"/>
          </w:tcPr>
          <w:p>
            <w:pPr>
              <w:widowControl/>
              <w:jc w:val="left"/>
              <w:rPr>
                <w:rFonts w:ascii="仿宋_GB2312" w:hAnsi="宋体" w:cs="宋体"/>
                <w:kern w:val="0"/>
              </w:rPr>
            </w:pPr>
          </w:p>
        </w:tc>
        <w:tc>
          <w:tcPr>
            <w:tcW w:w="42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rPr>
            </w:pPr>
            <w:r>
              <w:rPr>
                <w:rFonts w:ascii="仿宋_GB2312" w:hAnsi="宋体" w:cs="宋体"/>
                <w:kern w:val="0"/>
              </w:rPr>
              <w:t>社会公众或服务对象满意度</w:t>
            </w:r>
          </w:p>
        </w:tc>
        <w:tc>
          <w:tcPr>
            <w:tcW w:w="5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rPr>
            </w:pPr>
            <w:r>
              <w:rPr>
                <w:rFonts w:ascii="仿宋_GB2312" w:hAnsi="宋体" w:cs="宋体"/>
                <w:kern w:val="0"/>
              </w:rPr>
              <w:t>6</w:t>
            </w:r>
          </w:p>
        </w:tc>
        <w:tc>
          <w:tcPr>
            <w:tcW w:w="1994"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cs="宋体"/>
                <w:kern w:val="0"/>
              </w:rPr>
            </w:pPr>
            <w:r>
              <w:rPr>
                <w:rFonts w:ascii="仿宋_GB2312" w:hAnsi="宋体" w:cs="宋体"/>
                <w:kern w:val="0"/>
              </w:rPr>
              <w:t>90%（含）以上计5分；80%（含）-90%，计3分；70%（含）-80%，计1分；低于70%计0分。</w:t>
            </w:r>
          </w:p>
        </w:tc>
        <w:tc>
          <w:tcPr>
            <w:tcW w:w="189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_GB2312" w:hAnsi="宋体" w:eastAsia="宋体" w:cs="宋体"/>
                <w:kern w:val="0"/>
                <w:lang w:val="en-US" w:eastAsia="zh-CN"/>
              </w:rPr>
            </w:pPr>
            <w:r>
              <w:rPr>
                <w:rFonts w:hint="eastAsia" w:ascii="仿宋_GB2312" w:hAnsi="宋体" w:eastAsia="宋体" w:cs="宋体"/>
                <w:kern w:val="0"/>
                <w:lang w:val="en-US" w:eastAsia="zh-CN"/>
              </w:rPr>
              <w:t>96.66</w:t>
            </w:r>
          </w:p>
        </w:tc>
        <w:tc>
          <w:tcPr>
            <w:tcW w:w="12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cs="宋体"/>
                <w:kern w:val="0"/>
                <w:lang w:val="en-US" w:eastAsia="zh-CN"/>
              </w:rPr>
            </w:pPr>
            <w:r>
              <w:rPr>
                <w:rFonts w:hint="eastAsia" w:ascii="仿宋_GB2312" w:hAnsi="宋体" w:cs="宋体"/>
                <w:kern w:val="0"/>
                <w:lang w:val="en-US" w:eastAsia="zh-CN"/>
              </w:rPr>
              <w:t>5</w:t>
            </w:r>
          </w:p>
        </w:tc>
      </w:tr>
    </w:tbl>
    <w:p>
      <w:pPr>
        <w:widowControl/>
        <w:shd w:val="clear" w:color="auto" w:fill="FFFFFF"/>
        <w:spacing w:before="100" w:beforeAutospacing="1" w:after="206" w:line="600" w:lineRule="exact"/>
        <w:jc w:val="left"/>
        <w:rPr>
          <w:rFonts w:hint="eastAsia" w:ascii="宋体" w:hAnsi="宋体"/>
          <w:kern w:val="0"/>
          <w:sz w:val="32"/>
          <w:szCs w:val="32"/>
          <w:lang w:val="en-US" w:eastAsia="zh-CN"/>
        </w:rPr>
      </w:pPr>
      <w:r>
        <w:rPr>
          <w:rFonts w:hint="eastAsia" w:ascii="宋体" w:hAnsi="宋体"/>
          <w:kern w:val="0"/>
          <w:sz w:val="32"/>
          <w:szCs w:val="32"/>
          <w:lang w:val="en-US" w:eastAsia="zh-CN"/>
        </w:rPr>
        <w:t xml:space="preserve">                 </w:t>
      </w:r>
    </w:p>
    <w:p>
      <w:pPr>
        <w:widowControl/>
        <w:shd w:val="clear" w:color="auto" w:fill="FFFFFF"/>
        <w:spacing w:before="100" w:beforeAutospacing="1" w:after="206" w:line="600" w:lineRule="exact"/>
        <w:jc w:val="left"/>
        <w:rPr>
          <w:rFonts w:hint="eastAsia" w:ascii="宋体" w:hAnsi="宋体"/>
          <w:kern w:val="0"/>
          <w:sz w:val="32"/>
          <w:szCs w:val="32"/>
          <w:lang w:val="en-US" w:eastAsia="zh-CN"/>
        </w:rPr>
      </w:pPr>
      <w:r>
        <w:rPr>
          <w:rFonts w:hint="eastAsia" w:ascii="宋体" w:hAnsi="宋体"/>
          <w:kern w:val="0"/>
          <w:sz w:val="32"/>
          <w:szCs w:val="32"/>
          <w:lang w:val="en-US" w:eastAsia="zh-CN"/>
        </w:rPr>
        <w:t xml:space="preserve">                                 2019年3月27日</w:t>
      </w:r>
    </w:p>
    <w:p>
      <w:pPr>
        <w:widowControl/>
        <w:shd w:val="clear" w:color="auto" w:fill="FFFFFF"/>
        <w:spacing w:before="100" w:beforeAutospacing="1" w:after="206" w:line="600" w:lineRule="exact"/>
        <w:jc w:val="left"/>
        <w:rPr>
          <w:rFonts w:hint="eastAsia" w:ascii="宋体" w:hAnsi="宋体"/>
          <w:kern w:val="0"/>
          <w:lang w:val="en-US" w:eastAsia="zh-CN"/>
        </w:rPr>
        <w:sectPr>
          <w:pgSz w:w="12240" w:h="15840"/>
          <w:pgMar w:top="1440" w:right="1800" w:bottom="1440" w:left="1800"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577F"/>
    <w:rsid w:val="00EB6BB2"/>
    <w:rsid w:val="02ED5354"/>
    <w:rsid w:val="036B071E"/>
    <w:rsid w:val="03940EB9"/>
    <w:rsid w:val="04BD68B7"/>
    <w:rsid w:val="056D569B"/>
    <w:rsid w:val="07301B09"/>
    <w:rsid w:val="0769311F"/>
    <w:rsid w:val="07C57D51"/>
    <w:rsid w:val="084D0269"/>
    <w:rsid w:val="09031D32"/>
    <w:rsid w:val="0BE47779"/>
    <w:rsid w:val="0C7D5798"/>
    <w:rsid w:val="0FA76088"/>
    <w:rsid w:val="108D4364"/>
    <w:rsid w:val="10D02808"/>
    <w:rsid w:val="114F0A55"/>
    <w:rsid w:val="11836EAD"/>
    <w:rsid w:val="139E7605"/>
    <w:rsid w:val="13B179DC"/>
    <w:rsid w:val="15686732"/>
    <w:rsid w:val="17D32683"/>
    <w:rsid w:val="18391E42"/>
    <w:rsid w:val="18502B80"/>
    <w:rsid w:val="18881818"/>
    <w:rsid w:val="1A1D5DEF"/>
    <w:rsid w:val="1A7672DE"/>
    <w:rsid w:val="1DCE65F3"/>
    <w:rsid w:val="201F5649"/>
    <w:rsid w:val="207D7084"/>
    <w:rsid w:val="20A92808"/>
    <w:rsid w:val="2105188A"/>
    <w:rsid w:val="250A1754"/>
    <w:rsid w:val="25107124"/>
    <w:rsid w:val="26044877"/>
    <w:rsid w:val="280B06A1"/>
    <w:rsid w:val="2A0D2586"/>
    <w:rsid w:val="2A4D4E32"/>
    <w:rsid w:val="2E1C4F6B"/>
    <w:rsid w:val="2E1F7BD4"/>
    <w:rsid w:val="2E430E86"/>
    <w:rsid w:val="2EDB19C9"/>
    <w:rsid w:val="31BE520E"/>
    <w:rsid w:val="345E7BC8"/>
    <w:rsid w:val="36815789"/>
    <w:rsid w:val="370618C1"/>
    <w:rsid w:val="377351D7"/>
    <w:rsid w:val="37FA130A"/>
    <w:rsid w:val="3C001B2C"/>
    <w:rsid w:val="3D4A6035"/>
    <w:rsid w:val="3FE945E2"/>
    <w:rsid w:val="4255450A"/>
    <w:rsid w:val="43F24312"/>
    <w:rsid w:val="442E2E84"/>
    <w:rsid w:val="457A6EE3"/>
    <w:rsid w:val="470011C8"/>
    <w:rsid w:val="471F03B1"/>
    <w:rsid w:val="484600C7"/>
    <w:rsid w:val="4AD80098"/>
    <w:rsid w:val="4DD11030"/>
    <w:rsid w:val="4DE46BED"/>
    <w:rsid w:val="50A201EF"/>
    <w:rsid w:val="541E1982"/>
    <w:rsid w:val="563C7897"/>
    <w:rsid w:val="57C45804"/>
    <w:rsid w:val="59AF3B5A"/>
    <w:rsid w:val="59E1241B"/>
    <w:rsid w:val="59E25180"/>
    <w:rsid w:val="5CFB69AE"/>
    <w:rsid w:val="5D692211"/>
    <w:rsid w:val="5E794BC0"/>
    <w:rsid w:val="5F310BE1"/>
    <w:rsid w:val="603F1FD4"/>
    <w:rsid w:val="614344CF"/>
    <w:rsid w:val="61C346CD"/>
    <w:rsid w:val="62463A38"/>
    <w:rsid w:val="638F41CC"/>
    <w:rsid w:val="654E7054"/>
    <w:rsid w:val="65B00E90"/>
    <w:rsid w:val="66FB7A5B"/>
    <w:rsid w:val="69A0338F"/>
    <w:rsid w:val="6DB16FD1"/>
    <w:rsid w:val="6EFD65C7"/>
    <w:rsid w:val="72242843"/>
    <w:rsid w:val="7376733F"/>
    <w:rsid w:val="759C31B9"/>
    <w:rsid w:val="76DD6959"/>
    <w:rsid w:val="775A7773"/>
    <w:rsid w:val="78442EF7"/>
    <w:rsid w:val="7C9368BF"/>
    <w:rsid w:val="7D1E3C68"/>
    <w:rsid w:val="7D4636A8"/>
    <w:rsid w:val="7F855D17"/>
    <w:rsid w:val="7FB4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admin1</dc:creator>
  <cp:lastModifiedBy>☆Tracy☆</cp:lastModifiedBy>
  <cp:lastPrinted>2019-03-22T04:41:00Z</cp:lastPrinted>
  <dcterms:modified xsi:type="dcterms:W3CDTF">2019-03-27T03:26:37Z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