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2019年度</w:t>
      </w:r>
    </w:p>
    <w:p>
      <w:pPr>
        <w:pStyle w:val="9"/>
        <w:jc w:val="center"/>
        <w:rPr>
          <w:sz w:val="84"/>
          <w:szCs w:val="84"/>
        </w:rPr>
      </w:pPr>
      <w:r>
        <w:rPr>
          <w:rFonts w:hint="eastAsia"/>
          <w:sz w:val="84"/>
          <w:szCs w:val="84"/>
          <w:lang w:eastAsia="zh-CN"/>
        </w:rPr>
        <w:t>龙山县人民政府烟叶办公室</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both"/>
        <w:rPr>
          <w:sz w:val="56"/>
          <w:szCs w:val="56"/>
        </w:rPr>
      </w:pPr>
    </w:p>
    <w:p>
      <w:pPr>
        <w:pStyle w:val="9"/>
        <w:jc w:val="both"/>
        <w:rPr>
          <w:sz w:val="56"/>
          <w:szCs w:val="56"/>
        </w:rPr>
      </w:pPr>
    </w:p>
    <w:p>
      <w:pPr>
        <w:pStyle w:val="9"/>
        <w:spacing w:line="540" w:lineRule="exact"/>
        <w:jc w:val="center"/>
        <w:rPr>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第一部分单位概况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bCs/>
          <w:kern w:val="0"/>
          <w:sz w:val="32"/>
          <w:szCs w:val="32"/>
          <w:lang w:eastAsia="zh-CN"/>
        </w:rPr>
      </w:pPr>
      <w:r>
        <w:rPr>
          <w:rFonts w:hint="eastAsia" w:asciiTheme="minorEastAsia" w:hAnsiTheme="minorEastAsia"/>
          <w:sz w:val="32"/>
          <w:szCs w:val="32"/>
        </w:rPr>
        <w:t>（一）</w:t>
      </w:r>
      <w:r>
        <w:rPr>
          <w:rFonts w:hint="eastAsia" w:asciiTheme="minorEastAsia" w:hAnsiTheme="minorEastAsia"/>
          <w:bCs/>
          <w:kern w:val="0"/>
          <w:sz w:val="32"/>
          <w:szCs w:val="32"/>
          <w:lang w:eastAsia="zh-CN"/>
        </w:rPr>
        <w:t>搞好全县烟叶生产工作；</w:t>
      </w:r>
    </w:p>
    <w:p>
      <w:pPr>
        <w:widowControl/>
        <w:spacing w:line="600" w:lineRule="exact"/>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（二）为烟叶产业建设提供决策依据；</w:t>
      </w:r>
    </w:p>
    <w:p>
      <w:pPr>
        <w:widowControl/>
        <w:spacing w:line="600" w:lineRule="exact"/>
        <w:rPr>
          <w:rFonts w:ascii="仿宋_GB2312" w:eastAsia="仿宋_GB2312" w:hAnsiTheme="minorEastAsia"/>
          <w:sz w:val="28"/>
          <w:szCs w:val="32"/>
        </w:rPr>
      </w:pPr>
      <w:r>
        <w:rPr>
          <w:rFonts w:hint="eastAsia" w:asciiTheme="minorEastAsia" w:hAnsiTheme="minorEastAsia"/>
          <w:bCs/>
          <w:kern w:val="0"/>
          <w:sz w:val="32"/>
          <w:szCs w:val="32"/>
          <w:lang w:eastAsia="zh-CN"/>
        </w:rPr>
        <w:t>（三）负责烟区各种基础设施建设工作。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龙山县人民政府烟叶办公室</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综合办公室、财务室、工会活动室三个股室。</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龙山县人民政府烟叶办公室</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龙山县人民政府烟叶办公室</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，无下属单位。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left="12600" w:right="198" w:hanging="12600" w:hangingChars="60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tabs>
          <w:tab w:val="left" w:pos="327"/>
          <w:tab w:val="right" w:pos="13783"/>
        </w:tabs>
        <w:spacing w:line="320" w:lineRule="exact"/>
        <w:ind w:right="198"/>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部门：龙山县人民政府烟叶办公室</w:t>
      </w:r>
      <w:r>
        <w:rPr>
          <w:rFonts w:hint="eastAsia" w:ascii="Times New Roman" w:hAnsi="Times New Roman" w:eastAsia="仿宋_GB2312" w:cs="Times New Roman"/>
          <w:color w:val="000000"/>
          <w:kern w:val="0"/>
          <w:szCs w:val="21"/>
          <w:lang w:eastAsia="zh-CN"/>
        </w:rPr>
        <w:tab/>
      </w:r>
      <w:r>
        <w:rPr>
          <w:rFonts w:hint="eastAsia" w:ascii="Times New Roman" w:hAnsi="Times New Roman" w:eastAsia="仿宋_GB2312" w:cs="Times New Roman"/>
          <w:color w:val="000000"/>
          <w:kern w:val="0"/>
          <w:szCs w:val="21"/>
        </w:rPr>
        <w:t>单位：万元</w:t>
      </w:r>
    </w:p>
    <w:tbl>
      <w:tblPr>
        <w:tblStyle w:val="5"/>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877.77</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102.76</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528.94</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、文化旅游体育与传媒支出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八、社会保障和就业支出</w:t>
            </w: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4.28</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十二、农林水支出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1205.32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十九、住房保障支出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1406.71</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1314.95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14.81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24.24</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1011.91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1430.95</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1430.95</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hint="eastAsia" w:ascii="黑体" w:hAnsi="黑体" w:eastAsia="黑体"/>
          <w:sz w:val="28"/>
          <w:szCs w:val="28"/>
          <w:lang w:val="en-US" w:eastAsia="zh-CN"/>
        </w:rPr>
        <w:sectPr>
          <w:pgSz w:w="16838" w:h="11906" w:orient="landscape"/>
          <w:pgMar w:top="1797" w:right="1440" w:bottom="1797" w:left="1440" w:header="851" w:footer="992" w:gutter="0"/>
          <w:cols w:space="425" w:num="1"/>
          <w:docGrid w:type="linesAndChars" w:linePitch="312" w:charSpace="0"/>
        </w:sectPr>
      </w:pPr>
    </w:p>
    <w:p>
      <w:pPr>
        <w:widowControl/>
        <w:ind w:firstLine="6840" w:firstLineChars="1900"/>
        <w:jc w:val="both"/>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840" w:firstLineChars="4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公开02表</w:t>
      </w:r>
    </w:p>
    <w:p>
      <w:pPr>
        <w:widowControl/>
        <w:tabs>
          <w:tab w:val="left" w:pos="1002"/>
          <w:tab w:val="right" w:pos="14888"/>
        </w:tabs>
        <w:ind w:right="63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ab/>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龙山县人民政府烟叶办公室</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3813" w:type="dxa"/>
        <w:jc w:val="center"/>
        <w:tblLayout w:type="fixed"/>
        <w:tblCellMar>
          <w:top w:w="0" w:type="dxa"/>
          <w:left w:w="108" w:type="dxa"/>
          <w:bottom w:w="0" w:type="dxa"/>
          <w:right w:w="108" w:type="dxa"/>
        </w:tblCellMar>
      </w:tblPr>
      <w:tblGrid>
        <w:gridCol w:w="1140"/>
        <w:gridCol w:w="2850"/>
        <w:gridCol w:w="1620"/>
        <w:gridCol w:w="1605"/>
        <w:gridCol w:w="1530"/>
        <w:gridCol w:w="1215"/>
        <w:gridCol w:w="1215"/>
        <w:gridCol w:w="1080"/>
        <w:gridCol w:w="1558"/>
      </w:tblGrid>
      <w:tr>
        <w:tblPrEx>
          <w:tblCellMar>
            <w:top w:w="0" w:type="dxa"/>
            <w:left w:w="108" w:type="dxa"/>
            <w:bottom w:w="0" w:type="dxa"/>
            <w:right w:w="108" w:type="dxa"/>
          </w:tblCellMar>
        </w:tblPrEx>
        <w:trPr>
          <w:trHeight w:val="450" w:hRule="atLeast"/>
          <w:jc w:val="center"/>
        </w:trPr>
        <w:tc>
          <w:tcPr>
            <w:tcW w:w="3990"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2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60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53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21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21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08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1558"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40"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3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8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5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40"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3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8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58"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3990"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558"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3990"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1406.71</w:t>
            </w:r>
            <w:r>
              <w:rPr>
                <w:rFonts w:ascii="Times New Roman" w:hAnsi="Times New Roman" w:eastAsia="仿宋_GB2312" w:cs="Times New Roman"/>
                <w:kern w:val="0"/>
                <w:szCs w:val="21"/>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877.77</w:t>
            </w:r>
            <w:r>
              <w:rPr>
                <w:rFonts w:ascii="Times New Roman" w:hAnsi="Times New Roman" w:eastAsia="仿宋_GB2312" w:cs="Times New Roman"/>
                <w:kern w:val="0"/>
                <w:szCs w:val="21"/>
              </w:rPr>
              <w:t>　</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528.94</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一般公共服务支出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102.76</w:t>
            </w:r>
            <w:r>
              <w:rPr>
                <w:rFonts w:ascii="Times New Roman" w:hAnsi="Times New Roman" w:eastAsia="仿宋_GB2312" w:cs="Times New Roman"/>
                <w:kern w:val="0"/>
                <w:szCs w:val="21"/>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102.76</w:t>
            </w:r>
            <w:r>
              <w:rPr>
                <w:rFonts w:ascii="Times New Roman" w:hAnsi="Times New Roman" w:eastAsia="仿宋_GB2312" w:cs="Times New Roman"/>
                <w:kern w:val="0"/>
                <w:szCs w:val="21"/>
              </w:rPr>
              <w:t>　</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行政运行</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22.76</w:t>
            </w:r>
            <w:r>
              <w:rPr>
                <w:rFonts w:ascii="Times New Roman" w:hAnsi="Times New Roman" w:eastAsia="仿宋_GB2312" w:cs="Times New Roman"/>
                <w:kern w:val="0"/>
                <w:szCs w:val="21"/>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22.76</w:t>
            </w:r>
            <w:r>
              <w:rPr>
                <w:rFonts w:ascii="Times New Roman" w:hAnsi="Times New Roman" w:eastAsia="仿宋_GB2312" w:cs="Times New Roman"/>
                <w:kern w:val="0"/>
                <w:szCs w:val="21"/>
              </w:rPr>
              <w:t>　</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其他一般公共服务支出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80.00</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2019999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其他一般公共服务支出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80.00</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社会保障和就业支出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机关事业单位基本养老保险缴费支出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农林水支出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1297.07</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768.14</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528.94</w:t>
            </w: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2130104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事业运行</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其他农业支出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1293.07</w:t>
            </w:r>
            <w:r>
              <w:rPr>
                <w:rFonts w:ascii="Times New Roman" w:hAnsi="Times New Roman" w:eastAsia="仿宋_GB2312" w:cs="Times New Roman"/>
                <w:kern w:val="0"/>
                <w:szCs w:val="21"/>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764.14</w:t>
            </w:r>
            <w:r>
              <w:rPr>
                <w:rFonts w:ascii="Times New Roman" w:hAnsi="Times New Roman" w:eastAsia="仿宋_GB2312" w:cs="Times New Roman"/>
                <w:kern w:val="0"/>
                <w:szCs w:val="21"/>
              </w:rPr>
              <w:t>　</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528.94</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住房保障支出</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2.59</w:t>
            </w:r>
            <w:r>
              <w:rPr>
                <w:rFonts w:ascii="Times New Roman" w:hAnsi="Times New Roman" w:eastAsia="仿宋_GB2312" w:cs="Times New Roman"/>
                <w:kern w:val="0"/>
                <w:szCs w:val="21"/>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2.59</w:t>
            </w:r>
            <w:r>
              <w:rPr>
                <w:rFonts w:ascii="Times New Roman" w:hAnsi="Times New Roman" w:eastAsia="仿宋_GB2312" w:cs="Times New Roman"/>
                <w:kern w:val="0"/>
                <w:szCs w:val="21"/>
              </w:rPr>
              <w:t>　</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58"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40"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2210201</w:t>
            </w:r>
          </w:p>
        </w:tc>
        <w:tc>
          <w:tcPr>
            <w:tcW w:w="2850" w:type="dxa"/>
            <w:tcBorders>
              <w:top w:val="nil"/>
              <w:left w:val="nil"/>
              <w:bottom w:val="single" w:color="auto" w:sz="8"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住房公积金</w:t>
            </w:r>
          </w:p>
        </w:tc>
        <w:tc>
          <w:tcPr>
            <w:tcW w:w="1620"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2.59</w:t>
            </w:r>
            <w:r>
              <w:rPr>
                <w:rFonts w:ascii="Times New Roman" w:hAnsi="Times New Roman" w:eastAsia="仿宋_GB2312" w:cs="Times New Roman"/>
                <w:kern w:val="0"/>
                <w:szCs w:val="21"/>
              </w:rPr>
              <w:t>　</w:t>
            </w:r>
          </w:p>
        </w:tc>
        <w:tc>
          <w:tcPr>
            <w:tcW w:w="160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2.59</w:t>
            </w:r>
            <w:r>
              <w:rPr>
                <w:rFonts w:ascii="Times New Roman" w:hAnsi="Times New Roman" w:eastAsia="仿宋_GB2312" w:cs="Times New Roman"/>
                <w:kern w:val="0"/>
                <w:szCs w:val="21"/>
              </w:rPr>
              <w:t>　</w:t>
            </w:r>
          </w:p>
        </w:tc>
        <w:tc>
          <w:tcPr>
            <w:tcW w:w="1530"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080"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58"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公开03表</w:t>
      </w:r>
    </w:p>
    <w:p>
      <w:pPr>
        <w:widowControl/>
        <w:tabs>
          <w:tab w:val="left" w:pos="927"/>
          <w:tab w:val="right" w:pos="14818"/>
        </w:tabs>
        <w:spacing w:line="400" w:lineRule="exact"/>
        <w:ind w:right="700"/>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ab/>
      </w: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 w:val="20"/>
          <w:szCs w:val="20"/>
          <w:lang w:val="en-US" w:eastAsia="zh-CN"/>
        </w:rPr>
        <w:t>龙山县人民政府烟叶办公室</w:t>
      </w:r>
      <w:r>
        <w:rPr>
          <w:rFonts w:hint="eastAsia" w:ascii="Times New Roman" w:hAnsi="Times New Roman" w:eastAsia="仿宋_GB2312" w:cs="Times New Roman"/>
          <w:color w:val="000000"/>
          <w:kern w:val="0"/>
          <w:sz w:val="20"/>
          <w:szCs w:val="20"/>
          <w:lang w:eastAsia="zh-CN"/>
        </w:rPr>
        <w:tab/>
      </w:r>
      <w:r>
        <w:rPr>
          <w:rFonts w:ascii="Times New Roman" w:hAnsi="Times New Roman" w:eastAsia="仿宋_GB2312" w:cs="Times New Roman"/>
          <w:color w:val="000000"/>
          <w:kern w:val="0"/>
          <w:sz w:val="20"/>
          <w:szCs w:val="20"/>
        </w:rPr>
        <w:t>单位：万元</w:t>
      </w:r>
    </w:p>
    <w:tbl>
      <w:tblPr>
        <w:tblStyle w:val="5"/>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98"/>
        <w:gridCol w:w="2985"/>
        <w:gridCol w:w="1800"/>
        <w:gridCol w:w="1995"/>
        <w:gridCol w:w="1455"/>
        <w:gridCol w:w="1380"/>
        <w:gridCol w:w="1185"/>
        <w:gridCol w:w="18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38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80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9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45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38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1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1891"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80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9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45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8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1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91"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0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9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45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8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1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91"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383"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80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9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5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1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9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4383"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8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1314.95</w:t>
            </w:r>
            <w:r>
              <w:rPr>
                <w:rFonts w:ascii="Times New Roman" w:hAnsi="Times New Roman" w:eastAsia="仿宋_GB2312" w:cs="Times New Roman"/>
                <w:kern w:val="0"/>
                <w:szCs w:val="21"/>
              </w:rPr>
              <w:t>　</w:t>
            </w:r>
          </w:p>
        </w:tc>
        <w:tc>
          <w:tcPr>
            <w:tcW w:w="199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92.03</w:t>
            </w:r>
            <w:r>
              <w:rPr>
                <w:rFonts w:ascii="Times New Roman" w:hAnsi="Times New Roman" w:eastAsia="仿宋_GB2312" w:cs="Times New Roman"/>
                <w:kern w:val="0"/>
                <w:szCs w:val="21"/>
              </w:rPr>
              <w:t>　</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1222.92</w:t>
            </w:r>
            <w:r>
              <w:rPr>
                <w:rFonts w:ascii="Times New Roman" w:hAnsi="Times New Roman" w:eastAsia="仿宋_GB2312" w:cs="Times New Roman"/>
                <w:kern w:val="0"/>
                <w:szCs w:val="21"/>
              </w:rPr>
              <w:t>　</w:t>
            </w: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w:t>
            </w:r>
          </w:p>
        </w:tc>
        <w:tc>
          <w:tcPr>
            <w:tcW w:w="2985"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一般公共服务支出</w:t>
            </w:r>
          </w:p>
        </w:tc>
        <w:tc>
          <w:tcPr>
            <w:tcW w:w="18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102.76</w:t>
            </w:r>
            <w:r>
              <w:rPr>
                <w:rFonts w:ascii="Times New Roman" w:hAnsi="Times New Roman" w:eastAsia="仿宋_GB2312" w:cs="Times New Roman"/>
                <w:kern w:val="0"/>
                <w:szCs w:val="21"/>
              </w:rPr>
              <w:t>　</w:t>
            </w:r>
          </w:p>
        </w:tc>
        <w:tc>
          <w:tcPr>
            <w:tcW w:w="199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52.76</w:t>
            </w:r>
            <w:r>
              <w:rPr>
                <w:rFonts w:ascii="Times New Roman" w:hAnsi="Times New Roman" w:eastAsia="仿宋_GB2312" w:cs="Times New Roman"/>
                <w:kern w:val="0"/>
                <w:szCs w:val="21"/>
              </w:rPr>
              <w:t>　</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50.00</w:t>
            </w:r>
            <w:r>
              <w:rPr>
                <w:rFonts w:ascii="Times New Roman" w:hAnsi="Times New Roman" w:eastAsia="仿宋_GB2312" w:cs="Times New Roman"/>
                <w:kern w:val="0"/>
                <w:szCs w:val="21"/>
              </w:rPr>
              <w:t>　</w:t>
            </w: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2010301</w:t>
            </w:r>
          </w:p>
        </w:tc>
        <w:tc>
          <w:tcPr>
            <w:tcW w:w="2985"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行政运行</w:t>
            </w:r>
          </w:p>
        </w:tc>
        <w:tc>
          <w:tcPr>
            <w:tcW w:w="18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22.76</w:t>
            </w:r>
            <w:r>
              <w:rPr>
                <w:rFonts w:ascii="Times New Roman" w:hAnsi="Times New Roman" w:eastAsia="仿宋_GB2312" w:cs="Times New Roman"/>
                <w:kern w:val="0"/>
                <w:szCs w:val="21"/>
              </w:rPr>
              <w:t>　</w:t>
            </w:r>
          </w:p>
        </w:tc>
        <w:tc>
          <w:tcPr>
            <w:tcW w:w="199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22.76</w:t>
            </w:r>
            <w:r>
              <w:rPr>
                <w:rFonts w:ascii="Times New Roman" w:hAnsi="Times New Roman" w:eastAsia="仿宋_GB2312" w:cs="Times New Roman"/>
                <w:kern w:val="0"/>
                <w:szCs w:val="21"/>
              </w:rPr>
              <w:t>　</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20199</w:t>
            </w:r>
          </w:p>
        </w:tc>
        <w:tc>
          <w:tcPr>
            <w:tcW w:w="2985"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其他一般公共服务支出</w:t>
            </w:r>
          </w:p>
        </w:tc>
        <w:tc>
          <w:tcPr>
            <w:tcW w:w="18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80.00</w:t>
            </w:r>
            <w:r>
              <w:rPr>
                <w:rFonts w:ascii="Times New Roman" w:hAnsi="Times New Roman" w:eastAsia="仿宋_GB2312" w:cs="Times New Roman"/>
                <w:kern w:val="0"/>
                <w:szCs w:val="21"/>
              </w:rPr>
              <w:t>　</w:t>
            </w:r>
          </w:p>
        </w:tc>
        <w:tc>
          <w:tcPr>
            <w:tcW w:w="199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30.00</w:t>
            </w:r>
            <w:r>
              <w:rPr>
                <w:rFonts w:ascii="Times New Roman" w:hAnsi="Times New Roman" w:eastAsia="仿宋_GB2312" w:cs="Times New Roman"/>
                <w:kern w:val="0"/>
                <w:szCs w:val="21"/>
              </w:rPr>
              <w:t>　</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50.00</w:t>
            </w:r>
            <w:r>
              <w:rPr>
                <w:rFonts w:ascii="Times New Roman" w:hAnsi="Times New Roman" w:eastAsia="仿宋_GB2312" w:cs="Times New Roman"/>
                <w:kern w:val="0"/>
                <w:szCs w:val="21"/>
              </w:rPr>
              <w:t>　</w:t>
            </w: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2019999</w:t>
            </w:r>
          </w:p>
        </w:tc>
        <w:tc>
          <w:tcPr>
            <w:tcW w:w="2985"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其他一般公共服务支出</w:t>
            </w:r>
          </w:p>
        </w:tc>
        <w:tc>
          <w:tcPr>
            <w:tcW w:w="18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80.00</w:t>
            </w:r>
            <w:r>
              <w:rPr>
                <w:rFonts w:ascii="Times New Roman" w:hAnsi="Times New Roman" w:eastAsia="仿宋_GB2312" w:cs="Times New Roman"/>
                <w:kern w:val="0"/>
                <w:szCs w:val="21"/>
              </w:rPr>
              <w:t>　</w:t>
            </w:r>
          </w:p>
        </w:tc>
        <w:tc>
          <w:tcPr>
            <w:tcW w:w="199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30.00</w:t>
            </w:r>
            <w:r>
              <w:rPr>
                <w:rFonts w:ascii="Times New Roman" w:hAnsi="Times New Roman" w:eastAsia="仿宋_GB2312" w:cs="Times New Roman"/>
                <w:kern w:val="0"/>
                <w:szCs w:val="21"/>
              </w:rPr>
              <w:t>　</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50.00</w:t>
            </w:r>
            <w:r>
              <w:rPr>
                <w:rFonts w:ascii="Times New Roman" w:hAnsi="Times New Roman" w:eastAsia="仿宋_GB2312" w:cs="Times New Roman"/>
                <w:kern w:val="0"/>
                <w:szCs w:val="21"/>
              </w:rPr>
              <w:t>　</w:t>
            </w: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w:t>
            </w:r>
          </w:p>
        </w:tc>
        <w:tc>
          <w:tcPr>
            <w:tcW w:w="2985"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社会保障和就业支出</w:t>
            </w:r>
          </w:p>
        </w:tc>
        <w:tc>
          <w:tcPr>
            <w:tcW w:w="1800"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1995"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2080505</w:t>
            </w:r>
          </w:p>
        </w:tc>
        <w:tc>
          <w:tcPr>
            <w:tcW w:w="2985"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机关事业单位基本养老保险缴费支出</w:t>
            </w:r>
          </w:p>
        </w:tc>
        <w:tc>
          <w:tcPr>
            <w:tcW w:w="18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4.28</w:t>
            </w:r>
            <w:r>
              <w:rPr>
                <w:rFonts w:ascii="Times New Roman" w:hAnsi="Times New Roman" w:eastAsia="仿宋_GB2312" w:cs="Times New Roman"/>
                <w:kern w:val="0"/>
                <w:szCs w:val="21"/>
              </w:rPr>
              <w:t>　</w:t>
            </w:r>
          </w:p>
        </w:tc>
        <w:tc>
          <w:tcPr>
            <w:tcW w:w="199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4.28</w:t>
            </w:r>
            <w:r>
              <w:rPr>
                <w:rFonts w:ascii="Times New Roman" w:hAnsi="Times New Roman" w:eastAsia="仿宋_GB2312" w:cs="Times New Roman"/>
                <w:kern w:val="0"/>
                <w:szCs w:val="21"/>
              </w:rPr>
              <w:t>　</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w:t>
            </w:r>
          </w:p>
        </w:tc>
        <w:tc>
          <w:tcPr>
            <w:tcW w:w="2985"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农林水支出</w:t>
            </w:r>
          </w:p>
        </w:tc>
        <w:tc>
          <w:tcPr>
            <w:tcW w:w="1800"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1205.31</w:t>
            </w:r>
          </w:p>
        </w:tc>
        <w:tc>
          <w:tcPr>
            <w:tcW w:w="1995"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32.39</w:t>
            </w:r>
          </w:p>
        </w:tc>
        <w:tc>
          <w:tcPr>
            <w:tcW w:w="1455"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1172.92</w:t>
            </w: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2130104</w:t>
            </w:r>
          </w:p>
        </w:tc>
        <w:tc>
          <w:tcPr>
            <w:tcW w:w="2985"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事业运行</w:t>
            </w:r>
          </w:p>
        </w:tc>
        <w:tc>
          <w:tcPr>
            <w:tcW w:w="1800"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4.00</w:t>
            </w:r>
          </w:p>
        </w:tc>
        <w:tc>
          <w:tcPr>
            <w:tcW w:w="1995"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4.00</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2130199</w:t>
            </w:r>
          </w:p>
        </w:tc>
        <w:tc>
          <w:tcPr>
            <w:tcW w:w="2985"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其他农业支出</w:t>
            </w:r>
          </w:p>
        </w:tc>
        <w:tc>
          <w:tcPr>
            <w:tcW w:w="1800"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1201.32</w:t>
            </w:r>
          </w:p>
        </w:tc>
        <w:tc>
          <w:tcPr>
            <w:tcW w:w="1995"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28.39</w:t>
            </w:r>
          </w:p>
        </w:tc>
        <w:tc>
          <w:tcPr>
            <w:tcW w:w="1455"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1172.92</w:t>
            </w: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221</w:t>
            </w:r>
          </w:p>
        </w:tc>
        <w:tc>
          <w:tcPr>
            <w:tcW w:w="2985"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住房保障支出</w:t>
            </w:r>
          </w:p>
        </w:tc>
        <w:tc>
          <w:tcPr>
            <w:tcW w:w="1800"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c>
          <w:tcPr>
            <w:tcW w:w="1995"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98"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2210201</w:t>
            </w:r>
          </w:p>
        </w:tc>
        <w:tc>
          <w:tcPr>
            <w:tcW w:w="2985"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住房公积金</w:t>
            </w:r>
          </w:p>
        </w:tc>
        <w:tc>
          <w:tcPr>
            <w:tcW w:w="1800"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c>
          <w:tcPr>
            <w:tcW w:w="1995"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c>
          <w:tcPr>
            <w:tcW w:w="1455" w:type="dxa"/>
            <w:shd w:val="clear" w:color="auto" w:fill="auto"/>
            <w:noWrap/>
            <w:vAlign w:val="center"/>
          </w:tcPr>
          <w:p>
            <w:pPr>
              <w:widowControl/>
              <w:jc w:val="right"/>
              <w:rPr>
                <w:rFonts w:ascii="Times New Roman" w:hAnsi="Times New Roman" w:eastAsia="仿宋_GB2312" w:cs="Times New Roman"/>
                <w:kern w:val="0"/>
                <w:szCs w:val="21"/>
              </w:rPr>
            </w:pPr>
          </w:p>
        </w:tc>
        <w:tc>
          <w:tcPr>
            <w:tcW w:w="1380" w:type="dxa"/>
            <w:shd w:val="clear" w:color="auto" w:fill="auto"/>
            <w:noWrap/>
            <w:vAlign w:val="center"/>
          </w:tcPr>
          <w:p>
            <w:pPr>
              <w:widowControl/>
              <w:jc w:val="right"/>
              <w:rPr>
                <w:rFonts w:ascii="Times New Roman" w:hAnsi="Times New Roman" w:eastAsia="仿宋_GB2312" w:cs="Times New Roman"/>
                <w:kern w:val="0"/>
                <w:szCs w:val="21"/>
              </w:rPr>
            </w:pPr>
          </w:p>
        </w:tc>
        <w:tc>
          <w:tcPr>
            <w:tcW w:w="1185" w:type="dxa"/>
            <w:shd w:val="clear" w:color="auto" w:fill="auto"/>
            <w:noWrap/>
            <w:vAlign w:val="center"/>
          </w:tcPr>
          <w:p>
            <w:pPr>
              <w:widowControl/>
              <w:jc w:val="right"/>
              <w:rPr>
                <w:rFonts w:ascii="Times New Roman" w:hAnsi="Times New Roman" w:eastAsia="仿宋_GB2312" w:cs="Times New Roman"/>
                <w:kern w:val="0"/>
                <w:szCs w:val="21"/>
              </w:rPr>
            </w:pPr>
          </w:p>
        </w:tc>
        <w:tc>
          <w:tcPr>
            <w:tcW w:w="1891" w:type="dxa"/>
            <w:shd w:val="clear" w:color="auto" w:fill="auto"/>
            <w:noWrap/>
            <w:vAlign w:val="center"/>
          </w:tcPr>
          <w:p>
            <w:pPr>
              <w:widowControl/>
              <w:jc w:val="right"/>
              <w:rPr>
                <w:rFonts w:ascii="Times New Roman" w:hAnsi="Times New Roman" w:eastAsia="仿宋_GB2312" w:cs="Times New Roman"/>
                <w:kern w:val="0"/>
                <w:szCs w:val="21"/>
              </w:rPr>
            </w:pP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龙山县人民政府烟叶办公室</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5"/>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877.77</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102.76</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102.76</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八</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社会保障和就业支出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4.28</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4.28</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九、</w:t>
            </w:r>
            <w:r>
              <w:rPr>
                <w:rFonts w:ascii="Times New Roman" w:hAnsi="Times New Roman" w:eastAsia="仿宋_GB2312" w:cs="Times New Roman"/>
                <w:kern w:val="0"/>
                <w:szCs w:val="21"/>
              </w:rPr>
              <w:t>…</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768.14</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768.14</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十二</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农林水支出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十九、住房保障支出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2.59</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2.59</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二十二、</w:t>
            </w:r>
            <w:r>
              <w:rPr>
                <w:rFonts w:ascii="Times New Roman" w:hAnsi="Times New Roman" w:eastAsia="仿宋_GB2312" w:cs="Times New Roman"/>
                <w:kern w:val="0"/>
                <w:szCs w:val="21"/>
              </w:rPr>
              <w:t>…</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877.77</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877.77</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877.77</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877.77</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877.77</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877.77</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龙山县人民政府烟叶办公室</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877.77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63.64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814.14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102.76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52.76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2010301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22.76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22.76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2019999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768.14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764.14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2130104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事业运行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其他农业支出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764.14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764.14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公开06表</w:t>
      </w:r>
    </w:p>
    <w:p>
      <w:pPr>
        <w:widowControl/>
        <w:tabs>
          <w:tab w:val="left" w:pos="492"/>
          <w:tab w:val="right" w:pos="15518"/>
        </w:tabs>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龙山县人民政府烟叶办公室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ab/>
      </w:r>
      <w:r>
        <w:rPr>
          <w:rFonts w:ascii="Times New Roman" w:hAnsi="Times New Roman" w:eastAsia="仿宋_GB2312" w:cs="Times New Roman"/>
          <w:color w:val="000000"/>
          <w:kern w:val="0"/>
          <w:szCs w:val="21"/>
        </w:rPr>
        <w:t>单位：万元</w:t>
      </w:r>
    </w:p>
    <w:tbl>
      <w:tblPr>
        <w:tblStyle w:val="5"/>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29.64</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34.00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11.78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1.78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4.08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9.20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4.28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2.56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2.59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2.76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3.44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3.36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0.63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6.84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6.33</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29.64</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34.00</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tabs>
          <w:tab w:val="left" w:pos="552"/>
          <w:tab w:val="right" w:pos="15098"/>
        </w:tabs>
        <w:ind w:right="42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ab/>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龙山县人民政府烟叶办公室</w:t>
      </w:r>
      <w:r>
        <w:rPr>
          <w:rFonts w:hint="eastAsia" w:ascii="Times New Roman" w:hAnsi="Times New Roman" w:eastAsia="仿宋_GB2312" w:cs="Times New Roman"/>
          <w:color w:val="000000"/>
          <w:kern w:val="0"/>
          <w:szCs w:val="21"/>
          <w:lang w:eastAsia="zh-CN"/>
        </w:rPr>
        <w:tab/>
      </w: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3.36</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公开08表</w:t>
      </w:r>
    </w:p>
    <w:p>
      <w:pPr>
        <w:widowControl/>
        <w:tabs>
          <w:tab w:val="left" w:pos="762"/>
          <w:tab w:val="right" w:pos="15518"/>
        </w:tabs>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ab/>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龙山县人民政府烟叶办公室</w:t>
      </w:r>
      <w:r>
        <w:rPr>
          <w:rFonts w:hint="eastAsia" w:ascii="Times New Roman" w:hAnsi="Times New Roman" w:eastAsia="仿宋_GB2312" w:cs="Times New Roman"/>
          <w:color w:val="000000"/>
          <w:kern w:val="0"/>
          <w:szCs w:val="21"/>
          <w:lang w:eastAsia="zh-CN"/>
        </w:rPr>
        <w:tab/>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640" w:firstLineChars="200"/>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2019 年度收</w:t>
      </w:r>
      <w:r>
        <w:rPr>
          <w:rFonts w:hint="eastAsia" w:asciiTheme="minorEastAsia" w:hAnsiTheme="minorEastAsia" w:eastAsiaTheme="minorEastAsia"/>
          <w:sz w:val="32"/>
          <w:szCs w:val="32"/>
          <w:lang w:val="en-US"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1406.71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，支出总计</w:t>
      </w:r>
      <w:r>
        <w:rPr>
          <w:rFonts w:hint="eastAsia" w:asciiTheme="minorEastAsia" w:hAnsiTheme="minorEastAsia" w:eastAsiaTheme="minorEastAsia"/>
          <w:sz w:val="32"/>
          <w:szCs w:val="32"/>
          <w:lang w:val="en-US" w:eastAsia="zh-CN"/>
        </w:rPr>
        <w:t>1314.95万元</w:t>
      </w:r>
      <w:r>
        <w:rPr>
          <w:rFonts w:hint="eastAsia" w:asciiTheme="minorEastAsia" w:hAnsiTheme="minorEastAsia" w:eastAsiaTheme="minorEastAsia"/>
          <w:sz w:val="32"/>
          <w:szCs w:val="32"/>
        </w:rPr>
        <w:t>。与2018年相比，</w:t>
      </w:r>
      <w:r>
        <w:rPr>
          <w:rFonts w:hint="eastAsia" w:asciiTheme="minorEastAsia" w:hAnsiTheme="minorEastAsia" w:eastAsiaTheme="minorEastAsia"/>
          <w:sz w:val="32"/>
          <w:szCs w:val="32"/>
          <w:lang w:eastAsia="zh-CN"/>
        </w:rPr>
        <w:t>收入减少</w:t>
      </w:r>
      <w:r>
        <w:rPr>
          <w:rFonts w:hint="eastAsia" w:asciiTheme="minorEastAsia" w:hAnsiTheme="minorEastAsia" w:eastAsiaTheme="minorEastAsia"/>
          <w:sz w:val="32"/>
          <w:szCs w:val="32"/>
          <w:lang w:val="en-US" w:eastAsia="zh-CN"/>
        </w:rPr>
        <w:t>440.59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23.85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项目收入2019年拨入烟税分成减半所致。</w:t>
      </w:r>
      <w:r>
        <w:rPr>
          <w:rFonts w:hint="eastAsia" w:asciiTheme="minorEastAsia" w:hAnsiTheme="minorEastAsia" w:eastAsiaTheme="minorEastAsia"/>
          <w:sz w:val="32"/>
          <w:szCs w:val="32"/>
        </w:rPr>
        <w:t>与2018年相比，</w:t>
      </w:r>
      <w:r>
        <w:rPr>
          <w:rFonts w:hint="eastAsia" w:asciiTheme="minorEastAsia" w:hAnsiTheme="minorEastAsia" w:eastAsiaTheme="minorEastAsia"/>
          <w:sz w:val="32"/>
          <w:szCs w:val="32"/>
          <w:lang w:eastAsia="zh-CN"/>
        </w:rPr>
        <w:t>支出减少</w:t>
      </w:r>
      <w:r>
        <w:rPr>
          <w:rFonts w:hint="eastAsia" w:asciiTheme="minorEastAsia" w:hAnsiTheme="minorEastAsia" w:eastAsiaTheme="minorEastAsia"/>
          <w:sz w:val="32"/>
          <w:szCs w:val="32"/>
          <w:lang w:val="en-US" w:eastAsia="zh-CN"/>
        </w:rPr>
        <w:t>561.81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29.94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2019年烟税分成减半所致。</w:t>
      </w:r>
    </w:p>
    <w:p>
      <w:pPr>
        <w:pStyle w:val="9"/>
        <w:ind w:firstLine="640" w:firstLineChars="200"/>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1406.71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877.77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62.40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528.94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37.60</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1314.95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92.03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1222.92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w:t>
      </w:r>
    </w:p>
    <w:p>
      <w:pPr>
        <w:pStyle w:val="9"/>
        <w:ind w:firstLine="640" w:firstLineChars="200"/>
        <w:rPr>
          <w:rFonts w:hAnsi="黑体"/>
          <w:b/>
          <w:sz w:val="32"/>
          <w:szCs w:val="32"/>
        </w:rPr>
      </w:pPr>
      <w:bookmarkStart w:id="2" w:name="_GoBack"/>
      <w:bookmarkEnd w:id="2"/>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2019年度财政拨款收</w:t>
      </w:r>
      <w:r>
        <w:rPr>
          <w:rFonts w:hint="eastAsia" w:asciiTheme="minorEastAsia" w:hAnsiTheme="minorEastAsia" w:eastAsiaTheme="minorEastAsia"/>
          <w:sz w:val="32"/>
          <w:szCs w:val="32"/>
          <w:lang w:eastAsia="zh-CN"/>
        </w:rPr>
        <w:t>入总计</w:t>
      </w:r>
      <w:r>
        <w:rPr>
          <w:rFonts w:hint="eastAsia" w:asciiTheme="minorEastAsia" w:hAnsiTheme="minorEastAsia" w:eastAsiaTheme="minorEastAsia"/>
          <w:sz w:val="32"/>
          <w:szCs w:val="32"/>
          <w:lang w:val="en-US" w:eastAsia="zh-CN"/>
        </w:rPr>
        <w:t>877.77万元，财政拨款</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877.77</w:t>
      </w:r>
      <w:r>
        <w:rPr>
          <w:rFonts w:hint="eastAsia" w:asciiTheme="minorEastAsia" w:hAnsiTheme="minorEastAsia" w:eastAsiaTheme="minorEastAsia"/>
          <w:sz w:val="32"/>
          <w:szCs w:val="32"/>
        </w:rPr>
        <w:t>万元，与2018年相比</w:t>
      </w:r>
      <w:r>
        <w:rPr>
          <w:rFonts w:hint="eastAsia" w:asciiTheme="minorEastAsia" w:hAnsiTheme="minorEastAsia" w:eastAsiaTheme="minorEastAsia"/>
          <w:sz w:val="32"/>
          <w:szCs w:val="32"/>
          <w:lang w:eastAsia="zh-CN"/>
        </w:rPr>
        <w:t>，收入</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896.70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50.53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2019年烟税分成减半所致，</w:t>
      </w:r>
      <w:r>
        <w:rPr>
          <w:rFonts w:hint="eastAsia" w:asciiTheme="minorEastAsia" w:hAnsiTheme="minorEastAsia" w:eastAsiaTheme="minorEastAsia"/>
          <w:sz w:val="32"/>
          <w:szCs w:val="32"/>
        </w:rPr>
        <w:t>与2018年相比</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896.81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50.54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2019年烟税分成减半所致。</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877.77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66.75</w:t>
      </w:r>
      <w:r>
        <w:rPr>
          <w:rFonts w:hint="eastAsia" w:asciiTheme="minorEastAsia" w:hAnsiTheme="minorEastAsia" w:eastAsiaTheme="minorEastAsia"/>
          <w:sz w:val="32"/>
          <w:szCs w:val="32"/>
        </w:rPr>
        <w:t>%，与2018年相比，财政拨款支出减少</w:t>
      </w:r>
      <w:r>
        <w:rPr>
          <w:rFonts w:hint="eastAsia" w:asciiTheme="minorEastAsia" w:hAnsiTheme="minorEastAsia" w:eastAsiaTheme="minorEastAsia"/>
          <w:sz w:val="32"/>
          <w:szCs w:val="32"/>
          <w:lang w:val="en-US" w:eastAsia="zh-CN"/>
        </w:rPr>
        <w:t>896.81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50.54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2019年烟税分成减半所致。</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877.77</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102.76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11.71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4.28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0.49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lang w:val="en-US" w:eastAsia="zh-CN"/>
        </w:rPr>
        <w:t>768.14万元，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87.51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；住房保障支出2.59万元，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36.31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877.77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2317.43</w:t>
      </w:r>
      <w:r>
        <w:rPr>
          <w:rFonts w:hint="eastAsia" w:asciiTheme="minorEastAsia" w:hAnsiTheme="minorEastAsia" w:eastAsiaTheme="minorEastAsia"/>
          <w:sz w:val="32"/>
          <w:szCs w:val="32"/>
        </w:rPr>
        <w:t>%，其中：</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eastAsia="zh-CN"/>
        </w:rPr>
        <w:t>支出—行政运行。</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一致。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w:t>
      </w:r>
      <w:r>
        <w:rPr>
          <w:rFonts w:hint="eastAsia" w:asciiTheme="minorEastAsia" w:hAnsiTheme="minorEastAsia" w:eastAsiaTheme="minorEastAsia"/>
          <w:sz w:val="32"/>
          <w:szCs w:val="32"/>
          <w:lang w:eastAsia="zh-CN"/>
        </w:rPr>
        <w:t>支出—其他一般公共服务支出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3.66</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80.00万元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2019年烟税分成项目资金未纳入年初预算</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社会保障和就业支出—机关事业单位基本养老保险缴费支出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4.28万元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一致。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农林水支出—事业运行</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4万元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一致。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农林水支出—其他农业支出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764.14万元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2019年烟税分成项目资金未纳入年初预算</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6、住房保障支出—住房公积金。</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2.59万元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：住房公积金未纳入年初预算。</w:t>
      </w:r>
    </w:p>
    <w:p>
      <w:pPr>
        <w:pStyle w:val="9"/>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卫生健康支出—医疗保险金。</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1.61万元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：本年未拨付医疗保险金。</w:t>
      </w:r>
    </w:p>
    <w:p>
      <w:pPr>
        <w:pStyle w:val="9"/>
        <w:ind w:firstLine="640" w:firstLineChars="20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63.64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29.64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46.57</w:t>
      </w:r>
      <w:r>
        <w:rPr>
          <w:rFonts w:hint="eastAsia" w:asciiTheme="minorEastAsia" w:hAnsiTheme="minorEastAsia" w:eastAsiaTheme="minorEastAsia"/>
          <w:sz w:val="32"/>
          <w:szCs w:val="32"/>
        </w:rPr>
        <w:t>%,主要包括基本工资、津贴补贴、</w:t>
      </w:r>
      <w:r>
        <w:rPr>
          <w:rFonts w:hint="eastAsia" w:asciiTheme="minorEastAsia" w:hAnsiTheme="minorEastAsia" w:eastAsiaTheme="minorEastAsia"/>
          <w:sz w:val="32"/>
          <w:szCs w:val="32"/>
          <w:lang w:eastAsia="zh-CN"/>
        </w:rPr>
        <w:t>绩效工资、养老保险金、住房公积金等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万元，占基本支出</w:t>
      </w:r>
      <w:r>
        <w:rPr>
          <w:rFonts w:hint="eastAsia" w:asciiTheme="minorEastAsia" w:hAnsiTheme="minorEastAsia" w:eastAsiaTheme="minorEastAsia"/>
          <w:sz w:val="32"/>
          <w:szCs w:val="32"/>
          <w:lang w:val="en-US" w:eastAsia="zh-CN"/>
        </w:rPr>
        <w:t>53.43</w:t>
      </w:r>
      <w:r>
        <w:rPr>
          <w:rFonts w:hint="eastAsia" w:asciiTheme="minorEastAsia" w:hAnsiTheme="minorEastAsia" w:eastAsiaTheme="minorEastAsia"/>
          <w:sz w:val="32"/>
          <w:szCs w:val="32"/>
        </w:rPr>
        <w:t>%，主要包括印刷费、</w:t>
      </w:r>
      <w:r>
        <w:rPr>
          <w:rFonts w:hint="eastAsia" w:asciiTheme="minorEastAsia" w:hAnsiTheme="minorEastAsia" w:eastAsiaTheme="minorEastAsia"/>
          <w:sz w:val="32"/>
          <w:szCs w:val="32"/>
          <w:lang w:eastAsia="zh-CN"/>
        </w:rPr>
        <w:t>差旅</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维护</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、会议费、公务接待费、工会经费、其他交通费用等</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一致。</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%。全年共接待来访团组</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525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烤烟产业科研院所及烟叶项目合作单位人员来访交流</w:t>
      </w:r>
      <w:r>
        <w:rPr>
          <w:rFonts w:hint="eastAsia" w:asciiTheme="minorEastAsia" w:hAnsiTheme="minorEastAsia" w:eastAsiaTheme="minorEastAsia"/>
          <w:sz w:val="32"/>
          <w:szCs w:val="32"/>
        </w:rPr>
        <w:t>发生的接待支出。</w:t>
      </w:r>
    </w:p>
    <w:p>
      <w:pPr>
        <w:pStyle w:val="9"/>
        <w:ind w:firstLine="640" w:firstLineChars="200"/>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2019年度政府性基金预算财政拨款收入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640" w:firstLineChars="200"/>
        <w:rPr>
          <w:rFonts w:hAnsi="黑体"/>
          <w:b/>
          <w:sz w:val="32"/>
          <w:szCs w:val="32"/>
        </w:rPr>
      </w:pPr>
      <w:r>
        <w:rPr>
          <w:rFonts w:hint="eastAsia" w:hAnsi="黑体"/>
          <w:b/>
          <w:sz w:val="32"/>
          <w:szCs w:val="32"/>
        </w:rPr>
        <w:t>九、关于2019年度预算绩效情况说明</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（一）预算绩效开展情况。</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2019年整体绩效资金支出36.31万元。2019年度预算申请36.31万元，其中，工资福利支出27.31万元，商品和服务支出9万元。</w:t>
      </w:r>
    </w:p>
    <w:p>
      <w:pPr>
        <w:pStyle w:val="9"/>
        <w:numPr>
          <w:ilvl w:val="0"/>
          <w:numId w:val="4"/>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绩效目标</w:t>
      </w:r>
    </w:p>
    <w:p>
      <w:pPr>
        <w:pStyle w:val="9"/>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确保单位正常运转及各项工作有效开展。</w:t>
      </w:r>
    </w:p>
    <w:p>
      <w:pPr>
        <w:pStyle w:val="9"/>
        <w:ind w:firstLine="960" w:firstLineChars="30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，本部门为全额拨款事业单位，不在机关运行经费中列支。</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3.44</w:t>
      </w:r>
      <w:r>
        <w:rPr>
          <w:rFonts w:hint="eastAsia" w:cs="黑体" w:asciiTheme="minorEastAsia" w:hAnsiTheme="minorEastAsia"/>
          <w:color w:val="000000"/>
          <w:kern w:val="0"/>
          <w:sz w:val="32"/>
          <w:szCs w:val="32"/>
        </w:rPr>
        <w:t>万元，用于召</w:t>
      </w:r>
      <w:r>
        <w:rPr>
          <w:rFonts w:hint="eastAsia" w:cs="黑体" w:asciiTheme="minorEastAsia" w:hAnsiTheme="minorEastAsia"/>
          <w:color w:val="000000"/>
          <w:kern w:val="0"/>
          <w:sz w:val="32"/>
          <w:szCs w:val="32"/>
          <w:lang w:eastAsia="zh-CN"/>
        </w:rPr>
        <w:t>开烤烟产业发展生产</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260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部署发展烤烟生产、做好烤烟收购等工作</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0辆</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单位</w:t>
      </w:r>
      <w:r>
        <w:rPr>
          <w:rFonts w:hint="eastAsia" w:cs="黑体" w:asciiTheme="minorEastAsia" w:hAnsiTheme="minorEastAsia"/>
          <w:color w:val="000000"/>
          <w:kern w:val="0"/>
          <w:sz w:val="32"/>
          <w:szCs w:val="32"/>
        </w:rPr>
        <w:t>价值50万元以上通用设备</w:t>
      </w:r>
      <w:r>
        <w:rPr>
          <w:rFonts w:hint="eastAsia" w:cs="黑体" w:asciiTheme="minorEastAsia" w:hAnsiTheme="minorEastAsia"/>
          <w:color w:val="000000"/>
          <w:kern w:val="0"/>
          <w:sz w:val="32"/>
          <w:szCs w:val="32"/>
          <w:lang w:val="en-US" w:eastAsia="zh-CN"/>
        </w:rPr>
        <w:t>0台</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单位</w:t>
      </w:r>
      <w:r>
        <w:rPr>
          <w:rFonts w:hint="eastAsia" w:cs="黑体" w:asciiTheme="minorEastAsia" w:hAnsiTheme="minorEastAsia"/>
          <w:color w:val="000000"/>
          <w:kern w:val="0"/>
          <w:sz w:val="32"/>
          <w:szCs w:val="32"/>
        </w:rPr>
        <w:t>价值100万元以上专用设备</w:t>
      </w:r>
      <w:r>
        <w:rPr>
          <w:rFonts w:hint="eastAsia" w:cs="黑体" w:asciiTheme="minorEastAsia" w:hAnsiTheme="minorEastAsia"/>
          <w:color w:val="000000"/>
          <w:kern w:val="0"/>
          <w:sz w:val="32"/>
          <w:szCs w:val="32"/>
          <w:lang w:val="en-US" w:eastAsia="zh-CN"/>
        </w:rPr>
        <w:t>0台</w:t>
      </w:r>
      <w:r>
        <w:rPr>
          <w:rFonts w:hint="eastAsia" w:cs="黑体" w:asciiTheme="minorEastAsia" w:hAnsiTheme="minorEastAsia"/>
          <w:color w:val="000000"/>
          <w:kern w:val="0"/>
          <w:sz w:val="32"/>
          <w:szCs w:val="32"/>
        </w:rPr>
        <w:t>。</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ind w:firstLine="640" w:firstLineChars="200"/>
        <w:rPr>
          <w:rFonts w:hint="eastAsia" w:cs="黑体" w:asciiTheme="minorEastAsia" w:hAnsiTheme="minorEastAsia"/>
          <w:color w:val="000000"/>
          <w:kern w:val="0"/>
          <w:sz w:val="32"/>
          <w:szCs w:val="32"/>
          <w:lang w:eastAsia="zh-CN"/>
        </w:rPr>
      </w:pPr>
    </w:p>
    <w:p>
      <w:pPr>
        <w:ind w:firstLine="640" w:firstLineChars="200"/>
        <w:rPr>
          <w:rFonts w:hint="eastAsia" w:cs="黑体" w:asciiTheme="minorEastAsia" w:hAnsiTheme="minorEastAsia"/>
          <w:color w:val="000000"/>
          <w:kern w:val="0"/>
          <w:sz w:val="32"/>
          <w:szCs w:val="32"/>
          <w:lang w:eastAsia="zh-CN"/>
        </w:rPr>
      </w:pPr>
    </w:p>
    <w:p>
      <w:pPr>
        <w:ind w:firstLine="640" w:firstLineChars="200"/>
        <w:rPr>
          <w:rFonts w:hint="eastAsia" w:cs="黑体" w:asciiTheme="minorEastAsia" w:hAnsiTheme="minorEastAsia"/>
          <w:color w:val="000000"/>
          <w:kern w:val="0"/>
          <w:sz w:val="32"/>
          <w:szCs w:val="32"/>
          <w:lang w:eastAsia="zh-CN"/>
        </w:rPr>
      </w:pP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三公经费”：纳入财政预算管理的“三公经费”，是指部门用财政拨款安排的因公出国（境）费、公务用车购置及运行费和公务接待费。其中，因公出国（境）费反映单位公务出国（境）住宿费、差旅费、伙食补助费、杂费、培训费等支出；公务用车购置及运行费反映单位用车购置费及租用费、燃料费、维护费、过路过桥费、保险费等支出；公务接待费反映单位按规定开支的各类公务接待（含外宾接待）支出。</w:t>
      </w:r>
    </w:p>
    <w:p>
      <w:pPr>
        <w:widowControl/>
        <w:jc w:val="center"/>
        <w:rPr>
          <w:rFonts w:ascii="黑体" w:eastAsia="黑体" w:cs="黑体"/>
          <w:color w:val="000000"/>
          <w:kern w:val="0"/>
          <w:sz w:val="70"/>
          <w:szCs w:val="70"/>
        </w:rPr>
      </w:pPr>
      <w:r>
        <w:rPr>
          <w:rFonts w:ascii="黑体" w:eastAsia="黑体" w:cs="黑体"/>
          <w:color w:val="000000"/>
          <w:kern w:val="0"/>
          <w:sz w:val="70"/>
          <w:szCs w:val="70"/>
        </w:rPr>
        <w:br w:type="page"/>
      </w:r>
    </w:p>
    <w:p>
      <w:pPr>
        <w:widowControl/>
        <w:jc w:val="center"/>
        <w:rPr>
          <w:rFonts w:ascii="黑体" w:eastAsia="黑体" w:cs="黑体"/>
          <w:color w:val="000000"/>
          <w:kern w:val="0"/>
          <w:sz w:val="70"/>
          <w:szCs w:val="70"/>
        </w:rPr>
      </w:pPr>
    </w:p>
    <w:p>
      <w:pPr>
        <w:widowControl/>
        <w:jc w:val="center"/>
        <w:rPr>
          <w:rFonts w:ascii="黑体" w:eastAsia="黑体" w:cs="黑体"/>
          <w:color w:val="000000"/>
          <w:kern w:val="0"/>
          <w:sz w:val="70"/>
          <w:szCs w:val="70"/>
        </w:rPr>
      </w:pPr>
    </w:p>
    <w:p>
      <w:pPr>
        <w:widowControl/>
        <w:jc w:val="center"/>
        <w:rPr>
          <w:rFonts w:ascii="黑体" w:eastAsia="黑体" w:cs="黑体"/>
          <w:color w:val="000000"/>
          <w:kern w:val="0"/>
          <w:sz w:val="70"/>
          <w:szCs w:val="70"/>
        </w:rPr>
      </w:pPr>
    </w:p>
    <w:p>
      <w:pPr>
        <w:widowControl/>
        <w:jc w:val="center"/>
        <w:rPr>
          <w:rFonts w:ascii="黑体" w:eastAsia="黑体" w:cs="黑体"/>
          <w:color w:val="000000"/>
          <w:kern w:val="0"/>
          <w:sz w:val="70"/>
          <w:szCs w:val="70"/>
        </w:rPr>
      </w:pPr>
    </w:p>
    <w:p>
      <w:pPr>
        <w:pStyle w:val="9"/>
        <w:jc w:val="center"/>
        <w:rPr>
          <w:rFonts w:hint="eastAsia"/>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shd w:val="clear" w:color="auto" w:fill="FFFFFF"/>
        <w:snapToGrid w:val="0"/>
        <w:spacing w:line="600" w:lineRule="exact"/>
        <w:ind w:firstLine="600" w:firstLineChars="200"/>
        <w:jc w:val="left"/>
        <w:rPr>
          <w:rFonts w:ascii="宋体" w:hAnsi="宋体" w:eastAsia="黑体" w:cs="宋体"/>
          <w:kern w:val="0"/>
          <w:sz w:val="30"/>
          <w:szCs w:val="30"/>
        </w:rPr>
      </w:pPr>
      <w:r>
        <w:rPr>
          <w:rFonts w:hint="eastAsia" w:hAnsi="宋体" w:eastAsia="黑体" w:cs="宋体"/>
          <w:kern w:val="0"/>
          <w:sz w:val="30"/>
          <w:szCs w:val="30"/>
        </w:rPr>
        <w:t>一、部门概况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（一）部门基本情况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1．主要职能。</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搞好全县烟叶生产工作；为烟叶产业建设提供决策依据；负责烟区各种基础设施建设工作。</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机构情况。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龙山县人民政府烟叶办公室为全额拨款事业单位，隶属于龙山县人民政府办公室管理，为独立核算的一级预算单位。内设机构包括：综合办公室、财务室、工会活动室三个股室。本年度机构无变动。</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人员情况。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根据龙山县机构编制委员会办公室龙编办发</w:t>
      </w:r>
      <w:r>
        <w:rPr>
          <w:rFonts w:hint="eastAsia" w:cs="黑体" w:asciiTheme="minorEastAsia" w:hAnsiTheme="minorEastAsia"/>
          <w:color w:val="000000"/>
          <w:kern w:val="0"/>
          <w:sz w:val="32"/>
          <w:szCs w:val="32"/>
          <w:lang w:val="en-US" w:eastAsia="zh-CN"/>
        </w:rPr>
        <w:t>[2017]32号</w:t>
      </w:r>
      <w:r>
        <w:rPr>
          <w:rFonts w:hint="eastAsia" w:cs="黑体" w:asciiTheme="minorEastAsia" w:hAnsiTheme="minorEastAsia"/>
          <w:color w:val="000000"/>
          <w:kern w:val="0"/>
          <w:sz w:val="32"/>
          <w:szCs w:val="32"/>
          <w:lang w:eastAsia="zh-CN"/>
        </w:rPr>
        <w:t>文件，核定事业编制数</w:t>
      </w:r>
      <w:r>
        <w:rPr>
          <w:rFonts w:hint="eastAsia" w:cs="黑体" w:asciiTheme="minorEastAsia" w:hAnsiTheme="minorEastAsia"/>
          <w:color w:val="000000"/>
          <w:kern w:val="0"/>
          <w:sz w:val="32"/>
          <w:szCs w:val="32"/>
          <w:lang w:val="en-US" w:eastAsia="zh-CN"/>
        </w:rPr>
        <w:t>5名，年末实有在编人员5名。本</w:t>
      </w:r>
      <w:r>
        <w:rPr>
          <w:rFonts w:hint="eastAsia" w:cs="黑体" w:asciiTheme="minorEastAsia" w:hAnsiTheme="minorEastAsia"/>
          <w:color w:val="000000"/>
          <w:kern w:val="0"/>
          <w:sz w:val="32"/>
          <w:szCs w:val="32"/>
          <w:lang w:eastAsia="zh-CN"/>
        </w:rPr>
        <w:t>年度人员情况无变动。</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部门整体支出规模、使用方向和主要内容、涉及范围等。</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eastAsia="zh-CN"/>
        </w:rPr>
        <w:t>2019年龙山县人民政府烟叶办公室部门整体支出</w:t>
      </w:r>
      <w:r>
        <w:rPr>
          <w:rFonts w:hint="eastAsia" w:cs="黑体" w:asciiTheme="minorEastAsia" w:hAnsiTheme="minorEastAsia"/>
          <w:color w:val="000000"/>
          <w:kern w:val="0"/>
          <w:sz w:val="32"/>
          <w:szCs w:val="32"/>
          <w:lang w:val="en-US" w:eastAsia="zh-CN"/>
        </w:rPr>
        <w:t>36.31万</w:t>
      </w:r>
      <w:r>
        <w:rPr>
          <w:rFonts w:hint="eastAsia" w:cs="黑体" w:asciiTheme="minorEastAsia" w:hAnsiTheme="minorEastAsia"/>
          <w:color w:val="000000"/>
          <w:kern w:val="0"/>
          <w:sz w:val="32"/>
          <w:szCs w:val="32"/>
          <w:lang w:eastAsia="zh-CN"/>
        </w:rPr>
        <w:t>元。基本支出</w:t>
      </w:r>
      <w:r>
        <w:rPr>
          <w:rFonts w:hint="eastAsia" w:cs="黑体" w:asciiTheme="minorEastAsia" w:hAnsiTheme="minorEastAsia"/>
          <w:color w:val="000000"/>
          <w:kern w:val="0"/>
          <w:sz w:val="32"/>
          <w:szCs w:val="32"/>
          <w:lang w:val="en-US" w:eastAsia="zh-CN"/>
        </w:rPr>
        <w:t>36.31万</w:t>
      </w:r>
      <w:r>
        <w:rPr>
          <w:rFonts w:hint="eastAsia" w:cs="黑体" w:asciiTheme="minorEastAsia" w:hAnsiTheme="minorEastAsia"/>
          <w:color w:val="000000"/>
          <w:kern w:val="0"/>
          <w:sz w:val="32"/>
          <w:szCs w:val="32"/>
          <w:lang w:eastAsia="zh-CN"/>
        </w:rPr>
        <w:t>元，其中人员经费</w:t>
      </w:r>
      <w:r>
        <w:rPr>
          <w:rFonts w:hint="eastAsia" w:cs="黑体" w:asciiTheme="minorEastAsia" w:hAnsiTheme="minorEastAsia"/>
          <w:color w:val="000000"/>
          <w:kern w:val="0"/>
          <w:sz w:val="32"/>
          <w:szCs w:val="32"/>
          <w:lang w:val="en-US" w:eastAsia="zh-CN"/>
        </w:rPr>
        <w:t>27.31万</w:t>
      </w:r>
      <w:r>
        <w:rPr>
          <w:rFonts w:hint="eastAsia" w:cs="黑体" w:asciiTheme="minorEastAsia" w:hAnsiTheme="minorEastAsia"/>
          <w:color w:val="000000"/>
          <w:kern w:val="0"/>
          <w:sz w:val="32"/>
          <w:szCs w:val="32"/>
          <w:lang w:eastAsia="zh-CN"/>
        </w:rPr>
        <w:t>元，公用经费</w:t>
      </w:r>
      <w:r>
        <w:rPr>
          <w:rFonts w:hint="eastAsia" w:cs="黑体" w:asciiTheme="minorEastAsia" w:hAnsiTheme="minorEastAsia"/>
          <w:color w:val="000000"/>
          <w:kern w:val="0"/>
          <w:sz w:val="32"/>
          <w:szCs w:val="32"/>
          <w:lang w:val="en-US" w:eastAsia="zh-CN"/>
        </w:rPr>
        <w:t>9万</w:t>
      </w:r>
      <w:r>
        <w:rPr>
          <w:rFonts w:hint="eastAsia" w:cs="黑体" w:asciiTheme="minorEastAsia" w:hAnsiTheme="minorEastAsia"/>
          <w:color w:val="000000"/>
          <w:kern w:val="0"/>
          <w:sz w:val="32"/>
          <w:szCs w:val="32"/>
          <w:lang w:eastAsia="zh-CN"/>
        </w:rPr>
        <w:t>元。</w:t>
      </w:r>
    </w:p>
    <w:p>
      <w:pPr>
        <w:shd w:val="clear" w:color="auto" w:fill="FFFFFF"/>
        <w:snapToGrid w:val="0"/>
        <w:spacing w:line="600" w:lineRule="exact"/>
        <w:ind w:firstLine="600" w:firstLineChars="200"/>
        <w:jc w:val="left"/>
        <w:rPr>
          <w:rFonts w:ascii="宋体" w:hAnsi="宋体" w:eastAsia="黑体" w:cs="宋体"/>
          <w:kern w:val="0"/>
          <w:sz w:val="30"/>
          <w:szCs w:val="30"/>
        </w:rPr>
      </w:pPr>
      <w:r>
        <w:rPr>
          <w:rFonts w:hint="eastAsia" w:hAnsi="宋体" w:eastAsia="黑体" w:cs="宋体"/>
          <w:kern w:val="0"/>
          <w:sz w:val="30"/>
          <w:szCs w:val="30"/>
        </w:rPr>
        <w:t>二、部门整体支出管理及使用情况</w:t>
      </w:r>
    </w:p>
    <w:p>
      <w:pPr>
        <w:shd w:val="clear" w:color="auto" w:fill="FFFFFF"/>
        <w:snapToGrid w:val="0"/>
        <w:spacing w:line="600" w:lineRule="exact"/>
        <w:ind w:firstLine="600" w:firstLineChars="200"/>
        <w:jc w:val="left"/>
        <w:rPr>
          <w:rFonts w:hint="eastAsia" w:hAnsi="宋体" w:eastAsia="黑体" w:cs="宋体"/>
          <w:kern w:val="0"/>
          <w:sz w:val="30"/>
          <w:szCs w:val="30"/>
        </w:rPr>
      </w:pPr>
      <w:r>
        <w:rPr>
          <w:rFonts w:hint="eastAsia" w:hAnsi="宋体" w:eastAsia="黑体" w:cs="宋体"/>
          <w:kern w:val="0"/>
          <w:sz w:val="30"/>
          <w:szCs w:val="30"/>
        </w:rPr>
        <w:t>（一）基本支出</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基本支出</w:t>
      </w:r>
      <w:r>
        <w:rPr>
          <w:rFonts w:hint="eastAsia" w:cs="黑体" w:asciiTheme="minorEastAsia" w:hAnsiTheme="minorEastAsia"/>
          <w:color w:val="000000"/>
          <w:kern w:val="0"/>
          <w:sz w:val="32"/>
          <w:szCs w:val="32"/>
          <w:lang w:val="en-US" w:eastAsia="zh-CN"/>
        </w:rPr>
        <w:t>36.31万</w:t>
      </w:r>
      <w:r>
        <w:rPr>
          <w:rFonts w:hint="eastAsia" w:cs="黑体" w:asciiTheme="minorEastAsia" w:hAnsiTheme="minorEastAsia"/>
          <w:color w:val="000000"/>
          <w:kern w:val="0"/>
          <w:sz w:val="32"/>
          <w:szCs w:val="32"/>
          <w:lang w:eastAsia="zh-CN"/>
        </w:rPr>
        <w:t>元。其中：人员经费</w:t>
      </w:r>
      <w:r>
        <w:rPr>
          <w:rFonts w:hint="eastAsia" w:cs="黑体" w:asciiTheme="minorEastAsia" w:hAnsiTheme="minorEastAsia"/>
          <w:color w:val="000000"/>
          <w:kern w:val="0"/>
          <w:sz w:val="32"/>
          <w:szCs w:val="32"/>
          <w:lang w:val="en-US" w:eastAsia="zh-CN"/>
        </w:rPr>
        <w:t>27.31</w:t>
      </w:r>
      <w:r>
        <w:rPr>
          <w:rFonts w:hint="eastAsia" w:cs="黑体" w:asciiTheme="minorEastAsia" w:hAnsiTheme="minorEastAsia"/>
          <w:color w:val="000000"/>
          <w:kern w:val="0"/>
          <w:sz w:val="32"/>
          <w:szCs w:val="32"/>
          <w:lang w:eastAsia="zh-CN"/>
        </w:rPr>
        <w:t>元，主要包括基本工资</w:t>
      </w:r>
      <w:r>
        <w:rPr>
          <w:rFonts w:hint="eastAsia" w:cs="黑体" w:asciiTheme="minorEastAsia" w:hAnsiTheme="minorEastAsia"/>
          <w:color w:val="000000"/>
          <w:kern w:val="0"/>
          <w:sz w:val="32"/>
          <w:szCs w:val="32"/>
          <w:lang w:val="en-US" w:eastAsia="zh-CN"/>
        </w:rPr>
        <w:t>10.46万元</w:t>
      </w:r>
      <w:r>
        <w:rPr>
          <w:rFonts w:hint="eastAsia" w:cs="黑体" w:asciiTheme="minorEastAsia" w:hAnsiTheme="minorEastAsia"/>
          <w:color w:val="000000"/>
          <w:kern w:val="0"/>
          <w:sz w:val="32"/>
          <w:szCs w:val="32"/>
          <w:lang w:eastAsia="zh-CN"/>
        </w:rPr>
        <w:t>、津贴补贴</w:t>
      </w:r>
      <w:r>
        <w:rPr>
          <w:rFonts w:hint="eastAsia" w:cs="黑体" w:asciiTheme="minorEastAsia" w:hAnsiTheme="minorEastAsia"/>
          <w:color w:val="000000"/>
          <w:kern w:val="0"/>
          <w:sz w:val="32"/>
          <w:szCs w:val="32"/>
          <w:lang w:val="en-US" w:eastAsia="zh-CN"/>
        </w:rPr>
        <w:t>1.76万元</w:t>
      </w:r>
      <w:r>
        <w:rPr>
          <w:rFonts w:hint="eastAsia" w:cs="黑体" w:asciiTheme="minorEastAsia" w:hAnsiTheme="minorEastAsia"/>
          <w:color w:val="000000"/>
          <w:kern w:val="0"/>
          <w:sz w:val="32"/>
          <w:szCs w:val="32"/>
          <w:lang w:eastAsia="zh-CN"/>
        </w:rPr>
        <w:t>、绩效工资</w:t>
      </w:r>
      <w:r>
        <w:rPr>
          <w:rFonts w:hint="eastAsia" w:cs="黑体" w:asciiTheme="minorEastAsia" w:hAnsiTheme="minorEastAsia"/>
          <w:color w:val="000000"/>
          <w:kern w:val="0"/>
          <w:sz w:val="32"/>
          <w:szCs w:val="32"/>
          <w:lang w:val="en-US" w:eastAsia="zh-CN"/>
        </w:rPr>
        <w:t>9.20万元、</w:t>
      </w:r>
      <w:r>
        <w:rPr>
          <w:rFonts w:hint="eastAsia" w:cs="黑体" w:asciiTheme="minorEastAsia" w:hAnsiTheme="minorEastAsia"/>
          <w:color w:val="000000"/>
          <w:kern w:val="0"/>
          <w:sz w:val="32"/>
          <w:szCs w:val="32"/>
          <w:lang w:eastAsia="zh-CN"/>
        </w:rPr>
        <w:t>社会保障缴费</w:t>
      </w:r>
      <w:r>
        <w:rPr>
          <w:rFonts w:hint="eastAsia" w:cs="黑体" w:asciiTheme="minorEastAsia" w:hAnsiTheme="minorEastAsia"/>
          <w:color w:val="000000"/>
          <w:kern w:val="0"/>
          <w:sz w:val="32"/>
          <w:szCs w:val="32"/>
          <w:lang w:val="en-US" w:eastAsia="zh-CN"/>
        </w:rPr>
        <w:t>5.89万元</w:t>
      </w:r>
      <w:r>
        <w:rPr>
          <w:rFonts w:hint="eastAsia" w:cs="黑体" w:asciiTheme="minorEastAsia" w:hAnsiTheme="minorEastAsia"/>
          <w:color w:val="000000"/>
          <w:kern w:val="0"/>
          <w:sz w:val="32"/>
          <w:szCs w:val="32"/>
          <w:lang w:eastAsia="zh-CN"/>
        </w:rPr>
        <w:t>；公用经费</w:t>
      </w:r>
      <w:r>
        <w:rPr>
          <w:rFonts w:hint="eastAsia" w:cs="黑体" w:asciiTheme="minorEastAsia" w:hAnsiTheme="minorEastAsia"/>
          <w:color w:val="000000"/>
          <w:kern w:val="0"/>
          <w:sz w:val="32"/>
          <w:szCs w:val="32"/>
          <w:lang w:val="en-US" w:eastAsia="zh-CN"/>
        </w:rPr>
        <w:t>9万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lang w:val="en-US" w:eastAsia="zh-CN"/>
        </w:rPr>
        <w:t>会议费4万元、</w:t>
      </w:r>
      <w:r>
        <w:rPr>
          <w:rFonts w:hint="eastAsia" w:cs="黑体" w:asciiTheme="minorEastAsia" w:hAnsiTheme="minorEastAsia"/>
          <w:color w:val="000000"/>
          <w:kern w:val="0"/>
          <w:sz w:val="32"/>
          <w:szCs w:val="32"/>
          <w:lang w:eastAsia="zh-CN"/>
        </w:rPr>
        <w:t>办公费</w:t>
      </w:r>
      <w:r>
        <w:rPr>
          <w:rFonts w:hint="eastAsia" w:cs="黑体" w:asciiTheme="minorEastAsia" w:hAnsiTheme="minorEastAsia"/>
          <w:color w:val="000000"/>
          <w:kern w:val="0"/>
          <w:sz w:val="32"/>
          <w:szCs w:val="32"/>
          <w:lang w:val="en-US" w:eastAsia="zh-CN"/>
        </w:rPr>
        <w:t>1.5万元</w:t>
      </w:r>
      <w:r>
        <w:rPr>
          <w:rFonts w:hint="eastAsia" w:cs="黑体" w:asciiTheme="minorEastAsia" w:hAnsiTheme="minorEastAsia"/>
          <w:color w:val="000000"/>
          <w:kern w:val="0"/>
          <w:sz w:val="32"/>
          <w:szCs w:val="32"/>
          <w:lang w:eastAsia="zh-CN"/>
        </w:rPr>
        <w:t>、差旅费</w:t>
      </w:r>
      <w:r>
        <w:rPr>
          <w:rFonts w:hint="eastAsia" w:cs="黑体" w:asciiTheme="minorEastAsia" w:hAnsiTheme="minorEastAsia"/>
          <w:color w:val="000000"/>
          <w:kern w:val="0"/>
          <w:sz w:val="32"/>
          <w:szCs w:val="32"/>
          <w:lang w:val="en-US" w:eastAsia="zh-CN"/>
        </w:rPr>
        <w:t>2万元</w:t>
      </w:r>
      <w:r>
        <w:rPr>
          <w:rFonts w:hint="eastAsia" w:cs="黑体" w:asciiTheme="minorEastAsia" w:hAnsiTheme="minorEastAsia"/>
          <w:color w:val="000000"/>
          <w:kern w:val="0"/>
          <w:sz w:val="32"/>
          <w:szCs w:val="32"/>
          <w:lang w:eastAsia="zh-CN"/>
        </w:rPr>
        <w:t>、其他交通费用</w:t>
      </w:r>
      <w:r>
        <w:rPr>
          <w:rFonts w:hint="eastAsia" w:cs="黑体" w:asciiTheme="minorEastAsia" w:hAnsiTheme="minorEastAsia"/>
          <w:color w:val="000000"/>
          <w:kern w:val="0"/>
          <w:sz w:val="32"/>
          <w:szCs w:val="32"/>
          <w:lang w:val="en-US" w:eastAsia="zh-CN"/>
        </w:rPr>
        <w:t>1.5万元。</w:t>
      </w:r>
    </w:p>
    <w:p>
      <w:pPr>
        <w:numPr>
          <w:ilvl w:val="0"/>
          <w:numId w:val="5"/>
        </w:numPr>
        <w:shd w:val="clear" w:color="auto" w:fill="FFFFFF"/>
        <w:snapToGrid w:val="0"/>
        <w:spacing w:line="600" w:lineRule="exact"/>
        <w:ind w:left="0" w:leftChars="0" w:firstLine="600" w:firstLineChars="200"/>
        <w:jc w:val="left"/>
        <w:rPr>
          <w:rFonts w:hint="eastAsia" w:ascii="楷体_GB2312" w:hAnsi="宋体" w:eastAsia="楷体_GB2312" w:cs="宋体"/>
          <w:b/>
          <w:kern w:val="0"/>
          <w:sz w:val="30"/>
          <w:szCs w:val="30"/>
        </w:rPr>
      </w:pPr>
      <w:r>
        <w:rPr>
          <w:rFonts w:hint="eastAsia" w:hAnsi="宋体" w:eastAsia="黑体" w:cs="宋体"/>
          <w:kern w:val="0"/>
          <w:sz w:val="30"/>
          <w:szCs w:val="30"/>
        </w:rPr>
        <w:t>项目支出</w:t>
      </w:r>
    </w:p>
    <w:p>
      <w:pPr>
        <w:numPr>
          <w:ilvl w:val="0"/>
          <w:numId w:val="0"/>
        </w:numPr>
        <w:shd w:val="clear" w:color="auto" w:fill="FFFFFF"/>
        <w:snapToGrid w:val="0"/>
        <w:spacing w:line="600" w:lineRule="exact"/>
        <w:ind w:leftChars="200"/>
        <w:jc w:val="left"/>
        <w:rPr>
          <w:rFonts w:hint="default" w:cs="黑体" w:asciiTheme="minorEastAsia" w:hAnsiTheme="minorEastAsia"/>
          <w:color w:val="000000"/>
          <w:kern w:val="0"/>
          <w:sz w:val="32"/>
          <w:szCs w:val="32"/>
          <w:lang w:val="en-US" w:eastAsia="zh-CN"/>
        </w:rPr>
      </w:pPr>
      <w:r>
        <w:rPr>
          <w:rFonts w:hint="eastAsia" w:ascii="楷体_GB2312" w:hAnsi="宋体" w:eastAsia="楷体_GB2312" w:cs="宋体"/>
          <w:b/>
          <w:kern w:val="0"/>
          <w:sz w:val="30"/>
          <w:szCs w:val="30"/>
          <w:lang w:val="en-US" w:eastAsia="zh-CN"/>
        </w:rPr>
        <w:t xml:space="preserve">  </w:t>
      </w:r>
      <w:r>
        <w:rPr>
          <w:rFonts w:hint="eastAsia" w:cs="黑体" w:asciiTheme="minorEastAsia" w:hAnsiTheme="minorEastAsia"/>
          <w:color w:val="000000"/>
          <w:kern w:val="0"/>
          <w:sz w:val="32"/>
          <w:szCs w:val="32"/>
          <w:lang w:val="en-US" w:eastAsia="zh-CN"/>
        </w:rPr>
        <w:t>无</w:t>
      </w:r>
    </w:p>
    <w:p>
      <w:pPr>
        <w:numPr>
          <w:ilvl w:val="0"/>
          <w:numId w:val="6"/>
        </w:numPr>
        <w:shd w:val="clear" w:color="auto" w:fill="FFFFFF"/>
        <w:snapToGrid w:val="0"/>
        <w:spacing w:line="600" w:lineRule="exact"/>
        <w:ind w:firstLine="600" w:firstLineChars="200"/>
        <w:jc w:val="left"/>
        <w:rPr>
          <w:rFonts w:hint="eastAsia" w:hAnsi="宋体" w:eastAsia="黑体" w:cs="宋体"/>
          <w:kern w:val="0"/>
          <w:sz w:val="30"/>
          <w:szCs w:val="30"/>
        </w:rPr>
      </w:pPr>
      <w:r>
        <w:rPr>
          <w:rFonts w:hint="eastAsia" w:hAnsi="宋体" w:eastAsia="黑体" w:cs="宋体"/>
          <w:kern w:val="0"/>
          <w:sz w:val="30"/>
          <w:szCs w:val="30"/>
        </w:rPr>
        <w:t>县本级其他财政性资金组织实施情况</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无</w:t>
      </w:r>
    </w:p>
    <w:p>
      <w:pPr>
        <w:ind w:firstLine="640" w:firstLineChars="200"/>
        <w:rPr>
          <w:rFonts w:ascii="宋体" w:hAnsi="宋体" w:eastAsia="黑体" w:cs="宋体"/>
          <w:kern w:val="0"/>
          <w:sz w:val="30"/>
          <w:szCs w:val="30"/>
        </w:rPr>
      </w:pPr>
      <w:r>
        <w:rPr>
          <w:rFonts w:hint="eastAsia" w:cs="黑体" w:asciiTheme="minorEastAsia" w:hAnsiTheme="minorEastAsia"/>
          <w:color w:val="000000"/>
          <w:kern w:val="0"/>
          <w:sz w:val="32"/>
          <w:szCs w:val="32"/>
          <w:lang w:val="en-US" w:eastAsia="zh-CN"/>
        </w:rPr>
        <w:t>四、部门整</w:t>
      </w:r>
      <w:r>
        <w:rPr>
          <w:rFonts w:hint="eastAsia" w:hAnsi="宋体" w:eastAsia="黑体" w:cs="宋体"/>
          <w:kern w:val="0"/>
          <w:sz w:val="30"/>
          <w:szCs w:val="30"/>
        </w:rPr>
        <w:t>体支出绩效情况</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2019年本部门对财政预算资金，按照规定用途保障单位政常运转，扎实工作，强力推进中心重点工作有效开展。</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为规范我办财政资金使用，因此年初就制定了对各项资金管理的制度和工作措施。 针对当前形势和工作需要，本办对当年度的财政资金预算和财政预算执行情况都予以公开化、透明化，对烟农反映的各类问题都予以及时的反馈和答复。</w:t>
      </w:r>
    </w:p>
    <w:p>
      <w:pPr>
        <w:shd w:val="clear" w:color="auto" w:fill="FFFFFF"/>
        <w:snapToGrid w:val="0"/>
        <w:spacing w:line="600" w:lineRule="exact"/>
        <w:ind w:firstLine="600" w:firstLineChars="200"/>
        <w:jc w:val="left"/>
        <w:rPr>
          <w:rFonts w:ascii="黑体" w:hAnsi="宋体" w:eastAsia="黑体" w:cs="宋体"/>
          <w:kern w:val="0"/>
          <w:sz w:val="30"/>
          <w:szCs w:val="30"/>
        </w:rPr>
      </w:pPr>
      <w:r>
        <w:rPr>
          <w:rFonts w:hint="eastAsia" w:ascii="黑体" w:hAnsi="宋体" w:eastAsia="黑体" w:cs="宋体"/>
          <w:kern w:val="0"/>
          <w:sz w:val="30"/>
          <w:szCs w:val="30"/>
        </w:rPr>
        <w:t>五、存在的主要问题</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因部门整体支出的预算资金安排和使用上仍有不可预见性，还需加强预算管理，科学编制预算。</w:t>
      </w:r>
    </w:p>
    <w:p>
      <w:pPr>
        <w:shd w:val="clear" w:color="auto" w:fill="FFFFFF"/>
        <w:snapToGrid w:val="0"/>
        <w:spacing w:line="600" w:lineRule="exact"/>
        <w:ind w:firstLine="600" w:firstLineChars="200"/>
        <w:jc w:val="left"/>
        <w:rPr>
          <w:rFonts w:hint="eastAsia" w:ascii="宋体" w:hAnsi="宋体" w:eastAsia="黑体" w:cs="宋体"/>
          <w:kern w:val="0"/>
          <w:sz w:val="30"/>
          <w:szCs w:val="30"/>
        </w:rPr>
      </w:pPr>
      <w:r>
        <w:rPr>
          <w:rFonts w:hint="eastAsia" w:hAnsi="宋体" w:eastAsia="黑体" w:cs="宋体"/>
          <w:kern w:val="0"/>
          <w:sz w:val="30"/>
          <w:szCs w:val="30"/>
        </w:rPr>
        <w:t>六、改进措施和有关建议</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细化整体预算编制工作。加强预算管理意识，严格按照预算编制的相关制度和要求进行预算编制。全面编制预算项目，优先保障固定性的、相对刚性的费用支出项目，尽量压缩变动性的、有控制空间的费用项目，提高预算编制的科学性、严谨性和可控性。</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B68FA"/>
    <w:multiLevelType w:val="singleLevel"/>
    <w:tmpl w:val="AC6B68FA"/>
    <w:lvl w:ilvl="0" w:tentative="0">
      <w:start w:val="3"/>
      <w:numFmt w:val="chineseCounting"/>
      <w:suff w:val="nothing"/>
      <w:lvlText w:val="%1、"/>
      <w:lvlJc w:val="left"/>
      <w:rPr>
        <w:rFonts w:hint="eastAsia"/>
      </w:rPr>
    </w:lvl>
  </w:abstractNum>
  <w:abstractNum w:abstractNumId="1">
    <w:nsid w:val="C6CB2F7E"/>
    <w:multiLevelType w:val="singleLevel"/>
    <w:tmpl w:val="C6CB2F7E"/>
    <w:lvl w:ilvl="0" w:tentative="0">
      <w:start w:val="2"/>
      <w:numFmt w:val="chineseCounting"/>
      <w:suff w:val="nothing"/>
      <w:lvlText w:val="（%1）"/>
      <w:lvlJc w:val="left"/>
      <w:rPr>
        <w:rFonts w:hint="eastAsia"/>
      </w:rPr>
    </w:lvl>
  </w:abstractNum>
  <w:abstractNum w:abstractNumId="2">
    <w:nsid w:val="D95C3992"/>
    <w:multiLevelType w:val="singleLevel"/>
    <w:tmpl w:val="D95C3992"/>
    <w:lvl w:ilvl="0" w:tentative="0">
      <w:start w:val="7"/>
      <w:numFmt w:val="decimal"/>
      <w:suff w:val="nothing"/>
      <w:lvlText w:val="%1、"/>
      <w:lvlJc w:val="left"/>
    </w:lvl>
  </w:abstractNum>
  <w:abstractNum w:abstractNumId="3">
    <w:nsid w:val="E7B09527"/>
    <w:multiLevelType w:val="singleLevel"/>
    <w:tmpl w:val="E7B09527"/>
    <w:lvl w:ilvl="0" w:tentative="0">
      <w:start w:val="1"/>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7BA187"/>
    <w:multiLevelType w:val="singleLevel"/>
    <w:tmpl w:val="6E7BA187"/>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48166C8"/>
    <w:rsid w:val="05BD4B9D"/>
    <w:rsid w:val="091558BE"/>
    <w:rsid w:val="0CDE02FC"/>
    <w:rsid w:val="0EEB3F57"/>
    <w:rsid w:val="0F983748"/>
    <w:rsid w:val="165073C4"/>
    <w:rsid w:val="1A32018B"/>
    <w:rsid w:val="1EFE4E72"/>
    <w:rsid w:val="22054FC4"/>
    <w:rsid w:val="232E5D69"/>
    <w:rsid w:val="2AA15222"/>
    <w:rsid w:val="2AF47059"/>
    <w:rsid w:val="2B07056C"/>
    <w:rsid w:val="2F103028"/>
    <w:rsid w:val="2F192820"/>
    <w:rsid w:val="342D7977"/>
    <w:rsid w:val="35BF495F"/>
    <w:rsid w:val="35F317C0"/>
    <w:rsid w:val="363B6F0D"/>
    <w:rsid w:val="36A52B73"/>
    <w:rsid w:val="376E1F1C"/>
    <w:rsid w:val="38152C3D"/>
    <w:rsid w:val="3ADA0F97"/>
    <w:rsid w:val="3C3F2DDD"/>
    <w:rsid w:val="3E7F1585"/>
    <w:rsid w:val="40AB231F"/>
    <w:rsid w:val="40AC0D66"/>
    <w:rsid w:val="45215117"/>
    <w:rsid w:val="47355E23"/>
    <w:rsid w:val="4A8C46A8"/>
    <w:rsid w:val="4D9B3EEE"/>
    <w:rsid w:val="4E75753A"/>
    <w:rsid w:val="50370A61"/>
    <w:rsid w:val="514522B6"/>
    <w:rsid w:val="51A57C4E"/>
    <w:rsid w:val="52582D85"/>
    <w:rsid w:val="548A2547"/>
    <w:rsid w:val="58AF0418"/>
    <w:rsid w:val="5A0A08DD"/>
    <w:rsid w:val="5BB9148B"/>
    <w:rsid w:val="5C454279"/>
    <w:rsid w:val="618949BD"/>
    <w:rsid w:val="6982342B"/>
    <w:rsid w:val="6DC46B81"/>
    <w:rsid w:val="6EF62045"/>
    <w:rsid w:val="6FBF74B8"/>
    <w:rsid w:val="71A16F99"/>
    <w:rsid w:val="74B671D4"/>
    <w:rsid w:val="78F1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2</TotalTime>
  <ScaleCrop>false</ScaleCrop>
  <LinksUpToDate>false</LinksUpToDate>
  <CharactersWithSpaces>8418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欧大梦</cp:lastModifiedBy>
  <cp:lastPrinted>2020-07-15T07:25:00Z</cp:lastPrinted>
  <dcterms:modified xsi:type="dcterms:W3CDTF">2020-09-09T08:34:16Z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