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 w:color="auto" w:fill="auto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highlight w:val="none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highlight w:val="none"/>
          <w:lang w:eastAsia="zh-CN"/>
        </w:rPr>
        <w:t>龙山县民族宗教事务局</w:t>
      </w:r>
    </w:p>
    <w:p>
      <w:pPr>
        <w:shd w:val="clear" w:color="auto" w:fill="auto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z w:val="44"/>
          <w:szCs w:val="44"/>
          <w:highlight w:val="none"/>
        </w:rPr>
        <w:t>2022年部门整体支出绩效自评报告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</w:p>
    <w:p>
      <w:pPr>
        <w:shd w:val="clear" w:color="auto" w:fill="auto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为真实准确反映我部门2022年度财政拨款资金使用效 益，进一步提高预算绩效管理水平。按照《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龙山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县财政局关于开展2022年度部门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eastAsia="zh-CN"/>
        </w:rPr>
        <w:t>预算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支出绩效自评工作的通知》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eastAsia="zh-CN"/>
        </w:rPr>
        <w:t>和《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龙山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eastAsia="zh-CN"/>
        </w:rPr>
        <w:t>县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预算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eastAsia="zh-CN"/>
        </w:rPr>
        <w:t>支出绩效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评价管理办法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eastAsia="zh-CN"/>
        </w:rPr>
        <w:t>》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龙政办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eastAsia="zh-CN"/>
        </w:rPr>
        <w:t>发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〔202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〕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27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号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文件</w:t>
      </w:r>
      <w:r>
        <w:rPr>
          <w:rFonts w:hint="eastAsia" w:ascii="仿宋_GB2312" w:hAnsi="仿宋_GB2312" w:eastAsia="仿宋_GB2312" w:cs="仿宋_GB2312"/>
          <w:color w:val="000000"/>
          <w:spacing w:val="13"/>
          <w:sz w:val="32"/>
          <w:szCs w:val="32"/>
          <w:highlight w:val="none"/>
        </w:rPr>
        <w:t>要求，现将我部门2022年度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eastAsia="zh-CN"/>
        </w:rPr>
        <w:t>部门整体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支出</w:t>
      </w:r>
      <w:r>
        <w:rPr>
          <w:rFonts w:hint="eastAsia" w:ascii="仿宋_GB2312" w:hAnsi="仿宋_GB2312" w:eastAsia="仿宋_GB2312" w:cs="仿宋_GB2312"/>
          <w:color w:val="000000"/>
          <w:spacing w:val="-7"/>
          <w:sz w:val="32"/>
          <w:szCs w:val="32"/>
          <w:highlight w:val="none"/>
        </w:rPr>
        <w:t>绩效自评情况</w:t>
      </w:r>
      <w:r>
        <w:rPr>
          <w:rFonts w:hint="eastAsia" w:ascii="仿宋_GB2312" w:hAnsi="仿宋_GB2312" w:eastAsia="仿宋_GB2312" w:cs="仿宋_GB2312"/>
          <w:color w:val="000000"/>
          <w:spacing w:val="-7"/>
          <w:sz w:val="32"/>
          <w:szCs w:val="32"/>
          <w:highlight w:val="none"/>
          <w:lang w:eastAsia="zh-CN"/>
        </w:rPr>
        <w:t>报告</w:t>
      </w:r>
      <w:r>
        <w:rPr>
          <w:rFonts w:hint="eastAsia" w:ascii="仿宋_GB2312" w:hAnsi="仿宋_GB2312" w:eastAsia="仿宋_GB2312" w:cs="仿宋_GB2312"/>
          <w:color w:val="000000"/>
          <w:spacing w:val="-7"/>
          <w:sz w:val="32"/>
          <w:szCs w:val="32"/>
          <w:highlight w:val="none"/>
        </w:rPr>
        <w:t>如下：</w:t>
      </w:r>
    </w:p>
    <w:p>
      <w:pPr>
        <w:shd w:val="clear" w:color="auto" w:fill="auto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</w:rPr>
        <w:t>一、资金拨付及执行情况</w:t>
      </w:r>
    </w:p>
    <w:p>
      <w:pPr>
        <w:shd w:val="clear" w:color="auto" w:fill="auto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2022年我部门年初预算批复数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288.97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 xml:space="preserve"> 万元(数据来源可参考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eastAsia="zh-CN"/>
        </w:rPr>
        <w:t>龙山县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预算公开表或部门预算批复文件),全年预算数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288.97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万元, 年终决算数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548.28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万元,预算总体执行率为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190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%。其中，基本支出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413.51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万元，项目支出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134.76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万元 ,按照绩效自评全覆盖原则，本次绩效自评金额共计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548.28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万元。</w:t>
      </w:r>
    </w:p>
    <w:p>
      <w:pPr>
        <w:shd w:val="clear" w:color="auto" w:fill="auto"/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</w:rPr>
        <w:t>二、绩效自评情况</w:t>
      </w:r>
    </w:p>
    <w:p>
      <w:pPr>
        <w:shd w:val="clear" w:color="auto" w:fill="auto"/>
        <w:ind w:firstLine="640" w:firstLineChars="200"/>
        <w:rPr>
          <w:rFonts w:hint="eastAsia" w:ascii="宋体" w:hAnsi="宋体" w:eastAsia="宋体" w:cs="宋体"/>
          <w:b w:val="0"/>
          <w:bCs w:val="0"/>
          <w:color w:val="000000"/>
          <w:sz w:val="32"/>
          <w:szCs w:val="32"/>
          <w:highlight w:val="none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32"/>
          <w:szCs w:val="32"/>
          <w:highlight w:val="none"/>
        </w:rPr>
        <w:t>(一)部门整体支出绩效目标完成情况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为顺利完成年初部门总体绩效目标，我部门重点完成了以下工作：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持续开展民族团结进步创建活动，提升宗教工作规范化管理水平，引导宗教与社会主义社会相适应。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落实“两民”企业贷款贴息，为7家企业发放两民企业贷款贴息45.47万元。积极做好少数民族考生高考加分优惠政策，全县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共审核通过4800余名考生享受少数民族优惠政策。带队参加湖南省第十届少数民族传统体育运动会第一阶段的陀螺、毽球、蹴球三个项目比赛，获二银三铜。</w:t>
      </w: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bidi w:val="0"/>
        <w:spacing w:before="157" w:beforeLines="50" w:line="360" w:lineRule="auto"/>
        <w:ind w:left="105" w:leftChars="50" w:right="105" w:rightChars="50" w:firstLine="64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32"/>
          <w:szCs w:val="32"/>
        </w:rPr>
      </w:pP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>2、</w:t>
      </w:r>
      <w:r>
        <w:rPr>
          <w:rFonts w:hint="eastAsia" w:ascii="宋体" w:hAnsi="宋体" w:eastAsia="宋体" w:cs="宋体"/>
          <w:b w:val="0"/>
          <w:bCs/>
          <w:sz w:val="32"/>
          <w:szCs w:val="32"/>
        </w:rPr>
        <w:t>基本支出情况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bidi w:val="0"/>
        <w:spacing w:before="157" w:beforeLines="50" w:line="360" w:lineRule="auto"/>
        <w:ind w:left="105" w:leftChars="50" w:right="105" w:rightChars="50" w:firstLine="640" w:firstLineChars="200"/>
        <w:jc w:val="left"/>
        <w:textAlignment w:val="auto"/>
        <w:rPr>
          <w:rFonts w:hint="default" w:ascii="Times New Roman" w:hAnsi="Times New Roman" w:eastAsia="楷体_GB2312"/>
          <w:b w:val="0"/>
          <w:bCs/>
          <w:sz w:val="32"/>
          <w:szCs w:val="32"/>
          <w:lang w:val="en-US"/>
        </w:rPr>
      </w:pPr>
      <w:r>
        <w:rPr>
          <w:rFonts w:hint="eastAsia" w:ascii="仿宋" w:hAnsi="仿宋" w:eastAsia="仿宋" w:cs="仿宋"/>
          <w:sz w:val="32"/>
          <w:szCs w:val="32"/>
        </w:rPr>
        <w:t>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年度财政拨款基本支出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413.51</w:t>
      </w:r>
      <w:r>
        <w:rPr>
          <w:rFonts w:hint="eastAsia" w:ascii="仿宋" w:hAnsi="仿宋" w:eastAsia="仿宋" w:cs="仿宋"/>
          <w:sz w:val="32"/>
          <w:szCs w:val="32"/>
        </w:rPr>
        <w:t>万元，其中：人员经费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293.98</w:t>
      </w:r>
      <w:r>
        <w:rPr>
          <w:rFonts w:hint="eastAsia" w:ascii="仿宋" w:hAnsi="仿宋" w:eastAsia="仿宋" w:cs="仿宋"/>
          <w:sz w:val="32"/>
          <w:szCs w:val="32"/>
        </w:rPr>
        <w:t>万元，占基本支出的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71.18</w:t>
      </w:r>
      <w:r>
        <w:rPr>
          <w:rFonts w:hint="eastAsia" w:ascii="仿宋" w:hAnsi="仿宋" w:eastAsia="仿宋" w:cs="仿宋"/>
          <w:sz w:val="32"/>
          <w:szCs w:val="32"/>
        </w:rPr>
        <w:t>%,主要包括基本工资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90.35万元</w:t>
      </w:r>
      <w:r>
        <w:rPr>
          <w:rFonts w:hint="eastAsia" w:ascii="仿宋" w:hAnsi="仿宋" w:eastAsia="仿宋" w:cs="仿宋"/>
          <w:sz w:val="32"/>
          <w:szCs w:val="32"/>
        </w:rPr>
        <w:t>、津贴补贴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38.27万元</w:t>
      </w:r>
      <w:r>
        <w:rPr>
          <w:rFonts w:hint="eastAsia" w:ascii="仿宋" w:hAnsi="仿宋" w:eastAsia="仿宋" w:cs="仿宋"/>
          <w:sz w:val="32"/>
          <w:szCs w:val="32"/>
        </w:rPr>
        <w:t>、奖金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4.82万元</w:t>
      </w:r>
      <w:r>
        <w:rPr>
          <w:rFonts w:hint="eastAsia" w:ascii="仿宋" w:hAnsi="仿宋" w:eastAsia="仿宋" w:cs="仿宋"/>
          <w:sz w:val="32"/>
          <w:szCs w:val="32"/>
        </w:rPr>
        <w:t>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绩效工资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36.25万元、机关事业单位基本养老保险缴费23.5万元、职工基本医疗保险缴费14.91万元、住房公积金19.46万元、其他社会保障缴费3.18万元、对个人和家庭的补助22.42万元、其他工资福利支出8万元、其他对个人和家庭的补助1.9万元。</w:t>
      </w:r>
      <w:r>
        <w:rPr>
          <w:rFonts w:hint="eastAsia" w:ascii="仿宋" w:hAnsi="仿宋" w:eastAsia="仿宋" w:cs="仿宋"/>
          <w:sz w:val="32"/>
          <w:szCs w:val="32"/>
        </w:rPr>
        <w:t>公用经费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119.54</w:t>
      </w:r>
      <w:r>
        <w:rPr>
          <w:rFonts w:hint="eastAsia" w:ascii="仿宋" w:hAnsi="仿宋" w:eastAsia="仿宋" w:cs="仿宋"/>
          <w:sz w:val="32"/>
          <w:szCs w:val="32"/>
        </w:rPr>
        <w:t>万元，占基本支出的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29.05</w:t>
      </w:r>
      <w:r>
        <w:rPr>
          <w:rFonts w:hint="eastAsia" w:ascii="仿宋" w:hAnsi="仿宋" w:eastAsia="仿宋" w:cs="仿宋"/>
          <w:sz w:val="32"/>
          <w:szCs w:val="32"/>
        </w:rPr>
        <w:t>%，主要包括办公费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10万元</w:t>
      </w:r>
      <w:r>
        <w:rPr>
          <w:rFonts w:hint="eastAsia" w:ascii="仿宋" w:hAnsi="仿宋" w:eastAsia="仿宋" w:cs="仿宋"/>
          <w:sz w:val="32"/>
          <w:szCs w:val="32"/>
        </w:rPr>
        <w:t>、印刷费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15万元</w:t>
      </w:r>
      <w:r>
        <w:rPr>
          <w:rFonts w:hint="eastAsia" w:ascii="仿宋" w:hAnsi="仿宋" w:eastAsia="仿宋" w:cs="仿宋"/>
          <w:sz w:val="32"/>
          <w:szCs w:val="32"/>
        </w:rPr>
        <w:t>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水费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万元、电费2万元、邮电费0.15万元、差旅费9万元、维修（护）费1.22万元、会议费1.04万元、培训费1.1万元、公务接待费0.25万元、劳务费8万元、工会经费5万元、其他交通费用22.42万元、其他商品和服务支出22.42万元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委托业务费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2.39万元。奖金53.73万元，其他对个人和家庭的补助0.54万元。</w:t>
      </w:r>
    </w:p>
    <w:p>
      <w:pPr>
        <w:shd w:val="clear" w:color="auto" w:fill="auto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综上我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eastAsia="zh-CN"/>
        </w:rPr>
        <w:t>局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履职完成情况与财政拨款金额基本匹配，较</w:t>
      </w:r>
    </w:p>
    <w:p>
      <w:pPr>
        <w:shd w:val="clear" w:color="auto" w:fill="auto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好地履行了部门职责，部门整体支出绩效自评得分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90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 xml:space="preserve"> 分。</w:t>
      </w:r>
    </w:p>
    <w:p>
      <w:pPr>
        <w:shd w:val="clear" w:color="auto" w:fill="auto"/>
        <w:ind w:firstLine="640" w:firstLineChars="200"/>
        <w:rPr>
          <w:rFonts w:hint="eastAsia" w:ascii="宋体" w:hAnsi="宋体" w:eastAsia="宋体" w:cs="宋体"/>
          <w:b w:val="0"/>
          <w:bCs w:val="0"/>
          <w:color w:val="000000"/>
          <w:sz w:val="32"/>
          <w:szCs w:val="32"/>
          <w:highlight w:val="none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32"/>
          <w:szCs w:val="32"/>
          <w:highlight w:val="none"/>
        </w:rPr>
        <w:t>(二)项目支出绩效自评</w:t>
      </w:r>
    </w:p>
    <w:p>
      <w:pPr>
        <w:shd w:val="clear" w:color="auto" w:fill="auto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根据预算绩效管理要求，本部门组织对2022年一般公 共预算项目支出全面开展绩效自评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其中，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eastAsia="zh-CN"/>
        </w:rPr>
        <w:t>专项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项目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个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共涉及资金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134.76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万元，占一般公共预算项目支出总额的100%。</w:t>
      </w:r>
    </w:p>
    <w:p>
      <w:pPr>
        <w:shd w:val="clear" w:color="auto" w:fill="auto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2022年无政府性基金项目支出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eastAsia="zh-CN"/>
        </w:rPr>
        <w:t>。</w:t>
      </w:r>
    </w:p>
    <w:p>
      <w:pPr>
        <w:shd w:val="clear" w:color="auto" w:fill="auto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2022年无国有资本经营项目支出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eastAsia="zh-CN"/>
        </w:rPr>
        <w:t>。</w:t>
      </w:r>
    </w:p>
    <w:p>
      <w:pPr>
        <w:numPr>
          <w:ilvl w:val="0"/>
          <w:numId w:val="1"/>
        </w:numPr>
        <w:shd w:val="clear" w:color="auto" w:fill="auto"/>
        <w:ind w:firstLine="640" w:firstLineChars="200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项目支出情况</w:t>
      </w:r>
    </w:p>
    <w:p>
      <w:pPr>
        <w:numPr>
          <w:ilvl w:val="0"/>
          <w:numId w:val="0"/>
        </w:numPr>
        <w:shd w:val="clear" w:color="auto" w:fill="auto"/>
        <w:ind w:firstLine="640" w:firstLineChars="200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本年度项目支出为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134.76万元，分别为：少数民族运动会及民族团结创建经费51.6万元，茅坪乡竹珂村木耳产业37.22万元，民贸民品贷款贴息45.47万元，义务教育助学金0.47万元。</w:t>
      </w:r>
    </w:p>
    <w:p>
      <w:pPr>
        <w:shd w:val="clear" w:color="auto" w:fill="auto"/>
        <w:ind w:firstLine="640" w:firstLineChars="200"/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</w:rPr>
        <w:t>三、部门预算绩效管理主要经验及做法</w:t>
      </w:r>
    </w:p>
    <w:p>
      <w:pPr>
        <w:shd w:val="clear" w:color="auto" w:fill="auto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1、树立预算绩效管理理念。</w:t>
      </w:r>
    </w:p>
    <w:p>
      <w:pPr>
        <w:shd w:val="clear" w:color="auto" w:fill="auto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2、营造预算绩效管理良好的制度环境。</w:t>
      </w:r>
    </w:p>
    <w:p>
      <w:pPr>
        <w:shd w:val="clear" w:color="auto" w:fill="auto"/>
        <w:ind w:firstLine="640" w:firstLineChars="200"/>
        <w:rPr>
          <w:rFonts w:hint="default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3、培养专业绩效评价人才。</w:t>
      </w:r>
    </w:p>
    <w:p>
      <w:pPr>
        <w:shd w:val="clear" w:color="auto" w:fill="auto"/>
        <w:ind w:firstLine="640" w:firstLineChars="200"/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</w:rPr>
        <w:t>四、预算绩效管理存在的问题及改进措施</w:t>
      </w:r>
    </w:p>
    <w:p>
      <w:pPr>
        <w:pStyle w:val="2"/>
        <w:ind w:firstLine="640" w:firstLineChars="200"/>
        <w:rPr>
          <w:rFonts w:hint="eastAsia" w:eastAsia="黑体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  <w:highlight w:val="none"/>
          <w:lang w:eastAsia="zh-CN"/>
        </w:rPr>
        <w:t>问题</w:t>
      </w:r>
    </w:p>
    <w:p>
      <w:pPr>
        <w:shd w:val="clear" w:color="auto" w:fill="auto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（一）预算绩效管理的重要性认识不足。加强预算绩效管理理念虽然已是普遍共识，但对该项工作重要性的认识程度还存在显著差异。一是各部门对待工作的态度冷热不均。业务部门对开展绩效评价无积极性，财务部门对绩效评价结果运用无从下手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eastAsia="zh-CN"/>
        </w:rPr>
        <w:t>二是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绩效评价成为相关部门的附加工作，工作认可度低，工作价值无法体现，实施效果不佳。</w:t>
      </w:r>
    </w:p>
    <w:p>
      <w:pPr>
        <w:shd w:val="clear" w:color="auto" w:fill="auto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（二）预算绩效管理的组织实施统筹不够。目前组织实施存在普遍性问题：一是缺乏统筹协调，主体责任难落实。财务部门和业务部门扮演的角色不清晰，未形成管理合力。二是专业人员有限，工作开展不深入。绝大多数预算单位没有专门设立预算绩效管理机构、无相应编制，而且内部挖潜不足、再分工力度不够，导致绩效管理人手非常吃紧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根本没有足够精力开展绩效自评。不统筹解决好组织实施问题，绩效评价工作难以真正下沉到资金使用终端。</w:t>
      </w:r>
    </w:p>
    <w:p>
      <w:pPr>
        <w:shd w:val="clear" w:color="auto" w:fill="auto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（三）预算绩效评价的技术能力亟需提升。当前，在绩效评价技术能力方面也还存在短板：一是绩效指标设计的合理性有待提高。这是影响后续绩效评价工作质量的源头性问题。二是绩效评价力量的专业性有待加强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亟需培训内部专业力量、增进外部行业实力。</w:t>
      </w:r>
    </w:p>
    <w:p>
      <w:pPr>
        <w:shd w:val="clear" w:color="auto" w:fill="auto"/>
        <w:ind w:firstLine="640" w:firstLineChars="200"/>
        <w:rPr>
          <w:rFonts w:hint="eastAsia" w:ascii="黑体" w:hAnsi="黑体" w:eastAsia="黑体" w:cs="黑体"/>
          <w:color w:val="000000"/>
          <w:sz w:val="32"/>
          <w:szCs w:val="32"/>
          <w:highlight w:val="none"/>
          <w:lang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highlight w:val="none"/>
          <w:lang w:eastAsia="zh-CN"/>
        </w:rPr>
        <w:t>改进措施</w:t>
      </w:r>
    </w:p>
    <w:p>
      <w:pPr>
        <w:shd w:val="clear" w:color="auto" w:fill="auto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eastAsia="zh-CN"/>
        </w:rPr>
        <w:t>（一）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完善法律法规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包括预算管理制度、内部控制制度和绩效考评管理制度等，建立一体化制度体系，优化管理流程，为更好地完成绩效评价工作奠定良好的保障基础。</w:t>
      </w:r>
    </w:p>
    <w:p>
      <w:pPr>
        <w:shd w:val="clear" w:color="auto" w:fill="auto"/>
        <w:ind w:firstLine="640" w:firstLineChars="200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（二）强化绩效管理意识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绩效评价收集到的基础数据的真实性，是绩效评价的生命线。在绩效评价过程中积极采取措施，重视样本数据对评价准确性支撑作用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eastAsia="zh-CN"/>
        </w:rPr>
        <w:t>。</w:t>
      </w:r>
    </w:p>
    <w:p>
      <w:pPr>
        <w:shd w:val="clear" w:color="auto" w:fill="auto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</w:rPr>
        <w:t>（三）完善绩效评价机制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eastAsia="zh-CN"/>
        </w:rPr>
        <w:t>，绩效管理工作形成的绩效目</w:t>
      </w:r>
    </w:p>
    <w:p>
      <w:pPr>
        <w:rPr>
          <w:rFonts w:hint="eastAsia" w:eastAsia="宋体"/>
          <w:lang w:eastAsia="zh-CN"/>
        </w:rPr>
      </w:pP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5571490" cy="8695690"/>
            <wp:effectExtent l="0" t="0" r="10160" b="10160"/>
            <wp:docPr id="2" name="图片 2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 001"/>
                    <pic:cNvPicPr>
                      <a:picLocks noChangeAspect="1"/>
                    </pic:cNvPicPr>
                  </pic:nvPicPr>
                  <pic:blipFill>
                    <a:blip r:embed="rId4"/>
                    <a:srcRect l="11775" t="8092" r="13024" b="6004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869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0E8FC1E-7B92-4B20-B8EA-6A9E5A7D7379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2" w:fontKey="{D1412E8E-C686-4126-8394-17681BC69CA7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488C298C-C753-415C-AEAD-BB550636FBEF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4" w:fontKey="{09996C3C-C6B9-488B-87E1-C4F4253E518F}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5" w:fontKey="{3F1CBCFC-3E8E-41A5-BD66-32A70D1FFC7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8A18DC6A-68FA-4A6F-8210-D38A918B749D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602DB50"/>
    <w:multiLevelType w:val="singleLevel"/>
    <w:tmpl w:val="3602DB50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saveSubsetFonts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VkYmYwY2YzZjMyOTU3MTM4NjI5ZDg3NGFlNjdlMDIifQ=="/>
  </w:docVars>
  <w:rsids>
    <w:rsidRoot w:val="120B1CC5"/>
    <w:rsid w:val="113E3FDC"/>
    <w:rsid w:val="120B1CC5"/>
    <w:rsid w:val="1C0879E9"/>
    <w:rsid w:val="466376CF"/>
    <w:rsid w:val="7577036C"/>
    <w:rsid w:val="780C796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文字 + 首行缩进:  2 字符3"/>
    <w:basedOn w:val="1"/>
    <w:qFormat/>
    <w:uiPriority w:val="0"/>
    <w:pPr>
      <w:spacing w:line="360" w:lineRule="auto"/>
      <w:jc w:val="left"/>
    </w:pPr>
    <w:rPr>
      <w:sz w:val="28"/>
      <w:szCs w:val="2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6">
    <w:name w:val="列出段落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paragraph" w:customStyle="1" w:styleId="7">
    <w:name w:val="Default"/>
    <w:qFormat/>
    <w:uiPriority w:val="0"/>
    <w:pPr>
      <w:widowControl w:val="0"/>
      <w:autoSpaceDE w:val="0"/>
      <w:autoSpaceDN w:val="0"/>
      <w:adjustRightInd w:val="0"/>
    </w:pPr>
    <w:rPr>
      <w:rFonts w:ascii="黑体" w:hAnsi="Calibri" w:eastAsia="黑体" w:cs="黑体"/>
      <w:color w:val="000000"/>
      <w:kern w:val="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2033</Words>
  <Characters>2232</Characters>
  <Lines>0</Lines>
  <Paragraphs>0</Paragraphs>
  <TotalTime>3</TotalTime>
  <ScaleCrop>false</ScaleCrop>
  <LinksUpToDate>false</LinksUpToDate>
  <CharactersWithSpaces>2319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2023-06-27T08:17:00Z</dcterms:created>
  <dc:creator>Miss Huang</dc:creator>
  <cp:lastModifiedBy>Miss Huang</cp:lastModifiedBy>
  <dcterms:modified xsi:type="dcterms:W3CDTF">2023-06-29T08:51:21Z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ADBF163C70844C049D622386EC44FCB7_13</vt:lpwstr>
  </property>
</Properties>
</file>