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65855">
      <w:pPr>
        <w:keepNext w:val="0"/>
        <w:keepLines w:val="0"/>
        <w:pageBreakBefore w:val="0"/>
        <w:shd w:val="clear" w:color="auto" w:fill="auto"/>
        <w:wordWrap/>
        <w:overflowPunct/>
        <w:topLinePunct w:val="0"/>
        <w:bidi w:val="0"/>
        <w:spacing w:line="560" w:lineRule="exact"/>
        <w:jc w:val="center"/>
        <w:rPr>
          <w:rFonts w:hint="eastAsia" w:ascii="方正小标宋简体" w:hAnsi="方正小标宋简体" w:eastAsia="方正小标宋简体" w:cs="方正小标宋简体"/>
          <w:b w:val="0"/>
          <w:bCs w:val="0"/>
          <w:color w:val="000000"/>
          <w:sz w:val="44"/>
          <w:szCs w:val="44"/>
          <w:highlight w:val="none"/>
        </w:rPr>
      </w:pPr>
      <w:bookmarkStart w:id="0" w:name="_GoBack"/>
      <w:bookmarkEnd w:id="0"/>
      <w:r>
        <w:rPr>
          <w:rFonts w:hint="eastAsia" w:ascii="方正小标宋简体" w:hAnsi="方正小标宋简体" w:eastAsia="方正小标宋简体" w:cs="方正小标宋简体"/>
          <w:b w:val="0"/>
          <w:bCs w:val="0"/>
          <w:color w:val="000000"/>
          <w:sz w:val="44"/>
          <w:szCs w:val="44"/>
          <w:highlight w:val="none"/>
        </w:rPr>
        <w:t>龙山县里耶管理区管理委员会</w:t>
      </w:r>
    </w:p>
    <w:p w14:paraId="31E76AB9">
      <w:pPr>
        <w:keepNext w:val="0"/>
        <w:keepLines w:val="0"/>
        <w:pageBreakBefore w:val="0"/>
        <w:shd w:val="clear" w:color="auto" w:fill="auto"/>
        <w:wordWrap/>
        <w:overflowPunct/>
        <w:topLinePunct w:val="0"/>
        <w:bidi w:val="0"/>
        <w:spacing w:line="560" w:lineRule="exact"/>
        <w:jc w:val="center"/>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rPr>
        <w:t>202</w:t>
      </w:r>
      <w:r>
        <w:rPr>
          <w:rFonts w:hint="eastAsia" w:ascii="方正小标宋简体" w:hAnsi="方正小标宋简体" w:eastAsia="方正小标宋简体" w:cs="方正小标宋简体"/>
          <w:b w:val="0"/>
          <w:bCs w:val="0"/>
          <w:color w:val="000000"/>
          <w:sz w:val="44"/>
          <w:szCs w:val="44"/>
          <w:highlight w:val="none"/>
          <w:lang w:val="en-US" w:eastAsia="zh-CN"/>
        </w:rPr>
        <w:t>3</w:t>
      </w:r>
      <w:r>
        <w:rPr>
          <w:rFonts w:hint="eastAsia" w:ascii="方正小标宋简体" w:hAnsi="方正小标宋简体" w:eastAsia="方正小标宋简体" w:cs="方正小标宋简体"/>
          <w:b w:val="0"/>
          <w:bCs w:val="0"/>
          <w:color w:val="000000"/>
          <w:sz w:val="44"/>
          <w:szCs w:val="44"/>
          <w:highlight w:val="none"/>
        </w:rPr>
        <w:t>年部门整体支出绩效自评报告</w:t>
      </w:r>
    </w:p>
    <w:p w14:paraId="4D90366E">
      <w:pPr>
        <w:keepNext w:val="0"/>
        <w:keepLines w:val="0"/>
        <w:pageBreakBefore w:val="0"/>
        <w:shd w:val="clear" w:color="auto" w:fill="auto"/>
        <w:wordWrap/>
        <w:overflowPunct/>
        <w:topLinePunct w:val="0"/>
        <w:bidi w:val="0"/>
        <w:spacing w:line="560" w:lineRule="exact"/>
        <w:jc w:val="both"/>
        <w:rPr>
          <w:rFonts w:hint="eastAsia" w:ascii="方正小标宋简体" w:hAnsi="方正小标宋简体" w:eastAsia="方正小标宋简体" w:cs="方正小标宋简体"/>
          <w:b w:val="0"/>
          <w:bCs w:val="0"/>
          <w:color w:val="000000"/>
          <w:sz w:val="44"/>
          <w:szCs w:val="44"/>
          <w:highlight w:val="none"/>
        </w:rPr>
      </w:pPr>
    </w:p>
    <w:p w14:paraId="46F061D9">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为真实准确反映我部门</w:t>
      </w: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年度财政拨款资金使用效益，进一步提高预算绩效管理水平。按照《</w:t>
      </w:r>
      <w:r>
        <w:rPr>
          <w:rFonts w:hint="eastAsia" w:ascii="仿宋_GB2312" w:hAnsi="仿宋_GB2312" w:eastAsia="仿宋_GB2312" w:cs="仿宋_GB2312"/>
          <w:color w:val="000000"/>
          <w:sz w:val="32"/>
          <w:szCs w:val="32"/>
          <w:highlight w:val="none"/>
          <w:lang w:val="en-US" w:eastAsia="zh-CN"/>
        </w:rPr>
        <w:t>龙山</w:t>
      </w:r>
      <w:r>
        <w:rPr>
          <w:rFonts w:hint="eastAsia" w:ascii="仿宋_GB2312" w:hAnsi="仿宋_GB2312" w:eastAsia="仿宋_GB2312" w:cs="仿宋_GB2312"/>
          <w:color w:val="000000"/>
          <w:sz w:val="32"/>
          <w:szCs w:val="32"/>
          <w:highlight w:val="none"/>
        </w:rPr>
        <w:t>县财政局关于开展202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年度部门</w:t>
      </w:r>
      <w:r>
        <w:rPr>
          <w:rFonts w:hint="eastAsia" w:ascii="仿宋_GB2312" w:hAnsi="仿宋_GB2312" w:eastAsia="仿宋_GB2312" w:cs="仿宋_GB2312"/>
          <w:color w:val="000000"/>
          <w:sz w:val="32"/>
          <w:szCs w:val="32"/>
          <w:highlight w:val="none"/>
          <w:lang w:eastAsia="zh-CN"/>
        </w:rPr>
        <w:t>预算</w:t>
      </w:r>
      <w:r>
        <w:rPr>
          <w:rFonts w:hint="eastAsia" w:ascii="仿宋_GB2312" w:hAnsi="仿宋_GB2312" w:eastAsia="仿宋_GB2312" w:cs="仿宋_GB2312"/>
          <w:color w:val="000000"/>
          <w:sz w:val="32"/>
          <w:szCs w:val="32"/>
          <w:highlight w:val="none"/>
        </w:rPr>
        <w:t>支出绩效自评工作的通知》</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lang w:val="en-US" w:eastAsia="zh-CN"/>
        </w:rPr>
        <w:t>龙山</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lang w:val="en-US" w:eastAsia="zh-CN"/>
        </w:rPr>
        <w:t>预算</w:t>
      </w:r>
      <w:r>
        <w:rPr>
          <w:rFonts w:hint="eastAsia" w:ascii="仿宋_GB2312" w:hAnsi="仿宋_GB2312" w:eastAsia="仿宋_GB2312" w:cs="仿宋_GB2312"/>
          <w:color w:val="000000"/>
          <w:sz w:val="32"/>
          <w:szCs w:val="32"/>
          <w:highlight w:val="none"/>
          <w:lang w:eastAsia="zh-CN"/>
        </w:rPr>
        <w:t>支出绩效</w:t>
      </w:r>
      <w:r>
        <w:rPr>
          <w:rFonts w:hint="eastAsia" w:ascii="仿宋_GB2312" w:hAnsi="仿宋_GB2312" w:eastAsia="仿宋_GB2312" w:cs="仿宋_GB2312"/>
          <w:color w:val="000000"/>
          <w:sz w:val="32"/>
          <w:szCs w:val="32"/>
          <w:highlight w:val="none"/>
          <w:lang w:val="en-US" w:eastAsia="zh-CN"/>
        </w:rPr>
        <w:t>评价管理办法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龙政办</w:t>
      </w:r>
      <w:r>
        <w:rPr>
          <w:rFonts w:hint="eastAsia" w:ascii="仿宋_GB2312" w:hAnsi="仿宋_GB2312" w:eastAsia="仿宋_GB2312" w:cs="仿宋_GB2312"/>
          <w:color w:val="000000"/>
          <w:sz w:val="32"/>
          <w:szCs w:val="32"/>
          <w:highlight w:val="none"/>
          <w:lang w:eastAsia="zh-CN"/>
        </w:rPr>
        <w:t>发</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27</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文件</w:t>
      </w:r>
      <w:r>
        <w:rPr>
          <w:rFonts w:hint="eastAsia" w:ascii="仿宋_GB2312" w:hAnsi="仿宋_GB2312" w:eastAsia="仿宋_GB2312" w:cs="仿宋_GB2312"/>
          <w:color w:val="000000"/>
          <w:spacing w:val="13"/>
          <w:sz w:val="32"/>
          <w:szCs w:val="32"/>
          <w:highlight w:val="none"/>
        </w:rPr>
        <w:t>要求</w:t>
      </w:r>
      <w:r>
        <w:rPr>
          <w:rFonts w:hint="eastAsia" w:ascii="仿宋_GB2312" w:hAnsi="仿宋_GB2312" w:eastAsia="仿宋_GB2312" w:cs="仿宋_GB2312"/>
          <w:color w:val="000000"/>
          <w:spacing w:val="13"/>
          <w:sz w:val="32"/>
          <w:szCs w:val="32"/>
          <w:highlight w:val="none"/>
          <w:lang w:eastAsia="zh-CN"/>
        </w:rPr>
        <w:t>，</w:t>
      </w:r>
      <w:r>
        <w:rPr>
          <w:rFonts w:hint="eastAsia" w:ascii="仿宋_GB2312" w:hAnsi="仿宋_GB2312" w:eastAsia="仿宋_GB2312" w:cs="仿宋_GB2312"/>
          <w:color w:val="000000"/>
          <w:spacing w:val="13"/>
          <w:sz w:val="32"/>
          <w:szCs w:val="32"/>
          <w:highlight w:val="none"/>
        </w:rPr>
        <w:t>现将我部门202</w:t>
      </w:r>
      <w:r>
        <w:rPr>
          <w:rFonts w:hint="eastAsia" w:ascii="仿宋_GB2312" w:hAnsi="仿宋_GB2312" w:eastAsia="仿宋_GB2312" w:cs="仿宋_GB2312"/>
          <w:color w:val="000000"/>
          <w:spacing w:val="13"/>
          <w:sz w:val="32"/>
          <w:szCs w:val="32"/>
          <w:highlight w:val="none"/>
          <w:lang w:val="en-US" w:eastAsia="zh-CN"/>
        </w:rPr>
        <w:t>3</w:t>
      </w:r>
      <w:r>
        <w:rPr>
          <w:rFonts w:hint="eastAsia" w:ascii="仿宋_GB2312" w:hAnsi="仿宋_GB2312" w:eastAsia="仿宋_GB2312" w:cs="仿宋_GB2312"/>
          <w:color w:val="000000"/>
          <w:spacing w:val="13"/>
          <w:sz w:val="32"/>
          <w:szCs w:val="32"/>
          <w:highlight w:val="none"/>
        </w:rPr>
        <w:t>年度</w:t>
      </w:r>
      <w:r>
        <w:rPr>
          <w:rFonts w:hint="eastAsia" w:ascii="仿宋_GB2312" w:hAnsi="仿宋_GB2312" w:eastAsia="仿宋_GB2312" w:cs="仿宋_GB2312"/>
          <w:color w:val="000000"/>
          <w:sz w:val="32"/>
          <w:szCs w:val="32"/>
          <w:highlight w:val="none"/>
          <w:lang w:eastAsia="zh-CN"/>
        </w:rPr>
        <w:t>部门整体</w:t>
      </w:r>
      <w:r>
        <w:rPr>
          <w:rFonts w:hint="eastAsia" w:ascii="仿宋_GB2312" w:hAnsi="仿宋_GB2312" w:eastAsia="仿宋_GB2312" w:cs="仿宋_GB2312"/>
          <w:color w:val="000000"/>
          <w:sz w:val="32"/>
          <w:szCs w:val="32"/>
          <w:highlight w:val="none"/>
        </w:rPr>
        <w:t>支出</w:t>
      </w:r>
      <w:r>
        <w:rPr>
          <w:rFonts w:hint="eastAsia" w:ascii="仿宋_GB2312" w:hAnsi="仿宋_GB2312" w:eastAsia="仿宋_GB2312" w:cs="仿宋_GB2312"/>
          <w:color w:val="000000"/>
          <w:spacing w:val="-7"/>
          <w:sz w:val="32"/>
          <w:szCs w:val="32"/>
          <w:highlight w:val="none"/>
        </w:rPr>
        <w:t>绩效自评情况</w:t>
      </w:r>
      <w:r>
        <w:rPr>
          <w:rFonts w:hint="eastAsia" w:ascii="仿宋_GB2312" w:hAnsi="仿宋_GB2312" w:eastAsia="仿宋_GB2312" w:cs="仿宋_GB2312"/>
          <w:color w:val="000000"/>
          <w:spacing w:val="-7"/>
          <w:sz w:val="32"/>
          <w:szCs w:val="32"/>
          <w:highlight w:val="none"/>
          <w:lang w:eastAsia="zh-CN"/>
        </w:rPr>
        <w:t>报告</w:t>
      </w:r>
      <w:r>
        <w:rPr>
          <w:rFonts w:hint="eastAsia" w:ascii="仿宋_GB2312" w:hAnsi="仿宋_GB2312" w:eastAsia="仿宋_GB2312" w:cs="仿宋_GB2312"/>
          <w:color w:val="000000"/>
          <w:spacing w:val="-7"/>
          <w:sz w:val="32"/>
          <w:szCs w:val="32"/>
          <w:highlight w:val="none"/>
        </w:rPr>
        <w:t>如下：</w:t>
      </w:r>
    </w:p>
    <w:p w14:paraId="43271D54">
      <w:pPr>
        <w:keepNext w:val="0"/>
        <w:keepLines w:val="0"/>
        <w:pageBreakBefore w:val="0"/>
        <w:widowControl w:val="0"/>
        <w:numPr>
          <w:ilvl w:val="0"/>
          <w:numId w:val="1"/>
        </w:numPr>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资金拨付及执行情况</w:t>
      </w:r>
    </w:p>
    <w:p w14:paraId="2428B095">
      <w:pPr>
        <w:keepNext w:val="0"/>
        <w:keepLines w:val="0"/>
        <w:pageBreakBefore w:val="0"/>
        <w:widowControl w:val="0"/>
        <w:numPr>
          <w:ilvl w:val="0"/>
          <w:numId w:val="0"/>
        </w:numPr>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年我部门年初预算批复数1266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22万元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全年预算数34</w:t>
      </w:r>
      <w:r>
        <w:rPr>
          <w:rFonts w:hint="eastAsia" w:ascii="仿宋_GB2312" w:hAnsi="仿宋_GB2312" w:eastAsia="仿宋_GB2312" w:cs="仿宋_GB2312"/>
          <w:color w:val="000000"/>
          <w:sz w:val="32"/>
          <w:szCs w:val="32"/>
          <w:highlight w:val="none"/>
          <w:lang w:val="en-US" w:eastAsia="zh-CN"/>
        </w:rPr>
        <w:t>79.</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年终决算数34</w:t>
      </w:r>
      <w:r>
        <w:rPr>
          <w:rFonts w:hint="eastAsia" w:ascii="仿宋_GB2312" w:hAnsi="仿宋_GB2312" w:eastAsia="仿宋_GB2312" w:cs="仿宋_GB2312"/>
          <w:color w:val="000000"/>
          <w:sz w:val="32"/>
          <w:szCs w:val="32"/>
          <w:highlight w:val="none"/>
          <w:lang w:val="en-US" w:eastAsia="zh-CN"/>
        </w:rPr>
        <w:t>79.</w:t>
      </w:r>
      <w:r>
        <w:rPr>
          <w:rFonts w:hint="eastAsia" w:ascii="仿宋_GB2312" w:hAnsi="仿宋_GB2312" w:eastAsia="仿宋_GB2312" w:cs="仿宋_GB2312"/>
          <w:color w:val="000000"/>
          <w:sz w:val="32"/>
          <w:szCs w:val="32"/>
          <w:highlight w:val="none"/>
        </w:rPr>
        <w:t>13万元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预算总体执行率为100%。其中，基本支出111</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76万元，项目支出236</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按照绩效自评全覆盖原则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本次绩效自评金额共计34</w:t>
      </w:r>
      <w:r>
        <w:rPr>
          <w:rFonts w:hint="eastAsia" w:ascii="仿宋_GB2312" w:hAnsi="仿宋_GB2312" w:eastAsia="仿宋_GB2312" w:cs="仿宋_GB2312"/>
          <w:color w:val="000000"/>
          <w:sz w:val="32"/>
          <w:szCs w:val="32"/>
          <w:highlight w:val="none"/>
          <w:lang w:val="en-US" w:eastAsia="zh-CN"/>
        </w:rPr>
        <w:t>79.</w:t>
      </w:r>
      <w:r>
        <w:rPr>
          <w:rFonts w:hint="eastAsia" w:ascii="仿宋_GB2312" w:hAnsi="仿宋_GB2312" w:eastAsia="仿宋_GB2312" w:cs="仿宋_GB2312"/>
          <w:color w:val="000000"/>
          <w:sz w:val="32"/>
          <w:szCs w:val="32"/>
          <w:highlight w:val="none"/>
        </w:rPr>
        <w:t>13万元。</w:t>
      </w:r>
    </w:p>
    <w:p w14:paraId="28C1AC21">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二、绩效自评情况</w:t>
      </w:r>
    </w:p>
    <w:p w14:paraId="591CC569">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一</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部门整体支出绩效目标完成情况</w:t>
      </w:r>
    </w:p>
    <w:p w14:paraId="5104C03F">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为顺利完成年初部门总体绩效目标，我部门重点完成了以下工作：</w:t>
      </w:r>
    </w:p>
    <w:p w14:paraId="4A3636E8">
      <w:pPr>
        <w:spacing w:line="560" w:lineRule="exact"/>
        <w:ind w:firstLine="640" w:firstLineChars="200"/>
        <w:jc w:val="both"/>
        <w:rPr>
          <w:rFonts w:hint="eastAsia" w:ascii="楷体_GB2312" w:hAnsi="仿宋_GB2312" w:eastAsia="楷体_GB2312" w:cs="仿宋_GB2312"/>
          <w:b w:val="0"/>
          <w:bCs w:val="0"/>
          <w:sz w:val="32"/>
          <w:szCs w:val="32"/>
          <w:lang w:eastAsia="zh-CN"/>
        </w:rPr>
      </w:pPr>
      <w:r>
        <w:rPr>
          <w:rFonts w:hint="eastAsia" w:ascii="楷体_GB2312" w:hAnsi="仿宋_GB2312" w:eastAsia="楷体_GB2312" w:cs="仿宋_GB2312"/>
          <w:b w:val="0"/>
          <w:bCs w:val="0"/>
          <w:sz w:val="32"/>
          <w:szCs w:val="32"/>
          <w:lang w:val="en-US" w:eastAsia="zh-CN"/>
        </w:rPr>
        <w:t>1、</w:t>
      </w:r>
      <w:r>
        <w:rPr>
          <w:rFonts w:hint="eastAsia" w:ascii="楷体_GB2312" w:hAnsi="仿宋_GB2312" w:eastAsia="楷体_GB2312" w:cs="仿宋_GB2312"/>
          <w:b w:val="0"/>
          <w:bCs w:val="0"/>
          <w:sz w:val="32"/>
          <w:szCs w:val="32"/>
        </w:rPr>
        <w:t>项目建设</w:t>
      </w:r>
      <w:r>
        <w:rPr>
          <w:rFonts w:hint="eastAsia" w:ascii="楷体_GB2312" w:hAnsi="仿宋_GB2312" w:eastAsia="楷体_GB2312" w:cs="仿宋_GB2312"/>
          <w:b w:val="0"/>
          <w:bCs w:val="0"/>
          <w:sz w:val="32"/>
          <w:szCs w:val="32"/>
          <w:lang w:eastAsia="zh-CN"/>
        </w:rPr>
        <w:t>有了新变化</w:t>
      </w:r>
    </w:p>
    <w:p w14:paraId="0D43D793">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一是里耶古城遗址展示区展示工程，项目总投资4</w:t>
      </w:r>
      <w:r>
        <w:rPr>
          <w:rFonts w:ascii="仿宋_GB2312" w:hAnsi="仿宋_GB2312" w:eastAsia="仿宋_GB2312" w:cs="仿宋_GB2312"/>
          <w:b w:val="0"/>
          <w:bCs w:val="0"/>
          <w:sz w:val="32"/>
          <w:szCs w:val="32"/>
        </w:rPr>
        <w:t>504.8</w:t>
      </w:r>
      <w:r>
        <w:rPr>
          <w:rFonts w:hint="eastAsia" w:ascii="仿宋_GB2312" w:hAnsi="仿宋_GB2312" w:eastAsia="仿宋_GB2312" w:cs="仿宋_GB2312"/>
          <w:b w:val="0"/>
          <w:bCs w:val="0"/>
          <w:sz w:val="32"/>
          <w:szCs w:val="32"/>
        </w:rPr>
        <w:t>万元，资金来源为文物专项。该项目旨在提高里耶古城遗址展示效果，进一步推动文旅融合。项目于2</w:t>
      </w:r>
      <w:r>
        <w:rPr>
          <w:rFonts w:ascii="仿宋_GB2312" w:hAnsi="仿宋_GB2312" w:eastAsia="仿宋_GB2312" w:cs="仿宋_GB2312"/>
          <w:b w:val="0"/>
          <w:bCs w:val="0"/>
          <w:sz w:val="32"/>
          <w:szCs w:val="32"/>
        </w:rPr>
        <w:t>023</w:t>
      </w:r>
      <w:r>
        <w:rPr>
          <w:rFonts w:hint="eastAsia" w:ascii="仿宋_GB2312" w:hAnsi="仿宋_GB2312" w:eastAsia="仿宋_GB2312" w:cs="仿宋_GB2312"/>
          <w:b w:val="0"/>
          <w:bCs w:val="0"/>
          <w:sz w:val="32"/>
          <w:szCs w:val="32"/>
        </w:rPr>
        <w:t>年6月开工建设，预计2</w:t>
      </w:r>
      <w:r>
        <w:rPr>
          <w:rFonts w:ascii="仿宋_GB2312" w:hAnsi="仿宋_GB2312" w:eastAsia="仿宋_GB2312" w:cs="仿宋_GB2312"/>
          <w:b w:val="0"/>
          <w:bCs w:val="0"/>
          <w:sz w:val="32"/>
          <w:szCs w:val="32"/>
        </w:rPr>
        <w:t>024</w:t>
      </w:r>
      <w:r>
        <w:rPr>
          <w:rFonts w:hint="eastAsia" w:ascii="仿宋_GB2312" w:hAnsi="仿宋_GB2312" w:eastAsia="仿宋_GB2312" w:cs="仿宋_GB2312"/>
          <w:b w:val="0"/>
          <w:bCs w:val="0"/>
          <w:sz w:val="32"/>
          <w:szCs w:val="32"/>
        </w:rPr>
        <w:t>年6月可以建成投产。二是里耶古城遗址一号井保护前期勘察项目，项目总投资1</w:t>
      </w:r>
      <w:r>
        <w:rPr>
          <w:rFonts w:ascii="仿宋_GB2312" w:hAnsi="仿宋_GB2312" w:eastAsia="仿宋_GB2312" w:cs="仿宋_GB2312"/>
          <w:b w:val="0"/>
          <w:bCs w:val="0"/>
          <w:sz w:val="32"/>
          <w:szCs w:val="32"/>
        </w:rPr>
        <w:t>38.8</w:t>
      </w:r>
      <w:r>
        <w:rPr>
          <w:rFonts w:hint="eastAsia" w:ascii="仿宋_GB2312" w:hAnsi="仿宋_GB2312" w:eastAsia="仿宋_GB2312" w:cs="仿宋_GB2312"/>
          <w:b w:val="0"/>
          <w:bCs w:val="0"/>
          <w:sz w:val="32"/>
          <w:szCs w:val="32"/>
        </w:rPr>
        <w:t>万元。该项目旨在加强考古资料的整理和专项水文、地质勘察，在此基础上更好的对1号井的保护进行研体具体技术路线和保护措施。项目于2</w:t>
      </w:r>
      <w:r>
        <w:rPr>
          <w:rFonts w:ascii="仿宋_GB2312" w:hAnsi="仿宋_GB2312" w:eastAsia="仿宋_GB2312" w:cs="仿宋_GB2312"/>
          <w:b w:val="0"/>
          <w:bCs w:val="0"/>
          <w:sz w:val="32"/>
          <w:szCs w:val="32"/>
        </w:rPr>
        <w:t>023</w:t>
      </w:r>
      <w:r>
        <w:rPr>
          <w:rFonts w:hint="eastAsia" w:ascii="仿宋_GB2312" w:hAnsi="仿宋_GB2312" w:eastAsia="仿宋_GB2312" w:cs="仿宋_GB2312"/>
          <w:b w:val="0"/>
          <w:bCs w:val="0"/>
          <w:sz w:val="32"/>
          <w:szCs w:val="32"/>
        </w:rPr>
        <w:t>年6月正式实施，目前已经安装完成了一号井环境监测设备。三是里耶古城遗址城壕护坡加固工程，项目总投资8</w:t>
      </w:r>
      <w:r>
        <w:rPr>
          <w:rFonts w:ascii="仿宋_GB2312" w:hAnsi="仿宋_GB2312" w:eastAsia="仿宋_GB2312" w:cs="仿宋_GB2312"/>
          <w:b w:val="0"/>
          <w:bCs w:val="0"/>
          <w:sz w:val="32"/>
          <w:szCs w:val="32"/>
        </w:rPr>
        <w:t>10.38</w:t>
      </w:r>
      <w:r>
        <w:rPr>
          <w:rFonts w:hint="eastAsia" w:ascii="仿宋_GB2312" w:hAnsi="仿宋_GB2312" w:eastAsia="仿宋_GB2312" w:cs="仿宋_GB2312"/>
          <w:b w:val="0"/>
          <w:bCs w:val="0"/>
          <w:sz w:val="32"/>
          <w:szCs w:val="32"/>
        </w:rPr>
        <w:t>万元，资金来源为省级专项。该项目通过恢复锚杆加固功能、边坡素土夯补、增加地被等措施，保护遗址城壕不被外部伤害，并同步美化。该项目已完成了前期工作，正在进行招投标。四是里耶古城遗址保护设施灾后重建抢救性保护工程，项目总投资9</w:t>
      </w:r>
      <w:r>
        <w:rPr>
          <w:rFonts w:ascii="仿宋_GB2312" w:hAnsi="仿宋_GB2312" w:eastAsia="仿宋_GB2312" w:cs="仿宋_GB2312"/>
          <w:b w:val="0"/>
          <w:bCs w:val="0"/>
          <w:sz w:val="32"/>
          <w:szCs w:val="32"/>
        </w:rPr>
        <w:t>98</w:t>
      </w:r>
      <w:r>
        <w:rPr>
          <w:rFonts w:hint="eastAsia" w:ascii="仿宋_GB2312" w:hAnsi="仿宋_GB2312" w:eastAsia="仿宋_GB2312" w:cs="仿宋_GB2312"/>
          <w:b w:val="0"/>
          <w:bCs w:val="0"/>
          <w:sz w:val="32"/>
          <w:szCs w:val="32"/>
        </w:rPr>
        <w:t>万元。该项目主要包括场景浮雕墙展示、防洪堤墙真石漆、功能用房、古城遗址北门、灯光、水、电、绿化、车辆管理系统等建设内容，旨在对里耶古城遗址文物本体进行维修保护，提升里耶古城遗址旅游产业的质量。目前该项目已经完成了财政评审，正在进行招投标。五是里耶古城（秦简）博物馆廉政馆提质改造项目，该项目概算投资145.69万元，已完成立项审批、初设审批、施工图审查等，正在进行财政评审工作。该项目的实施有助于里耶古城（秦简）博物馆申报省级廉政教育示范基地，充分挖掘秦简中蕴含的廉洁文化元素，将合乎时代需求的部分呈现给大众。</w:t>
      </w:r>
    </w:p>
    <w:p w14:paraId="4A15742A">
      <w:pPr>
        <w:spacing w:line="560" w:lineRule="exact"/>
        <w:ind w:firstLine="640" w:firstLineChars="200"/>
        <w:jc w:val="both"/>
        <w:rPr>
          <w:rFonts w:hint="eastAsia" w:ascii="楷体_GB2312" w:hAnsi="仿宋_GB2312" w:eastAsia="楷体_GB2312" w:cs="仿宋_GB2312"/>
          <w:b w:val="0"/>
          <w:bCs w:val="0"/>
          <w:sz w:val="32"/>
          <w:szCs w:val="32"/>
          <w:lang w:eastAsia="zh-CN"/>
        </w:rPr>
      </w:pPr>
      <w:r>
        <w:rPr>
          <w:rFonts w:hint="eastAsia" w:ascii="楷体_GB2312" w:hAnsi="仿宋_GB2312" w:eastAsia="楷体_GB2312" w:cs="仿宋_GB2312"/>
          <w:b w:val="0"/>
          <w:bCs w:val="0"/>
          <w:sz w:val="32"/>
          <w:szCs w:val="32"/>
          <w:lang w:val="en-US" w:eastAsia="zh-CN"/>
        </w:rPr>
        <w:t>2、</w:t>
      </w:r>
      <w:r>
        <w:rPr>
          <w:rFonts w:hint="eastAsia" w:ascii="楷体_GB2312" w:hAnsi="仿宋_GB2312" w:eastAsia="楷体_GB2312" w:cs="仿宋_GB2312"/>
          <w:b w:val="0"/>
          <w:bCs w:val="0"/>
          <w:sz w:val="32"/>
          <w:szCs w:val="32"/>
        </w:rPr>
        <w:t>项目筹备</w:t>
      </w:r>
      <w:r>
        <w:rPr>
          <w:rFonts w:hint="eastAsia" w:ascii="楷体_GB2312" w:hAnsi="仿宋_GB2312" w:eastAsia="楷体_GB2312" w:cs="仿宋_GB2312"/>
          <w:b w:val="0"/>
          <w:bCs w:val="0"/>
          <w:sz w:val="32"/>
          <w:szCs w:val="32"/>
          <w:lang w:eastAsia="zh-CN"/>
        </w:rPr>
        <w:t>取得</w:t>
      </w:r>
      <w:r>
        <w:rPr>
          <w:rFonts w:hint="eastAsia" w:ascii="楷体_GB2312" w:hAnsi="仿宋_GB2312" w:eastAsia="楷体_GB2312" w:cs="仿宋_GB2312"/>
          <w:b w:val="0"/>
          <w:bCs w:val="0"/>
          <w:sz w:val="32"/>
          <w:szCs w:val="32"/>
        </w:rPr>
        <w:t>新</w:t>
      </w:r>
      <w:r>
        <w:rPr>
          <w:rFonts w:hint="eastAsia" w:ascii="楷体_GB2312" w:hAnsi="仿宋_GB2312" w:eastAsia="楷体_GB2312" w:cs="仿宋_GB2312"/>
          <w:b w:val="0"/>
          <w:bCs w:val="0"/>
          <w:sz w:val="32"/>
          <w:szCs w:val="32"/>
          <w:lang w:eastAsia="zh-CN"/>
        </w:rPr>
        <w:t>进展</w:t>
      </w:r>
    </w:p>
    <w:p w14:paraId="434B5CA6">
      <w:pPr>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里耶管委会在县委县政府的领导下，认真研究国家发改委、国家文物局等联合发布的《关于推进博物馆改革发展的指导意见》文件精神和文化传承发展“专精特新”工程支持方向，谋划申报了一批中央预算内项目。</w:t>
      </w:r>
      <w:r>
        <w:rPr>
          <w:rFonts w:hint="eastAsia" w:ascii="仿宋_GB2312" w:hAnsi="仿宋_GB2312" w:eastAsia="仿宋_GB2312" w:cs="仿宋_GB2312"/>
          <w:b w:val="0"/>
          <w:bCs w:val="0"/>
          <w:sz w:val="32"/>
          <w:szCs w:val="32"/>
          <w:lang w:val="en-US" w:eastAsia="zh-CN"/>
        </w:rPr>
        <w:t>主要包括：</w:t>
      </w:r>
      <w:r>
        <w:rPr>
          <w:rFonts w:hint="eastAsia" w:ascii="仿宋_GB2312" w:hAnsi="仿宋_GB2312" w:eastAsia="仿宋_GB2312" w:cs="仿宋_GB2312"/>
          <w:b w:val="0"/>
          <w:bCs w:val="0"/>
          <w:sz w:val="32"/>
          <w:szCs w:val="32"/>
        </w:rPr>
        <w:t>里耶古城</w:t>
      </w:r>
      <w:r>
        <w:rPr>
          <w:rFonts w:ascii="仿宋_GB2312" w:hAnsi="仿宋_GB2312" w:eastAsia="仿宋_GB2312" w:cs="仿宋_GB2312"/>
          <w:b w:val="0"/>
          <w:bCs w:val="0"/>
          <w:sz w:val="32"/>
          <w:szCs w:val="32"/>
        </w:rPr>
        <w:t>AAAA</w:t>
      </w:r>
      <w:r>
        <w:rPr>
          <w:rFonts w:hint="eastAsia" w:ascii="仿宋_GB2312" w:hAnsi="仿宋_GB2312" w:eastAsia="仿宋_GB2312" w:cs="仿宋_GB2312"/>
          <w:b w:val="0"/>
          <w:bCs w:val="0"/>
          <w:sz w:val="32"/>
          <w:szCs w:val="32"/>
        </w:rPr>
        <w:t>级景区保护展示项目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龙山县八面山户外骑行道建设项目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里耶古城国家考古遗址公园考古工作站暨秦文化研究中心项目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里耶古城（秦简）博物馆改造项目</w:t>
      </w:r>
      <w:r>
        <w:rPr>
          <w:rFonts w:hint="eastAsia" w:ascii="仿宋_GB2312" w:hAnsi="仿宋_GB2312" w:eastAsia="仿宋_GB2312" w:cs="仿宋_GB2312"/>
          <w:b w:val="0"/>
          <w:bCs w:val="0"/>
          <w:sz w:val="32"/>
          <w:szCs w:val="32"/>
          <w:lang w:eastAsia="zh-CN"/>
        </w:rPr>
        <w:t>、里耶秦简博物馆馆藏文物数字化保护利用项目。</w:t>
      </w:r>
    </w:p>
    <w:p w14:paraId="0314BF2D">
      <w:pPr>
        <w:spacing w:line="560" w:lineRule="exact"/>
        <w:ind w:firstLine="640" w:firstLineChars="200"/>
        <w:jc w:val="both"/>
        <w:rPr>
          <w:rFonts w:ascii="楷体_GB2312" w:hAnsi="仿宋_GB2312" w:eastAsia="楷体_GB2312" w:cs="仿宋_GB2312"/>
          <w:b w:val="0"/>
          <w:bCs w:val="0"/>
          <w:sz w:val="32"/>
          <w:szCs w:val="32"/>
        </w:rPr>
      </w:pPr>
      <w:r>
        <w:rPr>
          <w:rFonts w:hint="eastAsia" w:ascii="楷体_GB2312" w:hAnsi="仿宋_GB2312" w:eastAsia="楷体_GB2312" w:cs="仿宋_GB2312"/>
          <w:b w:val="0"/>
          <w:bCs w:val="0"/>
          <w:sz w:val="32"/>
          <w:szCs w:val="32"/>
          <w:lang w:val="en-US" w:eastAsia="zh-CN"/>
        </w:rPr>
        <w:t>3、</w:t>
      </w:r>
      <w:r>
        <w:rPr>
          <w:rFonts w:hint="eastAsia" w:ascii="楷体_GB2312" w:hAnsi="仿宋_GB2312" w:eastAsia="楷体_GB2312" w:cs="仿宋_GB2312"/>
          <w:b w:val="0"/>
          <w:bCs w:val="0"/>
          <w:sz w:val="32"/>
          <w:szCs w:val="32"/>
        </w:rPr>
        <w:t>文旅融合迈上新台阶</w:t>
      </w:r>
    </w:p>
    <w:p w14:paraId="5715A3D3">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举办了</w:t>
      </w:r>
      <w:r>
        <w:rPr>
          <w:rFonts w:hint="eastAsia" w:ascii="仿宋_GB2312" w:hAnsi="仿宋_GB2312" w:eastAsia="仿宋_GB2312" w:cs="仿宋_GB2312"/>
          <w:b w:val="0"/>
          <w:bCs w:val="0"/>
          <w:sz w:val="32"/>
          <w:szCs w:val="32"/>
        </w:rPr>
        <w:t>“巅峰湖南·2023”六大名山登山赛（八面山站）、大美里耶·云端上的骑行”第四届八面山自行车邀请赛和八面山帐篷音乐节（两赛一节），以登山、骑行、音乐节为载体，全方位展示里耶秀美自然风光、浓郁土家风情、独特秦韵文化。两赛共吸全国各地3000余名运动员线下参赛。谋划了八面山滑翔伞基地、登山基地、攀岩基地和健身步道建设。与湖南日报、团结报、红网等多家新闻媒体保持良好合作，强化里耶古镇土家文化、秦文化、八面山自然风光的宣传推介，完成外宣刊稿76篇，包括新华社1篇，人民日报1篇、学习强国平台2篇。充分发挥旅游区自媒体的宣传载体作用，特别是“八面山悬崖酒店”品牌线上宣传，全平台传播量超1亿次；抖音发布八面山景区推介视频1.8万条，传播量达986万次，抖音、视频号爆款60条，单条最高600万曝光量，实现重点宣传时段内的集聚性爆发。</w:t>
      </w:r>
    </w:p>
    <w:p w14:paraId="7944EDBB">
      <w:pPr>
        <w:spacing w:line="560" w:lineRule="exact"/>
        <w:ind w:firstLine="640" w:firstLineChars="200"/>
        <w:jc w:val="both"/>
        <w:rPr>
          <w:rFonts w:ascii="楷体_GB2312" w:hAnsi="仿宋_GB2312" w:eastAsia="楷体_GB2312" w:cs="仿宋_GB2312"/>
          <w:b w:val="0"/>
          <w:bCs w:val="0"/>
          <w:sz w:val="32"/>
          <w:szCs w:val="32"/>
        </w:rPr>
      </w:pPr>
      <w:r>
        <w:rPr>
          <w:rFonts w:hint="eastAsia" w:ascii="楷体_GB2312" w:hAnsi="仿宋_GB2312" w:eastAsia="楷体_GB2312" w:cs="仿宋_GB2312"/>
          <w:b w:val="0"/>
          <w:bCs w:val="0"/>
          <w:sz w:val="32"/>
          <w:szCs w:val="32"/>
          <w:lang w:val="en-US" w:eastAsia="zh-CN"/>
        </w:rPr>
        <w:t>4、</w:t>
      </w:r>
      <w:r>
        <w:rPr>
          <w:rFonts w:hint="eastAsia" w:ascii="楷体_GB2312" w:hAnsi="仿宋_GB2312" w:eastAsia="楷体_GB2312" w:cs="仿宋_GB2312"/>
          <w:b w:val="0"/>
          <w:bCs w:val="0"/>
          <w:sz w:val="32"/>
          <w:szCs w:val="32"/>
        </w:rPr>
        <w:t>文博发展获得新成就</w:t>
      </w:r>
    </w:p>
    <w:p w14:paraId="042FC73E">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完成了遗址考古勘探阶段性目标任务。里耶古城遗址考古勘探工作于2023年3月13日重启，这是里耶文物工作者贯彻落实习近平总书记关于文物工作重要论述具体的行动。此次勘探达成了预定的目标任务，初步确认了13口古井，对城址西部和城外区域的遗迹分布、文化层堆积状况有了一些了解，有助于对整个古城城址的布局更深入更全面地了解。在考古成果完成阶段性的总结后，有利于全面把握里耶古城遗址的文化面貌和性质，围绕里耶古城遗址及周边城址的价值研究和保护需求，根据遗产价值构成分析，分层次、按步骤开展后续考古工作，为里耶古城遗址的进一步保护研究与利用提供依据。博物馆6枚简牍走出国门，“兵马俑与古代中国——秦汉文明的遗产”展览在日本展出。“大秦简语——湖南龙山里耶秦简特展”在扬州博物馆展出，博物馆特聘专家龙京沙老师线上举行了“里耶考古与发现”讲座，同时推出了云上观博系列线上观展活动。14枚秦简亮相上海奉贤区博物馆“丹甲青文”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瑞士驻华大使来馆参加了项目结项仪式，参观了修复展，里耶（秦简）博物馆国际知名度得到进一步提升。推出了“里耶秦简”中的故事一至十、湘西里耶寻秦记一至十、品读里耶秦简上中下、龙山故事秦简篇58期至63期、里耶秦简飞出“土家药王峰”、里耶秦简的瑰宝-中医药简、里耶秦简中飘来的稻香，《里耶秦简编年考证》（第一卷）出版，秦简中蕴含的民族大团结、廉洁文化获省纪委监委、省委统战部门官方媒体推介。里耶（秦简）博物馆的文创产品获全国第二届文化创意产品推介活动“终评推介文创产品”。大型文化节目《简牍探中华》，11月25日、12月2日分别在央视综合频道（CCTV-1）20:00档开播，每集长达180分钟，首档节目聚焦“里耶秦简”，“里耶秦简是考古队员一手一手捧出来的”等话题成为热搜，累计收获37个热搜热榜，总触达人数超过10.6亿，人民日报客户端、光明网、学习强国等20余家重点媒体平台纷纷置顶或首页推荐，有力提升了里耶秦简的知名度，扩大了知晓率。</w:t>
      </w:r>
    </w:p>
    <w:p w14:paraId="66CA4CEB">
      <w:pPr>
        <w:spacing w:line="560" w:lineRule="exact"/>
        <w:ind w:firstLine="640" w:firstLineChars="200"/>
        <w:jc w:val="both"/>
        <w:rPr>
          <w:rFonts w:ascii="楷体_GB2312" w:hAnsi="仿宋_GB2312" w:eastAsia="楷体_GB2312" w:cs="仿宋_GB2312"/>
          <w:b w:val="0"/>
          <w:bCs w:val="0"/>
          <w:sz w:val="32"/>
          <w:szCs w:val="32"/>
        </w:rPr>
      </w:pPr>
      <w:r>
        <w:rPr>
          <w:rFonts w:hint="eastAsia" w:ascii="楷体_GB2312" w:hAnsi="仿宋_GB2312" w:eastAsia="楷体_GB2312" w:cs="仿宋_GB2312"/>
          <w:b w:val="0"/>
          <w:bCs w:val="0"/>
          <w:sz w:val="32"/>
          <w:szCs w:val="32"/>
          <w:lang w:val="en-US" w:eastAsia="zh-CN"/>
        </w:rPr>
        <w:t>5、</w:t>
      </w:r>
      <w:r>
        <w:rPr>
          <w:rFonts w:hint="eastAsia" w:ascii="楷体_GB2312" w:hAnsi="仿宋_GB2312" w:eastAsia="楷体_GB2312" w:cs="仿宋_GB2312"/>
          <w:b w:val="0"/>
          <w:bCs w:val="0"/>
          <w:sz w:val="32"/>
          <w:szCs w:val="32"/>
        </w:rPr>
        <w:t>人才培养激发新活力</w:t>
      </w:r>
    </w:p>
    <w:p w14:paraId="4DC23765">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聘请州文旅广电局考古专家龙京沙老师指导古城遗址考古勘探工作，做好里耶秦简研究的学术支撑。二是通过遗址考古勘探培养青年干部，抽调湘西州考古研究所和文物保护中心专家和里耶管理区管理委员会下属二级机构青年骨干18人，为未来遗址考古发展培养后备力量。三是选派优秀干部跟班交流。派遣彭海波到马栏山文化产业园挂职锻炼、余海霞到省考古研究院跟班学习，开阔眼界、拓宽思维。四是持续举办“里耶文旅青年新课堂”，进一步提升青年人才素质，锻造一支有思想、有修养、有能力、有担当的里耶宣传代言、秦文化推广</w:t>
      </w:r>
      <w:r>
        <w:rPr>
          <w:rFonts w:hint="eastAsia" w:ascii="仿宋_GB2312" w:hAnsi="仿宋_GB2312" w:eastAsia="仿宋_GB2312" w:cs="仿宋_GB2312"/>
          <w:b w:val="0"/>
          <w:bCs w:val="0"/>
          <w:sz w:val="32"/>
          <w:szCs w:val="32"/>
          <w:lang w:eastAsia="zh-CN"/>
        </w:rPr>
        <w:t>队伍</w:t>
      </w:r>
      <w:r>
        <w:rPr>
          <w:rFonts w:hint="eastAsia" w:ascii="仿宋_GB2312" w:hAnsi="仿宋_GB2312" w:eastAsia="仿宋_GB2312" w:cs="仿宋_GB2312"/>
          <w:b w:val="0"/>
          <w:bCs w:val="0"/>
          <w:sz w:val="32"/>
          <w:szCs w:val="32"/>
        </w:rPr>
        <w:t>。</w:t>
      </w:r>
    </w:p>
    <w:p w14:paraId="4AD62158">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综上我部门履职完成情况与财政拨款金额基本匹配，较好地履行了部门职责，部门整体支出绩效自评得分</w:t>
      </w:r>
      <w:r>
        <w:rPr>
          <w:rFonts w:hint="eastAsia" w:ascii="仿宋_GB2312" w:hAnsi="仿宋_GB2312" w:eastAsia="仿宋_GB2312" w:cs="仿宋_GB2312"/>
          <w:b w:val="0"/>
          <w:bCs w:val="0"/>
          <w:color w:val="000000"/>
          <w:sz w:val="32"/>
          <w:szCs w:val="32"/>
          <w:highlight w:val="none"/>
          <w:lang w:val="en-US" w:eastAsia="zh-CN"/>
        </w:rPr>
        <w:t>95</w:t>
      </w:r>
      <w:r>
        <w:rPr>
          <w:rFonts w:hint="eastAsia" w:ascii="仿宋_GB2312" w:hAnsi="仿宋_GB2312" w:eastAsia="仿宋_GB2312" w:cs="仿宋_GB2312"/>
          <w:b w:val="0"/>
          <w:bCs w:val="0"/>
          <w:color w:val="000000"/>
          <w:sz w:val="32"/>
          <w:szCs w:val="32"/>
          <w:highlight w:val="none"/>
        </w:rPr>
        <w:t>分。</w:t>
      </w:r>
    </w:p>
    <w:p w14:paraId="49615564">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二</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项目支出绩效自评</w:t>
      </w:r>
    </w:p>
    <w:p w14:paraId="2C767C41">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1、预算绩效管理工作开展情况</w:t>
      </w:r>
    </w:p>
    <w:p w14:paraId="0AD01C82">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根据预算绩效管理要求，本部门组织对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z w:val="32"/>
          <w:szCs w:val="32"/>
          <w:highlight w:val="none"/>
          <w14:textFill>
            <w14:solidFill>
              <w14:schemeClr w14:val="tx1"/>
            </w14:solidFill>
          </w14:textFill>
        </w:rPr>
        <w:t>年一般公共预算项目支出全面开展绩效自评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其中，专项业务费项目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个、事业发展类项目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highlight w:val="none"/>
          <w14:textFill>
            <w14:solidFill>
              <w14:schemeClr w14:val="tx1"/>
            </w14:solidFill>
          </w14:textFill>
        </w:rPr>
        <w:t>个、奖补类项目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个共涉及资金2364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万元，占一般公共预算项目支出总额的100%。</w:t>
      </w:r>
    </w:p>
    <w:p w14:paraId="03120384">
      <w:pPr>
        <w:keepNext w:val="0"/>
        <w:keepLines w:val="0"/>
        <w:pageBreakBefore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z w:val="32"/>
          <w:szCs w:val="32"/>
          <w:highlight w:val="none"/>
          <w14:textFill>
            <w14:solidFill>
              <w14:schemeClr w14:val="tx1"/>
            </w14:solidFill>
          </w14:textFill>
        </w:rPr>
        <w:t>年无政府性基金项目支出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EC83E70">
      <w:pPr>
        <w:keepNext w:val="0"/>
        <w:keepLines w:val="0"/>
        <w:pageBreakBefore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z w:val="32"/>
          <w:szCs w:val="32"/>
          <w:highlight w:val="none"/>
          <w14:textFill>
            <w14:solidFill>
              <w14:schemeClr w14:val="tx1"/>
            </w14:solidFill>
          </w14:textFill>
        </w:rPr>
        <w:t>年无国有资本经营项目支出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CF0DEC4">
      <w:pPr>
        <w:keepNext w:val="0"/>
        <w:keepLines w:val="0"/>
        <w:pageBreakBefore w:val="0"/>
        <w:numPr>
          <w:ilvl w:val="0"/>
          <w:numId w:val="2"/>
        </w:numPr>
        <w:shd w:val="clear" w:color="auto" w:fill="auto"/>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项目绩效自评结果</w:t>
      </w:r>
    </w:p>
    <w:p w14:paraId="30B224EB">
      <w:pPr>
        <w:numPr>
          <w:ilvl w:val="0"/>
          <w:numId w:val="3"/>
        </w:numPr>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龙山县里耶镇生活垃圾卫生填埋场整修工程。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39.21</w:t>
      </w:r>
      <w:r>
        <w:rPr>
          <w:rFonts w:hint="eastAsia" w:ascii="仿宋_GB2312" w:hAnsi="仿宋_GB2312" w:eastAsia="仿宋_GB2312" w:cs="仿宋_GB2312"/>
          <w:color w:val="auto"/>
          <w:sz w:val="32"/>
          <w:szCs w:val="32"/>
          <w:highlight w:val="none"/>
        </w:rPr>
        <w:t>万元，执行数39.21万元，完成预算的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%。主要产出和效果：换填埋库区原有防渗系统，新增渗滤液调节池防渗系统和浮盖及其他配套附属设施(含更换 250KVA 变压器一台、新增垃圾计量装置一套、新增电动伸缩门一套、新增轮胎清洗系统一套、新增视频监控设备一套、新增消防系统一套、新增自来水管网、新增安全围挡等)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通过更换和建设，公共环境卫生得到改善，有效处理镇区垃圾积存渗滤液。</w:t>
      </w:r>
    </w:p>
    <w:p w14:paraId="2D0A199F">
      <w:pPr>
        <w:numPr>
          <w:ilvl w:val="0"/>
          <w:numId w:val="3"/>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lang w:val="en-US" w:eastAsia="zh-CN"/>
        </w:rPr>
        <w:t>龙山县里耶镇博物馆路照明工程。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14.41</w:t>
      </w:r>
      <w:r>
        <w:rPr>
          <w:rFonts w:hint="eastAsia" w:ascii="仿宋_GB2312" w:hAnsi="仿宋_GB2312" w:eastAsia="仿宋_GB2312" w:cs="仿宋_GB2312"/>
          <w:color w:val="auto"/>
          <w:sz w:val="32"/>
          <w:szCs w:val="32"/>
          <w:highlight w:val="none"/>
        </w:rPr>
        <w:t>万元，执行数14.41万元，完成预算的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%。主要产出和效果：架设1.5m+1.5m双悬臂路灯35盏，灯杆高12米，架设间距40米</w:t>
      </w:r>
      <w:r>
        <w:rPr>
          <w:rFonts w:hint="eastAsia" w:ascii="仿宋_GB2312" w:hAnsi="仿宋_GB2312" w:eastAsia="仿宋_GB2312" w:cs="仿宋_GB2312"/>
          <w:color w:val="auto"/>
          <w:sz w:val="32"/>
          <w:szCs w:val="32"/>
          <w:highlight w:val="none"/>
          <w:lang w:eastAsia="zh-CN"/>
        </w:rPr>
        <w:t>。为镇区交通管理和安防工作提供支持，</w:t>
      </w:r>
      <w:r>
        <w:rPr>
          <w:rFonts w:hint="eastAsia" w:ascii="仿宋_GB2312" w:hAnsi="仿宋_GB2312" w:eastAsia="仿宋_GB2312" w:cs="仿宋_GB2312"/>
          <w:color w:val="auto"/>
          <w:sz w:val="32"/>
          <w:szCs w:val="32"/>
          <w:highlight w:val="none"/>
          <w:lang w:val="en-US" w:eastAsia="zh-CN"/>
        </w:rPr>
        <w:t>完善里耶镇区基础设施建设，提高里耶旅游竞争力，推动里耶旅游发展。</w:t>
      </w:r>
    </w:p>
    <w:p w14:paraId="49D21620">
      <w:pPr>
        <w:numPr>
          <w:ilvl w:val="0"/>
          <w:numId w:val="3"/>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 w:hAnsi="仿宋" w:eastAsia="仿宋" w:cs="仿宋"/>
          <w:sz w:val="32"/>
          <w:szCs w:val="32"/>
          <w:lang w:val="en-US" w:eastAsia="zh-CN"/>
        </w:rPr>
        <w:t>里耶-长潭安置区照明工程。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11.77</w:t>
      </w:r>
      <w:r>
        <w:rPr>
          <w:rFonts w:hint="eastAsia" w:ascii="仿宋_GB2312" w:hAnsi="仿宋_GB2312" w:eastAsia="仿宋_GB2312" w:cs="仿宋_GB2312"/>
          <w:color w:val="auto"/>
          <w:sz w:val="32"/>
          <w:szCs w:val="32"/>
          <w:highlight w:val="none"/>
        </w:rPr>
        <w:t>万元，执行数11.77万元，完成预算的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%。主要产出和效果：太阳能路灯安装61盏，解决里耶-长潭安置区电力不足地段的照明问题，节省能源，降低能源消耗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有利于镇区交通管理和居民夜间安全，人居环境得到改善。</w:t>
      </w:r>
    </w:p>
    <w:p w14:paraId="5DDAF1B9">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2022年里耶古城秦城汉服秀活动。</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17.72</w:t>
      </w:r>
      <w:r>
        <w:rPr>
          <w:rFonts w:hint="eastAsia" w:ascii="仿宋_GB2312" w:hAnsi="仿宋_GB2312" w:eastAsia="仿宋_GB2312" w:cs="仿宋_GB2312"/>
          <w:color w:val="auto"/>
          <w:sz w:val="32"/>
          <w:szCs w:val="32"/>
          <w:highlight w:val="none"/>
        </w:rPr>
        <w:t>万元，执行数17.72万元，完成预算的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%。主要产出和效果：2022年里耶古城秦装汉服秀活动的策划、组织、导演、舞美、音响、LED背景屏及LED背景画面、抖音话题、比赛评委及活动的氛围营造</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eastAsia="zh-CN"/>
        </w:rPr>
        <w:t>里耶生态文化旅游产业发展、贯彻首届全州旅游发展大会、助推2022年湖南省（龙山）夏季乡村文化旅游节系统活动顺利举行。</w:t>
      </w:r>
    </w:p>
    <w:p w14:paraId="7F7619AE">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文旅青年大讲堂装修项目。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%。主要产出和效果：秦文化标识标牌制作、装饰</w:t>
      </w:r>
      <w:r>
        <w:rPr>
          <w:rFonts w:hint="eastAsia" w:ascii="仿宋_GB2312" w:hAnsi="仿宋_GB2312" w:eastAsia="仿宋_GB2312" w:cs="仿宋_GB2312"/>
          <w:color w:val="auto"/>
          <w:sz w:val="32"/>
          <w:szCs w:val="32"/>
          <w:highlight w:val="none"/>
          <w:lang w:eastAsia="zh-CN"/>
        </w:rPr>
        <w:t>。装修项目已完工，已在文旅青年大讲堂开展多次活动，文旅青年得到锻炼，综合素质有所提升，</w:t>
      </w:r>
      <w:r>
        <w:rPr>
          <w:rFonts w:hint="eastAsia" w:ascii="仿宋_GB2312" w:hAnsi="仿宋_GB2312" w:eastAsia="仿宋_GB2312" w:cs="仿宋_GB2312"/>
          <w:color w:val="auto"/>
          <w:sz w:val="32"/>
          <w:szCs w:val="32"/>
          <w:highlight w:val="none"/>
          <w:lang w:val="en-US" w:eastAsia="zh-CN"/>
        </w:rPr>
        <w:t>为里耶文旅发展培养人才。</w:t>
      </w:r>
    </w:p>
    <w:p w14:paraId="65FE3FB5">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里耶湿地公园秦文化体验及古街区美化提质项目。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11.638</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11.638</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%。主要产出和效果：增设拴马桩16个、秦半两场景雕塑1个、待雕刻枫供版一块、草皮绿化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项目已竣工验收，增加了绿化面积，增设了观光旅游打卡点，提升景区旅游资源竞争力。</w:t>
      </w:r>
    </w:p>
    <w:p w14:paraId="6AC0E55F">
      <w:pPr>
        <w:numPr>
          <w:ilvl w:val="0"/>
          <w:numId w:val="3"/>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 w:hAnsi="仿宋" w:eastAsia="仿宋" w:cs="仿宋"/>
          <w:sz w:val="32"/>
          <w:szCs w:val="32"/>
          <w:lang w:val="en-US" w:eastAsia="zh-CN"/>
        </w:rPr>
        <w:t>龙山县里耶镇行道树修工程。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%。主要产出和效果：长青路等街道行道树修剪整齐，修剪枝条收集清运弃置，每年修剪两次。行道树共计1976株</w:t>
      </w:r>
      <w:r>
        <w:rPr>
          <w:rFonts w:hint="eastAsia" w:ascii="仿宋_GB2312" w:hAnsi="仿宋_GB2312" w:eastAsia="仿宋_GB2312" w:cs="仿宋_GB2312"/>
          <w:color w:val="auto"/>
          <w:sz w:val="32"/>
          <w:szCs w:val="32"/>
          <w:highlight w:val="none"/>
          <w:lang w:eastAsia="zh-CN"/>
        </w:rPr>
        <w:t>。优化沿街居民生活和商户经营环境，促进树木健康生长，预防各类病害虫。</w:t>
      </w:r>
    </w:p>
    <w:p w14:paraId="43BE72BA">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龙山县里耶古城区污水管网清理疏通工程项目。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%。主要产出和效果：清理疏通污水管网总长727.3米</w:t>
      </w:r>
      <w:r>
        <w:rPr>
          <w:rFonts w:hint="eastAsia" w:ascii="仿宋_GB2312" w:hAnsi="仿宋_GB2312" w:eastAsia="仿宋_GB2312" w:cs="仿宋_GB2312"/>
          <w:color w:val="auto"/>
          <w:sz w:val="32"/>
          <w:szCs w:val="32"/>
          <w:highlight w:val="none"/>
          <w:lang w:eastAsia="zh-CN"/>
        </w:rPr>
        <w:t>。疏通污水管道，保障各户管网正常运行，减少因管道堵塞造成的水资源浪费和设备损坏，降低维修成本，提高经济效益，</w:t>
      </w:r>
      <w:r>
        <w:rPr>
          <w:rFonts w:hint="eastAsia" w:ascii="仿宋_GB2312" w:hAnsi="仿宋_GB2312" w:eastAsia="仿宋_GB2312" w:cs="仿宋_GB2312"/>
          <w:color w:val="auto"/>
          <w:sz w:val="32"/>
          <w:szCs w:val="32"/>
          <w:highlight w:val="none"/>
          <w:lang w:val="en-US" w:eastAsia="zh-CN"/>
        </w:rPr>
        <w:t>改善居住环境。</w:t>
      </w:r>
    </w:p>
    <w:p w14:paraId="1A292319">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八面山景区旅游总体规划。</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%。主要产出和效果：龙山县八面山景区旅游总体规划项目编制工作已通过专家评审，基本完成。根据八面山地域特点，有效的规划八面山旅游资源，促进文旅产业融合，推动八面山旅游经济</w:t>
      </w:r>
      <w:r>
        <w:rPr>
          <w:rFonts w:hint="eastAsia" w:ascii="仿宋_GB2312" w:hAnsi="仿宋_GB2312" w:eastAsia="仿宋_GB2312" w:cs="仿宋_GB2312"/>
          <w:color w:val="auto"/>
          <w:sz w:val="32"/>
          <w:szCs w:val="32"/>
          <w:highlight w:val="none"/>
          <w:lang w:eastAsia="zh-CN"/>
        </w:rPr>
        <w:t>。</w:t>
      </w:r>
    </w:p>
    <w:p w14:paraId="6FFB064B">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洗车河镇、苗儿滩镇污水处理厂项目。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73.03</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73.03</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%。主要产出和效果：对征地农户进行征地及附着物补偿，推动苗儿滩镇、洗车河镇污水处理厂开发进程。合理补偿，保障农民原有生活水平不降低，生活有保障</w:t>
      </w:r>
      <w:r>
        <w:rPr>
          <w:rFonts w:hint="eastAsia" w:ascii="仿宋_GB2312" w:hAnsi="仿宋_GB2312" w:eastAsia="仿宋_GB2312" w:cs="仿宋_GB2312"/>
          <w:color w:val="auto"/>
          <w:sz w:val="32"/>
          <w:szCs w:val="32"/>
          <w:highlight w:val="none"/>
          <w:lang w:eastAsia="zh-CN"/>
        </w:rPr>
        <w:t>，建设污水处理厂，水资源循环利用，节约水资源，提高居民生活质量。</w:t>
      </w:r>
    </w:p>
    <w:p w14:paraId="602727FB">
      <w:pPr>
        <w:numPr>
          <w:ilvl w:val="0"/>
          <w:numId w:val="3"/>
        </w:num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lang w:val="en-US" w:eastAsia="zh-CN"/>
        </w:rPr>
        <w:t>文旅发展及乡村振兴工作经费及驻村工作经费。</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50.19</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50.19</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%。主要产出和效果：结合文旅资源，赋能乡村振兴，保障乡村振兴工作人员生活，保证乡村振兴工作的顺利开展</w:t>
      </w:r>
      <w:r>
        <w:rPr>
          <w:rFonts w:hint="eastAsia" w:ascii="仿宋_GB2312" w:hAnsi="仿宋_GB2312" w:eastAsia="仿宋_GB2312" w:cs="仿宋_GB2312"/>
          <w:color w:val="auto"/>
          <w:sz w:val="32"/>
          <w:szCs w:val="32"/>
          <w:highlight w:val="none"/>
          <w:lang w:eastAsia="zh-CN"/>
        </w:rPr>
        <w:t>。</w:t>
      </w:r>
    </w:p>
    <w:p w14:paraId="360C0820">
      <w:pPr>
        <w:numPr>
          <w:ilvl w:val="0"/>
          <w:numId w:val="3"/>
        </w:num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龙山县生活污水处理项目集中式（旅投公司）。</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479.8</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479.8</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%。主要产出和效果：苗儿滩镇污水处理站：管网6.341km，检查井230座；洗车河镇污水处理站：管网4.31km，检查井197座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目前，旅投公司</w:t>
      </w:r>
      <w:r>
        <w:rPr>
          <w:rFonts w:hint="eastAsia" w:ascii="仿宋_GB2312" w:hAnsi="仿宋_GB2312" w:eastAsia="仿宋_GB2312" w:cs="仿宋_GB2312"/>
          <w:color w:val="auto"/>
          <w:sz w:val="32"/>
          <w:szCs w:val="32"/>
          <w:highlight w:val="none"/>
          <w:lang w:eastAsia="zh-CN"/>
        </w:rPr>
        <w:t>已完成龙山县苗儿滩镇、洗车河镇污水处理站建设工程部分工作。</w:t>
      </w:r>
    </w:p>
    <w:p w14:paraId="3358375B">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龙山县里耶古城南游客服务中心项目（旅投公司）。</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%。主要产出和效果：南游客中心主体部分工程量报至内墙砌筑完成；内外墙粉刷完成；相关基础设施配置完成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目前，该项目正在建设中，管委会协助里耶旅投公司做好请款工作。项目建成后，不断完善里耶古城旅游配套设施建设，加快里耶生态文化旅游产业发展。</w:t>
      </w:r>
    </w:p>
    <w:p w14:paraId="289E08FC">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景区运转经费及旅游宣传费。</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%。主要产出和效果：维护景区的基本运营和日常管理，改善景区的服务设施、提升服务水平，增设导览标识、优化游览路线、提供多元化的旅游产品和服务。</w:t>
      </w:r>
    </w:p>
    <w:p w14:paraId="1A376B99">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最美八面山环山越野赛</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78</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78</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%。主要产出和效果：最美八面山环山越野赛赛事完满完成，扩大了八面山旅游景区的知名度与影响力。</w:t>
      </w:r>
    </w:p>
    <w:p w14:paraId="429AED16">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博物馆免费开放专项资金。</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337</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337</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博物馆开放天数313天，接待游客参观人数30万人。</w:t>
      </w:r>
      <w:r>
        <w:rPr>
          <w:rFonts w:hint="eastAsia" w:ascii="仿宋_GB2312" w:hAnsi="仿宋_GB2312" w:eastAsia="仿宋_GB2312" w:cs="仿宋_GB2312"/>
          <w:color w:val="auto"/>
          <w:sz w:val="32"/>
          <w:szCs w:val="32"/>
          <w:highlight w:val="none"/>
        </w:rPr>
        <w:t>有效地提高了场馆的设施水准，保障了场馆的正常、高效运作，充分发挥了博物馆明史、资政、育人的社会价值和文化资源利用价值，为广大人民群众提供了更为优质的文化服务，为弘扬中华优秀传统文化起到了重要作用。</w:t>
      </w:r>
    </w:p>
    <w:p w14:paraId="121A2564">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博物馆聘用人员工资。</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189.5</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172.07</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因疫情不可控因素影响，导致人员离职，聘请人员减少，发放工资减少。</w:t>
      </w:r>
      <w:r>
        <w:rPr>
          <w:rFonts w:hint="eastAsia" w:ascii="仿宋_GB2312" w:hAnsi="仿宋_GB2312" w:eastAsia="仿宋_GB2312" w:cs="仿宋_GB2312"/>
          <w:color w:val="auto"/>
          <w:sz w:val="32"/>
          <w:szCs w:val="32"/>
          <w:highlight w:val="none"/>
        </w:rPr>
        <w:t>主要产出和效果：增加聘请人员收入，解决社会就业岗位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保障聘请人员基本生活，维护博物馆正常运行，提高服务水平，提升旅游服务质量，促进社会和谐发展，提升了幸福指数。</w:t>
      </w:r>
    </w:p>
    <w:p w14:paraId="507D2D98">
      <w:pPr>
        <w:numPr>
          <w:ilvl w:val="0"/>
          <w:numId w:val="3"/>
        </w:numPr>
        <w:adjustRightInd w:val="0"/>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灾后重建采购文物预防性保护经费。</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安装照明装置14套，恒湿机6台，摇盖式无酸纸囊匣50个，重型式文件柜6个，恒温保湿箱1个。</w:t>
      </w:r>
      <w:r>
        <w:rPr>
          <w:rFonts w:hint="eastAsia" w:ascii="仿宋_GB2312" w:hAnsi="仿宋_GB2312" w:eastAsia="仿宋_GB2312" w:cs="仿宋_GB2312"/>
          <w:color w:val="auto"/>
          <w:sz w:val="32"/>
          <w:szCs w:val="32"/>
          <w:highlight w:val="none"/>
        </w:rPr>
        <w:t>采购配套了照明装置、恒湿机、摇盖式无酸纸囊匣、重型式文件柜、调试剂、恒温保湿箱。完成了文物预防性保护工作，保障了文物的安全，展示和传播文化遗产，提高公众对文化遗产的认识和重视程度。</w:t>
      </w:r>
    </w:p>
    <w:p w14:paraId="3FB58035">
      <w:pPr>
        <w:numPr>
          <w:ilvl w:val="0"/>
          <w:numId w:val="3"/>
        </w:numPr>
        <w:adjustRightInd w:val="0"/>
        <w:snapToGrid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lang w:val="en-US" w:eastAsia="zh-CN"/>
        </w:rPr>
        <w:t>遗址聘用人员工资。</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67.54</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因疫情不可控因素影响，导致人员离职，聘请人员减少，发放工资减少。</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提供就业岗位，保障人员基本生活，提高服务水平，促进社会和谐发展。</w:t>
      </w:r>
    </w:p>
    <w:p w14:paraId="6F0B1CFC">
      <w:pPr>
        <w:numPr>
          <w:ilvl w:val="0"/>
          <w:numId w:val="3"/>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里耶古城遗址展示区展示工程项目。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已完成室外绿化，本体保护，遗址点改造复原等项目。提高里耶古城遗址展示效果，进一步推动文旅融合。</w:t>
      </w:r>
    </w:p>
    <w:p w14:paraId="05F979F4">
      <w:pPr>
        <w:numPr>
          <w:ilvl w:val="0"/>
          <w:numId w:val="3"/>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里耶古遗址和明清古街安防消防维护提质项目。</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万元，执行数</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进一步推动文旅融合，提高里耶古城遗址和明清古街展示效果及人文资源价值，保障文物安全。</w:t>
      </w:r>
    </w:p>
    <w:p w14:paraId="270CA5D7">
      <w:pPr>
        <w:numPr>
          <w:ilvl w:val="0"/>
          <w:numId w:val="3"/>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里耶古城遗址一号井前期勘测。</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 w:hAnsi="仿宋" w:eastAsia="仿宋" w:cs="仿宋"/>
          <w:color w:val="auto"/>
          <w:sz w:val="32"/>
          <w:szCs w:val="32"/>
          <w:lang w:val="en-US" w:eastAsia="zh-CN"/>
        </w:rPr>
        <w:t>39.39</w:t>
      </w:r>
      <w:r>
        <w:rPr>
          <w:rFonts w:hint="eastAsia" w:ascii="仿宋_GB2312" w:hAnsi="仿宋_GB2312" w:eastAsia="仿宋_GB2312" w:cs="仿宋_GB2312"/>
          <w:color w:val="auto"/>
          <w:sz w:val="32"/>
          <w:szCs w:val="32"/>
          <w:highlight w:val="none"/>
        </w:rPr>
        <w:t>万元，执行数</w:t>
      </w:r>
      <w:r>
        <w:rPr>
          <w:rFonts w:hint="eastAsia" w:ascii="仿宋" w:hAnsi="仿宋" w:eastAsia="仿宋" w:cs="仿宋"/>
          <w:color w:val="auto"/>
          <w:sz w:val="32"/>
          <w:szCs w:val="32"/>
          <w:lang w:val="en-US" w:eastAsia="zh-CN"/>
        </w:rPr>
        <w:t>39.39</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提高古城遗址文化价值，做好文物保护工作，促进旅游发展。</w:t>
      </w:r>
    </w:p>
    <w:p w14:paraId="16A682E8">
      <w:pPr>
        <w:numPr>
          <w:ilvl w:val="0"/>
          <w:numId w:val="3"/>
        </w:numPr>
        <w:adjustRightInd w:val="0"/>
        <w:snapToGrid w:val="0"/>
        <w:spacing w:line="600"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里耶古城遗址城壕护坡加固项目前期勘察和方案设计。</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 w:hAnsi="仿宋" w:eastAsia="仿宋" w:cs="仿宋"/>
          <w:color w:val="auto"/>
          <w:sz w:val="32"/>
          <w:szCs w:val="32"/>
          <w:lang w:val="en-US" w:eastAsia="zh-CN"/>
        </w:rPr>
        <w:t>15</w:t>
      </w:r>
      <w:r>
        <w:rPr>
          <w:rFonts w:hint="eastAsia" w:ascii="仿宋_GB2312" w:hAnsi="仿宋_GB2312" w:eastAsia="仿宋_GB2312" w:cs="仿宋_GB2312"/>
          <w:color w:val="auto"/>
          <w:sz w:val="32"/>
          <w:szCs w:val="32"/>
          <w:highlight w:val="none"/>
        </w:rPr>
        <w:t>万元，执行数</w:t>
      </w:r>
      <w:r>
        <w:rPr>
          <w:rFonts w:hint="eastAsia" w:ascii="仿宋" w:hAnsi="仿宋" w:eastAsia="仿宋" w:cs="仿宋"/>
          <w:color w:val="auto"/>
          <w:sz w:val="32"/>
          <w:szCs w:val="32"/>
          <w:lang w:val="en-US" w:eastAsia="zh-CN"/>
        </w:rPr>
        <w:t>15</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提高古城遗址文化价值，做好文物保护工作，促进旅游发展。</w:t>
      </w:r>
    </w:p>
    <w:p w14:paraId="42101B33">
      <w:pPr>
        <w:numPr>
          <w:ilvl w:val="0"/>
          <w:numId w:val="0"/>
        </w:numPr>
        <w:adjustRightInd w:val="0"/>
        <w:snapToGrid w:val="0"/>
        <w:spacing w:line="600" w:lineRule="exact"/>
        <w:ind w:firstLine="640" w:firstLineChars="200"/>
        <w:jc w:val="both"/>
        <w:rPr>
          <w:rFonts w:hint="default" w:ascii="楷体_GB2312" w:hAnsi="楷体_GB2312" w:eastAsia="楷体_GB2312" w:cs="楷体_GB2312"/>
          <w:b/>
          <w:bCs/>
          <w:color w:val="000000"/>
          <w:sz w:val="32"/>
          <w:szCs w:val="32"/>
          <w:highlight w:val="none"/>
          <w:lang w:val="en-US" w:eastAsia="zh-CN"/>
        </w:rPr>
      </w:pPr>
      <w:r>
        <w:rPr>
          <w:rFonts w:hint="eastAsia" w:ascii="仿宋" w:hAnsi="仿宋" w:eastAsia="仿宋" w:cs="仿宋"/>
          <w:color w:val="auto"/>
          <w:sz w:val="32"/>
          <w:szCs w:val="32"/>
          <w:lang w:val="en-US" w:eastAsia="zh-CN"/>
        </w:rPr>
        <w:t>（24）文物安保缺口资金。</w:t>
      </w:r>
      <w:r>
        <w:rPr>
          <w:rFonts w:hint="eastAsia" w:ascii="仿宋_GB2312" w:hAnsi="仿宋_GB2312" w:eastAsia="仿宋_GB2312" w:cs="仿宋_GB2312"/>
          <w:color w:val="auto"/>
          <w:sz w:val="32"/>
          <w:szCs w:val="32"/>
          <w:highlight w:val="none"/>
        </w:rPr>
        <w:t>根据年初设定的绩效目标，项目自评得分</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分。项目全年预算数</w:t>
      </w:r>
      <w:r>
        <w:rPr>
          <w:rFonts w:hint="eastAsia" w:ascii="仿宋" w:hAnsi="仿宋" w:eastAsia="仿宋" w:cs="仿宋"/>
          <w:color w:val="auto"/>
          <w:sz w:val="32"/>
          <w:szCs w:val="32"/>
          <w:lang w:val="en-US" w:eastAsia="zh-CN"/>
        </w:rPr>
        <w:t>27.83</w:t>
      </w:r>
      <w:r>
        <w:rPr>
          <w:rFonts w:hint="eastAsia" w:ascii="仿宋_GB2312" w:hAnsi="仿宋_GB2312" w:eastAsia="仿宋_GB2312" w:cs="仿宋_GB2312"/>
          <w:color w:val="auto"/>
          <w:sz w:val="32"/>
          <w:szCs w:val="32"/>
          <w:highlight w:val="none"/>
        </w:rPr>
        <w:t>万元，执行数</w:t>
      </w:r>
      <w:r>
        <w:rPr>
          <w:rFonts w:hint="eastAsia" w:ascii="仿宋" w:hAnsi="仿宋" w:eastAsia="仿宋" w:cs="仿宋"/>
          <w:color w:val="auto"/>
          <w:sz w:val="32"/>
          <w:szCs w:val="32"/>
          <w:lang w:val="en-US" w:eastAsia="zh-CN"/>
        </w:rPr>
        <w:t>27.83</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%。主要产出和效果：</w:t>
      </w:r>
      <w:r>
        <w:rPr>
          <w:rFonts w:hint="eastAsia" w:ascii="仿宋_GB2312" w:hAnsi="仿宋_GB2312" w:eastAsia="仿宋_GB2312" w:cs="仿宋_GB2312"/>
          <w:color w:val="auto"/>
          <w:sz w:val="32"/>
          <w:szCs w:val="32"/>
          <w:highlight w:val="none"/>
          <w:lang w:val="en-US" w:eastAsia="zh-CN"/>
        </w:rPr>
        <w:t>提高古城遗址文化价值，做好文物保护工作，促进旅游发展。</w:t>
      </w:r>
    </w:p>
    <w:p w14:paraId="314F5813">
      <w:pPr>
        <w:keepNext w:val="0"/>
        <w:keepLines w:val="0"/>
        <w:pageBreakBefore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三、部门预算绩效管理主要经验及做法</w:t>
      </w:r>
    </w:p>
    <w:p w14:paraId="7B3019F3">
      <w:pPr>
        <w:keepNext w:val="0"/>
        <w:keepLines w:val="0"/>
        <w:pageBreakBefore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部门工作取得了很好的成绩，完善了镇区基础设施建设，进一步打开了里耶文旅发展的知名度，在一定程度上，成为了近边周末旅游的打卡热景点。本年度，我部门未出现未完成的绩效目标或偏离绩效目标较大的项目，合理设置绩效目标，严格按照绩效目标执行。</w:t>
      </w:r>
    </w:p>
    <w:p w14:paraId="53AA7C85">
      <w:pPr>
        <w:keepNext w:val="0"/>
        <w:keepLines w:val="0"/>
        <w:pageBreakBefore w:val="0"/>
        <w:shd w:val="clear" w:color="auto" w:fill="auto"/>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四、预算绩效管理存在的问题及改进措施</w:t>
      </w:r>
    </w:p>
    <w:p w14:paraId="34C6AF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38" w:leftChars="304"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auto"/>
          <w:sz w:val="32"/>
          <w:szCs w:val="32"/>
          <w:highlight w:val="none"/>
        </w:rPr>
        <w:t>我部门未出现未完成绩效目标或偏离绩效目标较大项</w:t>
      </w:r>
      <w:r>
        <w:rPr>
          <w:rFonts w:hint="eastAsia" w:ascii="仿宋_GB2312" w:hAnsi="仿宋_GB2312" w:eastAsia="仿宋_GB2312" w:cs="仿宋_GB2312"/>
          <w:color w:val="auto"/>
          <w:sz w:val="32"/>
          <w:szCs w:val="32"/>
          <w:highlight w:val="none"/>
          <w:lang w:val="en-US" w:eastAsia="zh-CN"/>
        </w:rPr>
        <w:t>目。</w:t>
      </w:r>
    </w:p>
    <w:p w14:paraId="765F83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lang w:val="en-US" w:eastAsia="zh-CN"/>
        </w:rPr>
        <w:t>绩效目标涵盖各类不全，无法全面反映项目成效。未能多部门联动，无法实际的反应项目成效。</w:t>
      </w:r>
    </w:p>
    <w:p w14:paraId="005A08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3、加强预算编制的前瞻性，年度内，部门项目预算编制无法做到前瞻性，临时性建设任务未能科学编制预算。</w:t>
      </w:r>
    </w:p>
    <w:p w14:paraId="5DAF36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4、项目绩效管理时效性不强，未按时开展监控工作。项目绩效管理管理责任不明，谁用钱谁管理绩效标目执行，并完成绩效报告。</w:t>
      </w:r>
    </w:p>
    <w:p w14:paraId="2AD45E0C">
      <w:pPr>
        <w:pStyle w:val="2"/>
        <w:jc w:val="both"/>
        <w:rPr>
          <w:rFonts w:hint="eastAsia" w:ascii="仿宋_GB2312" w:hAnsi="仿宋_GB2312" w:eastAsia="仿宋_GB2312" w:cs="仿宋_GB2312"/>
          <w:sz w:val="32"/>
          <w:szCs w:val="32"/>
          <w:lang w:val="en-US" w:eastAsia="zh-CN"/>
        </w:rPr>
      </w:pPr>
    </w:p>
    <w:p w14:paraId="5B1BFA8F">
      <w:pPr>
        <w:pStyle w:val="3"/>
        <w:jc w:val="both"/>
        <w:rPr>
          <w:rFonts w:hint="eastAsia" w:ascii="仿宋_GB2312" w:hAnsi="仿宋_GB2312" w:eastAsia="仿宋_GB2312" w:cs="仿宋_GB2312"/>
          <w:sz w:val="32"/>
          <w:szCs w:val="32"/>
          <w:lang w:val="en-US" w:eastAsia="zh-CN"/>
        </w:rPr>
      </w:pPr>
    </w:p>
    <w:p w14:paraId="7B65EAD5">
      <w:pPr>
        <w:pStyle w:val="3"/>
        <w:jc w:val="both"/>
        <w:rPr>
          <w:rFonts w:hint="default" w:ascii="仿宋_GB2312" w:hAnsi="仿宋_GB2312" w:eastAsia="仿宋_GB2312" w:cs="仿宋_GB2312"/>
          <w:sz w:val="32"/>
          <w:szCs w:val="32"/>
          <w:lang w:val="en-US" w:eastAsia="zh-CN"/>
        </w:rPr>
      </w:pPr>
    </w:p>
    <w:tbl>
      <w:tblPr>
        <w:tblStyle w:val="9"/>
        <w:tblpPr w:leftFromText="180" w:rightFromText="180" w:vertAnchor="text" w:tblpX="428"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8"/>
        <w:gridCol w:w="4440"/>
      </w:tblGrid>
      <w:tr w14:paraId="396A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68" w:type="dxa"/>
            <w:noWrap w:val="0"/>
            <w:vAlign w:val="top"/>
          </w:tcPr>
          <w:p w14:paraId="7DB6F860">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审核意见</w:t>
            </w:r>
          </w:p>
        </w:tc>
        <w:tc>
          <w:tcPr>
            <w:tcW w:w="4440" w:type="dxa"/>
            <w:noWrap w:val="0"/>
            <w:vAlign w:val="top"/>
          </w:tcPr>
          <w:p w14:paraId="3CF7B283">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审核结论</w:t>
            </w:r>
          </w:p>
        </w:tc>
      </w:tr>
      <w:tr w14:paraId="22A9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3468" w:type="dxa"/>
            <w:noWrap w:val="0"/>
            <w:vAlign w:val="top"/>
          </w:tcPr>
          <w:p w14:paraId="37BA01D7">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eastAsia="zh-CN"/>
              </w:rPr>
            </w:pPr>
            <w:r>
              <w:rPr>
                <w:rFonts w:hint="eastAsia" w:ascii="仿宋_GB2312" w:hAnsi="仿宋_GB2312" w:eastAsia="仿宋_GB2312" w:cs="仿宋_GB2312"/>
                <w:color w:val="000000"/>
                <w:sz w:val="28"/>
                <w:szCs w:val="28"/>
                <w:highlight w:val="none"/>
                <w:vertAlign w:val="baseline"/>
                <w:lang w:eastAsia="zh-CN"/>
              </w:rPr>
              <w:t>预算单位上报意见</w:t>
            </w:r>
          </w:p>
        </w:tc>
        <w:tc>
          <w:tcPr>
            <w:tcW w:w="4440" w:type="dxa"/>
            <w:noWrap w:val="0"/>
            <w:vAlign w:val="top"/>
          </w:tcPr>
          <w:p w14:paraId="209D1B79">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w:t>
            </w:r>
          </w:p>
          <w:p w14:paraId="109BDB97">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盖章</w:t>
            </w:r>
          </w:p>
          <w:p w14:paraId="566FCB64">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负责人签字： </w:t>
            </w:r>
          </w:p>
          <w:p w14:paraId="6C1BECF6">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年   月  日</w:t>
            </w:r>
          </w:p>
        </w:tc>
      </w:tr>
      <w:tr w14:paraId="72FB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468" w:type="dxa"/>
            <w:noWrap w:val="0"/>
            <w:vAlign w:val="top"/>
          </w:tcPr>
          <w:p w14:paraId="398B36DE">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eastAsia="zh-CN"/>
              </w:rPr>
            </w:pPr>
          </w:p>
          <w:p w14:paraId="4398E7C0">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eastAsia="zh-CN"/>
              </w:rPr>
            </w:pPr>
            <w:r>
              <w:rPr>
                <w:rFonts w:hint="eastAsia" w:ascii="仿宋_GB2312" w:hAnsi="仿宋_GB2312" w:eastAsia="仿宋_GB2312" w:cs="仿宋_GB2312"/>
                <w:color w:val="000000"/>
                <w:sz w:val="28"/>
                <w:szCs w:val="28"/>
                <w:highlight w:val="none"/>
                <w:vertAlign w:val="baseline"/>
                <w:lang w:eastAsia="zh-CN"/>
              </w:rPr>
              <w:t>财政</w:t>
            </w:r>
            <w:r>
              <w:rPr>
                <w:rFonts w:hint="eastAsia" w:ascii="仿宋_GB2312" w:hAnsi="仿宋_GB2312" w:eastAsia="仿宋_GB2312" w:cs="仿宋_GB2312"/>
                <w:color w:val="000000"/>
                <w:sz w:val="28"/>
                <w:szCs w:val="28"/>
                <w:highlight w:val="none"/>
                <w:vertAlign w:val="baseline"/>
                <w:lang w:val="en-US" w:eastAsia="zh-CN"/>
              </w:rPr>
              <w:t>归口业务</w:t>
            </w:r>
            <w:r>
              <w:rPr>
                <w:rFonts w:hint="eastAsia" w:ascii="仿宋_GB2312" w:hAnsi="仿宋_GB2312" w:eastAsia="仿宋_GB2312" w:cs="仿宋_GB2312"/>
                <w:color w:val="000000"/>
                <w:sz w:val="28"/>
                <w:szCs w:val="28"/>
                <w:highlight w:val="none"/>
                <w:vertAlign w:val="baseline"/>
                <w:lang w:eastAsia="zh-CN"/>
              </w:rPr>
              <w:t>股室意见</w:t>
            </w:r>
          </w:p>
        </w:tc>
        <w:tc>
          <w:tcPr>
            <w:tcW w:w="4440" w:type="dxa"/>
            <w:noWrap w:val="0"/>
            <w:vAlign w:val="top"/>
          </w:tcPr>
          <w:p w14:paraId="4B8E1EF3">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w:t>
            </w:r>
          </w:p>
          <w:p w14:paraId="2BD6FD82">
            <w:pPr>
              <w:keepNext w:val="0"/>
              <w:keepLines w:val="0"/>
              <w:pageBreakBefore w:val="0"/>
              <w:widowControl w:val="0"/>
              <w:shd w:val="clear" w:color="auto" w:fill="auto"/>
              <w:wordWrap/>
              <w:overflowPunct/>
              <w:topLinePunct w:val="0"/>
              <w:bidi w:val="0"/>
              <w:spacing w:line="560" w:lineRule="exact"/>
              <w:ind w:firstLine="2520" w:firstLineChars="900"/>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盖章</w:t>
            </w:r>
          </w:p>
          <w:p w14:paraId="62B38164">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负责人签字：</w:t>
            </w:r>
          </w:p>
          <w:p w14:paraId="7EA97172">
            <w:pPr>
              <w:keepNext w:val="0"/>
              <w:keepLines w:val="0"/>
              <w:pageBreakBefore w:val="0"/>
              <w:widowControl w:val="0"/>
              <w:shd w:val="clear" w:color="auto" w:fill="auto"/>
              <w:wordWrap/>
              <w:overflowPunct/>
              <w:topLinePunct w:val="0"/>
              <w:bidi w:val="0"/>
              <w:spacing w:line="560" w:lineRule="exact"/>
              <w:jc w:val="both"/>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年    月   日</w:t>
            </w:r>
          </w:p>
        </w:tc>
      </w:tr>
    </w:tbl>
    <w:p w14:paraId="779E61EB">
      <w:pPr>
        <w:pStyle w:val="3"/>
        <w:ind w:left="0" w:leftChars="0" w:firstLine="0" w:firstLineChars="0"/>
        <w:jc w:val="both"/>
        <w:rPr>
          <w:rFonts w:hint="eastAsia"/>
          <w:lang w:val="en-US" w:eastAsia="zh-CN"/>
        </w:rPr>
      </w:pPr>
    </w:p>
    <w:p w14:paraId="062F8517">
      <w:pPr>
        <w:pStyle w:val="3"/>
        <w:jc w:val="both"/>
        <w:rPr>
          <w:rFonts w:hint="eastAsia"/>
          <w:lang w:val="en-US" w:eastAsia="zh-CN"/>
        </w:rPr>
      </w:pPr>
    </w:p>
    <w:p w14:paraId="4BC15D8D">
      <w:pPr>
        <w:pStyle w:val="2"/>
        <w:keepNext w:val="0"/>
        <w:keepLines w:val="0"/>
        <w:pageBreakBefore w:val="0"/>
        <w:wordWrap/>
        <w:overflowPunct/>
        <w:topLinePunct w:val="0"/>
        <w:bidi w:val="0"/>
        <w:spacing w:before="102" w:line="560" w:lineRule="exact"/>
        <w:ind w:left="671"/>
        <w:jc w:val="both"/>
        <w:rPr>
          <w:rFonts w:hint="eastAsia" w:ascii="仿宋_GB2312" w:hAnsi="仿宋_GB2312" w:eastAsia="仿宋_GB2312" w:cs="仿宋_GB2312"/>
        </w:rPr>
      </w:pPr>
      <w:r>
        <w:rPr>
          <w:spacing w:val="6"/>
        </w:rPr>
        <w:t>附件：</w:t>
      </w:r>
      <w:r>
        <w:rPr>
          <w:rFonts w:hint="eastAsia" w:ascii="仿宋_GB2312" w:hAnsi="仿宋_GB2312" w:eastAsia="仿宋_GB2312" w:cs="仿宋_GB2312"/>
          <w:spacing w:val="6"/>
          <w:lang w:val="en-US" w:eastAsia="zh-CN"/>
        </w:rPr>
        <w:t>1</w:t>
      </w:r>
      <w:r>
        <w:rPr>
          <w:rFonts w:hint="eastAsia" w:ascii="仿宋_GB2312" w:hAnsi="仿宋_GB2312" w:eastAsia="仿宋_GB2312" w:cs="仿宋_GB2312"/>
          <w:spacing w:val="6"/>
        </w:rPr>
        <w:t>、部门整体支出绩效评价基础数据表</w:t>
      </w:r>
    </w:p>
    <w:p w14:paraId="58EAE09F">
      <w:pPr>
        <w:keepNext w:val="0"/>
        <w:keepLines w:val="0"/>
        <w:pageBreakBefore w:val="0"/>
        <w:numPr>
          <w:ilvl w:val="0"/>
          <w:numId w:val="4"/>
        </w:numPr>
        <w:wordWrap/>
        <w:overflowPunct/>
        <w:topLinePunct w:val="0"/>
        <w:bidi w:val="0"/>
        <w:spacing w:line="560" w:lineRule="exact"/>
        <w:ind w:left="0" w:leftChars="0" w:firstLine="1660" w:firstLineChars="500"/>
        <w:jc w:val="both"/>
        <w:rPr>
          <w:rFonts w:hint="eastAsia" w:ascii="仿宋_GB2312" w:hAnsi="仿宋_GB2312" w:eastAsia="仿宋_GB2312" w:cs="仿宋_GB2312"/>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6"/>
          <w:kern w:val="0"/>
          <w:sz w:val="32"/>
          <w:szCs w:val="32"/>
          <w:lang w:val="en-US" w:eastAsia="en-US" w:bidi="ar-SA"/>
        </w:rPr>
        <w:t>部门整体支出绩效自评表</w:t>
      </w:r>
    </w:p>
    <w:p w14:paraId="2CEF8301">
      <w:pPr>
        <w:keepNext w:val="0"/>
        <w:keepLines w:val="0"/>
        <w:pageBreakBefore w:val="0"/>
        <w:numPr>
          <w:ilvl w:val="0"/>
          <w:numId w:val="4"/>
        </w:numPr>
        <w:wordWrap/>
        <w:overflowPunct/>
        <w:topLinePunct w:val="0"/>
        <w:bidi w:val="0"/>
        <w:spacing w:before="64" w:line="560" w:lineRule="exact"/>
        <w:ind w:left="0" w:leftChars="0" w:firstLine="1600" w:firstLineChars="5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olor w:val="000000"/>
          <w:kern w:val="0"/>
          <w:sz w:val="32"/>
          <w:szCs w:val="32"/>
          <w:u w:val="none"/>
          <w:lang w:val="en-US" w:eastAsia="zh-CN" w:bidi="ar"/>
        </w:rPr>
        <w:t>绩效自评完成情况汇总表</w:t>
      </w:r>
      <w:r>
        <w:rPr>
          <w:rFonts w:hint="eastAsia" w:ascii="仿宋_GB2312" w:hAnsi="仿宋_GB2312" w:eastAsia="仿宋_GB2312" w:cs="仿宋_GB2312"/>
          <w:b w:val="0"/>
          <w:bCs w:val="0"/>
          <w:sz w:val="32"/>
          <w:szCs w:val="32"/>
          <w:lang w:val="en-US" w:eastAsia="zh-CN"/>
        </w:rPr>
        <w:t xml:space="preserve"> </w:t>
      </w:r>
    </w:p>
    <w:p w14:paraId="521A7ACB">
      <w:pPr>
        <w:keepNext w:val="0"/>
        <w:keepLines w:val="0"/>
        <w:pageBreakBefore w:val="0"/>
        <w:numPr>
          <w:ilvl w:val="0"/>
          <w:numId w:val="0"/>
        </w:numPr>
        <w:wordWrap/>
        <w:overflowPunct/>
        <w:topLinePunct w:val="0"/>
        <w:bidi w:val="0"/>
        <w:spacing w:before="64" w:line="560" w:lineRule="exact"/>
        <w:ind w:leftChars="500"/>
        <w:jc w:val="both"/>
        <w:rPr>
          <w:rFonts w:hint="eastAsia" w:ascii="仿宋_GB2312" w:hAnsi="仿宋_GB2312" w:eastAsia="仿宋_GB2312" w:cs="仿宋_GB2312"/>
          <w:b w:val="0"/>
          <w:bCs w:val="0"/>
          <w:sz w:val="32"/>
          <w:szCs w:val="32"/>
          <w:lang w:val="en-US" w:eastAsia="zh-CN"/>
        </w:rPr>
      </w:pPr>
    </w:p>
    <w:p w14:paraId="281940BE">
      <w:pPr>
        <w:keepNext w:val="0"/>
        <w:keepLines w:val="0"/>
        <w:pageBreakBefore w:val="0"/>
        <w:numPr>
          <w:ilvl w:val="0"/>
          <w:numId w:val="0"/>
        </w:numPr>
        <w:wordWrap/>
        <w:overflowPunct/>
        <w:topLinePunct w:val="0"/>
        <w:bidi w:val="0"/>
        <w:spacing w:before="64" w:line="560" w:lineRule="exact"/>
        <w:ind w:leftChars="500"/>
        <w:jc w:val="both"/>
        <w:rPr>
          <w:rFonts w:hint="eastAsia" w:ascii="仿宋_GB2312" w:hAnsi="仿宋_GB2312" w:eastAsia="仿宋_GB2312" w:cs="仿宋_GB2312"/>
          <w:b w:val="0"/>
          <w:bCs w:val="0"/>
          <w:sz w:val="32"/>
          <w:szCs w:val="32"/>
          <w:lang w:val="en-US" w:eastAsia="zh-CN"/>
        </w:rPr>
      </w:pPr>
    </w:p>
    <w:p w14:paraId="412A162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龙山县</w:t>
      </w:r>
      <w:r>
        <w:rPr>
          <w:rFonts w:hint="eastAsia" w:ascii="仿宋_GB2312" w:hAnsi="仿宋_GB2312" w:eastAsia="仿宋_GB2312" w:cs="仿宋_GB2312"/>
          <w:snapToGrid/>
          <w:color w:val="auto"/>
          <w:kern w:val="2"/>
          <w:sz w:val="32"/>
          <w:szCs w:val="32"/>
          <w:highlight w:val="none"/>
          <w:lang w:val="en-US" w:eastAsia="zh-CN"/>
        </w:rPr>
        <w:t>里耶</w:t>
      </w:r>
      <w:r>
        <w:rPr>
          <w:rFonts w:hint="eastAsia" w:ascii="仿宋_GB2312" w:hAnsi="仿宋_GB2312" w:eastAsia="仿宋_GB2312" w:cs="仿宋_GB2312"/>
          <w:snapToGrid/>
          <w:color w:val="auto"/>
          <w:kern w:val="2"/>
          <w:sz w:val="32"/>
          <w:szCs w:val="32"/>
          <w:highlight w:val="none"/>
          <w:lang w:eastAsia="zh-CN"/>
        </w:rPr>
        <w:t>管理区管理委员会</w:t>
      </w:r>
    </w:p>
    <w:p w14:paraId="1FCD751D">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ascii="Arial"/>
          <w:sz w:val="12"/>
        </w:rPr>
      </w:pPr>
      <w:r>
        <w:rPr>
          <w:rFonts w:hint="eastAsia" w:ascii="仿宋_GB2312" w:hAnsi="仿宋_GB2312" w:eastAsia="仿宋_GB2312" w:cs="仿宋_GB2312"/>
          <w:snapToGrid/>
          <w:color w:val="auto"/>
          <w:kern w:val="2"/>
          <w:sz w:val="32"/>
          <w:szCs w:val="32"/>
          <w:highlight w:val="none"/>
          <w:lang w:val="en-US" w:eastAsia="zh-CN"/>
        </w:rPr>
        <w:t xml:space="preserve">                             </w:t>
      </w:r>
      <w:r>
        <w:rPr>
          <w:rFonts w:hint="eastAsia" w:ascii="仿宋_GB2312" w:hAnsi="仿宋_GB2312" w:eastAsia="仿宋_GB2312" w:cs="仿宋_GB2312"/>
          <w:snapToGrid/>
          <w:color w:val="auto"/>
          <w:kern w:val="2"/>
          <w:sz w:val="32"/>
          <w:szCs w:val="32"/>
          <w:highlight w:val="none"/>
          <w:lang w:eastAsia="zh-CN"/>
        </w:rPr>
        <w:t>202</w:t>
      </w:r>
      <w:r>
        <w:rPr>
          <w:rFonts w:hint="eastAsia" w:ascii="仿宋_GB2312" w:hAnsi="仿宋_GB2312" w:eastAsia="仿宋_GB2312" w:cs="仿宋_GB2312"/>
          <w:snapToGrid/>
          <w:color w:val="auto"/>
          <w:kern w:val="2"/>
          <w:sz w:val="32"/>
          <w:szCs w:val="32"/>
          <w:highlight w:val="none"/>
          <w:lang w:val="en-US" w:eastAsia="zh-CN"/>
        </w:rPr>
        <w:t>4</w:t>
      </w:r>
      <w:r>
        <w:rPr>
          <w:rFonts w:hint="eastAsia" w:ascii="仿宋_GB2312" w:hAnsi="仿宋_GB2312" w:eastAsia="仿宋_GB2312" w:cs="仿宋_GB2312"/>
          <w:snapToGrid/>
          <w:color w:val="auto"/>
          <w:kern w:val="2"/>
          <w:sz w:val="32"/>
          <w:szCs w:val="32"/>
          <w:highlight w:val="none"/>
          <w:lang w:eastAsia="zh-CN"/>
        </w:rPr>
        <w:t>年</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21</w:t>
      </w:r>
      <w:r>
        <w:rPr>
          <w:rFonts w:hint="eastAsia" w:ascii="仿宋_GB2312" w:hAnsi="仿宋_GB2312" w:eastAsia="仿宋_GB2312" w:cs="仿宋_GB2312"/>
          <w:snapToGrid/>
          <w:color w:val="auto"/>
          <w:kern w:val="2"/>
          <w:sz w:val="32"/>
          <w:szCs w:val="32"/>
          <w:highlight w:val="none"/>
          <w:lang w:eastAsia="zh-CN"/>
        </w:rPr>
        <w:t>日</w:t>
      </w:r>
    </w:p>
    <w:sectPr>
      <w:footerReference r:id="rId5" w:type="default"/>
      <w:pgSz w:w="11900" w:h="16833"/>
      <w:pgMar w:top="1430" w:right="1599" w:bottom="1445" w:left="1587" w:header="0" w:footer="11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C05B8">
    <w:pPr>
      <w:pStyle w:val="2"/>
      <w:spacing w:before="1" w:line="174" w:lineRule="auto"/>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3F74A">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C3F74A">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7CDE8"/>
    <w:multiLevelType w:val="singleLevel"/>
    <w:tmpl w:val="AF17CDE8"/>
    <w:lvl w:ilvl="0" w:tentative="0">
      <w:start w:val="3"/>
      <w:numFmt w:val="chineseCounting"/>
      <w:suff w:val="nothing"/>
      <w:lvlText w:val="（%1）"/>
      <w:lvlJc w:val="left"/>
      <w:rPr>
        <w:rFonts w:hint="eastAsia"/>
      </w:rPr>
    </w:lvl>
  </w:abstractNum>
  <w:abstractNum w:abstractNumId="1">
    <w:nsid w:val="C63A590B"/>
    <w:multiLevelType w:val="singleLevel"/>
    <w:tmpl w:val="C63A590B"/>
    <w:lvl w:ilvl="0" w:tentative="0">
      <w:start w:val="2"/>
      <w:numFmt w:val="decimal"/>
      <w:suff w:val="nothing"/>
      <w:lvlText w:val="%1、"/>
      <w:lvlJc w:val="left"/>
    </w:lvl>
  </w:abstractNum>
  <w:abstractNum w:abstractNumId="2">
    <w:nsid w:val="0C37C507"/>
    <w:multiLevelType w:val="singleLevel"/>
    <w:tmpl w:val="0C37C507"/>
    <w:lvl w:ilvl="0" w:tentative="0">
      <w:start w:val="1"/>
      <w:numFmt w:val="decimal"/>
      <w:suff w:val="nothing"/>
      <w:lvlText w:val="（%1）"/>
      <w:lvlJc w:val="left"/>
    </w:lvl>
  </w:abstractNum>
  <w:abstractNum w:abstractNumId="3">
    <w:nsid w:val="3090FDA1"/>
    <w:multiLevelType w:val="singleLevel"/>
    <w:tmpl w:val="3090FDA1"/>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M1M2UwNWQ4YmI0OTI1YzQ2MzA4OGQ0NDNjNmViNTAifQ=="/>
  </w:docVars>
  <w:rsids>
    <w:rsidRoot w:val="00000000"/>
    <w:rsid w:val="004D1DE4"/>
    <w:rsid w:val="00867FFD"/>
    <w:rsid w:val="0089189B"/>
    <w:rsid w:val="0132783D"/>
    <w:rsid w:val="014A2DD9"/>
    <w:rsid w:val="02624152"/>
    <w:rsid w:val="029A38EC"/>
    <w:rsid w:val="030D2310"/>
    <w:rsid w:val="04FC088E"/>
    <w:rsid w:val="0524284A"/>
    <w:rsid w:val="07916DEA"/>
    <w:rsid w:val="087B41C0"/>
    <w:rsid w:val="0A8D13DF"/>
    <w:rsid w:val="0D523741"/>
    <w:rsid w:val="0DD24882"/>
    <w:rsid w:val="10B85FB1"/>
    <w:rsid w:val="11C921BD"/>
    <w:rsid w:val="134B763D"/>
    <w:rsid w:val="142158F6"/>
    <w:rsid w:val="14B0757C"/>
    <w:rsid w:val="16104199"/>
    <w:rsid w:val="16585B40"/>
    <w:rsid w:val="169D3553"/>
    <w:rsid w:val="18C53706"/>
    <w:rsid w:val="18EC090A"/>
    <w:rsid w:val="19764A36"/>
    <w:rsid w:val="1A705206"/>
    <w:rsid w:val="1A736AA5"/>
    <w:rsid w:val="1BE753BD"/>
    <w:rsid w:val="1C811F12"/>
    <w:rsid w:val="1E0F4D36"/>
    <w:rsid w:val="1E7601F6"/>
    <w:rsid w:val="1E90000B"/>
    <w:rsid w:val="1EDA5344"/>
    <w:rsid w:val="1F090697"/>
    <w:rsid w:val="20E96173"/>
    <w:rsid w:val="242638FD"/>
    <w:rsid w:val="256736AA"/>
    <w:rsid w:val="259C15A5"/>
    <w:rsid w:val="260655B8"/>
    <w:rsid w:val="269926C7"/>
    <w:rsid w:val="27E86D24"/>
    <w:rsid w:val="28BF4E3A"/>
    <w:rsid w:val="2AD215C5"/>
    <w:rsid w:val="2B065713"/>
    <w:rsid w:val="2B3206EF"/>
    <w:rsid w:val="2D4349FC"/>
    <w:rsid w:val="2D522E91"/>
    <w:rsid w:val="2D614E83"/>
    <w:rsid w:val="2DFB178B"/>
    <w:rsid w:val="2E0B05FB"/>
    <w:rsid w:val="2E50117F"/>
    <w:rsid w:val="2E732B82"/>
    <w:rsid w:val="308F6C04"/>
    <w:rsid w:val="318C4BC4"/>
    <w:rsid w:val="324E7675"/>
    <w:rsid w:val="33C87A09"/>
    <w:rsid w:val="34B34216"/>
    <w:rsid w:val="35481FE4"/>
    <w:rsid w:val="36852685"/>
    <w:rsid w:val="391159AF"/>
    <w:rsid w:val="39381001"/>
    <w:rsid w:val="398827BB"/>
    <w:rsid w:val="39E353D5"/>
    <w:rsid w:val="3CE70060"/>
    <w:rsid w:val="3EC86B10"/>
    <w:rsid w:val="3EF94F1B"/>
    <w:rsid w:val="3F20694C"/>
    <w:rsid w:val="40646D0C"/>
    <w:rsid w:val="40DD270C"/>
    <w:rsid w:val="416C40CA"/>
    <w:rsid w:val="42100EF9"/>
    <w:rsid w:val="429C278D"/>
    <w:rsid w:val="43E264D0"/>
    <w:rsid w:val="444A7FC7"/>
    <w:rsid w:val="44E00634"/>
    <w:rsid w:val="46755065"/>
    <w:rsid w:val="47BC53FF"/>
    <w:rsid w:val="48653621"/>
    <w:rsid w:val="4A1C41B3"/>
    <w:rsid w:val="4A3352BC"/>
    <w:rsid w:val="4AC82A08"/>
    <w:rsid w:val="4AE253FD"/>
    <w:rsid w:val="4BFC604B"/>
    <w:rsid w:val="4C3D6D8F"/>
    <w:rsid w:val="4D9E1AAF"/>
    <w:rsid w:val="4E483C86"/>
    <w:rsid w:val="4E4D5283"/>
    <w:rsid w:val="4F2B4370"/>
    <w:rsid w:val="50B96C00"/>
    <w:rsid w:val="51782617"/>
    <w:rsid w:val="525B76A6"/>
    <w:rsid w:val="533C4B64"/>
    <w:rsid w:val="53CA283A"/>
    <w:rsid w:val="53E9294C"/>
    <w:rsid w:val="55E77D6B"/>
    <w:rsid w:val="56486A5C"/>
    <w:rsid w:val="57C93BCD"/>
    <w:rsid w:val="5A690D4F"/>
    <w:rsid w:val="5A955FE8"/>
    <w:rsid w:val="5BC91D10"/>
    <w:rsid w:val="5F217E4A"/>
    <w:rsid w:val="5F792D88"/>
    <w:rsid w:val="610F177E"/>
    <w:rsid w:val="61907509"/>
    <w:rsid w:val="62C50C57"/>
    <w:rsid w:val="631D3129"/>
    <w:rsid w:val="63F0428F"/>
    <w:rsid w:val="6486127B"/>
    <w:rsid w:val="64C179D9"/>
    <w:rsid w:val="64FF1026"/>
    <w:rsid w:val="657607C4"/>
    <w:rsid w:val="663528AD"/>
    <w:rsid w:val="68916D37"/>
    <w:rsid w:val="6C270A6A"/>
    <w:rsid w:val="6D8F68C7"/>
    <w:rsid w:val="6DCA78FF"/>
    <w:rsid w:val="6F686E13"/>
    <w:rsid w:val="6F7B0A56"/>
    <w:rsid w:val="6FC30AAA"/>
    <w:rsid w:val="71CD5F0C"/>
    <w:rsid w:val="72035AD5"/>
    <w:rsid w:val="745272ED"/>
    <w:rsid w:val="78FA71CA"/>
    <w:rsid w:val="7938702C"/>
    <w:rsid w:val="7ACA4C56"/>
    <w:rsid w:val="7B1D19B6"/>
    <w:rsid w:val="7C0D37D8"/>
    <w:rsid w:val="7DAF266D"/>
    <w:rsid w:val="7E875323"/>
    <w:rsid w:val="7F0A3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正文首行缩进1"/>
    <w:basedOn w:val="1"/>
    <w:qFormat/>
    <w:uiPriority w:val="0"/>
    <w:pPr>
      <w:spacing w:after="120"/>
      <w:ind w:firstLine="420" w:firstLineChars="1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spacing w:beforeLines="0" w:afterLines="0"/>
      <w:ind w:left="200" w:leftChars="200" w:hanging="200" w:hangingChars="200"/>
    </w:pPr>
    <w:rPr>
      <w:rFonts w:hint="default"/>
      <w:sz w:val="21"/>
    </w:rPr>
  </w:style>
  <w:style w:type="paragraph" w:styleId="7">
    <w:name w:val="Body Text First Indent"/>
    <w:basedOn w:val="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p0"/>
    <w:basedOn w:val="1"/>
    <w:qFormat/>
    <w:uiPriority w:val="0"/>
    <w:pPr>
      <w:widowControl/>
    </w:pPr>
    <w:rPr>
      <w:kern w:val="0"/>
      <w:szCs w:val="21"/>
    </w:rPr>
  </w:style>
  <w:style w:type="paragraph" w:customStyle="1" w:styleId="15">
    <w:name w:val="Default Paragraph Font Para Char"/>
    <w:basedOn w:val="1"/>
    <w:qFormat/>
    <w:uiPriority w:val="0"/>
    <w:pPr>
      <w:widowControl/>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6637</Words>
  <Characters>7085</Characters>
  <TotalTime>21</TotalTime>
  <ScaleCrop>false</ScaleCrop>
  <LinksUpToDate>false</LinksUpToDate>
  <CharactersWithSpaces>7196</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2024-05-20T09:15:00Z</dcterms:created>
  <dc:creator>User</dc:creator>
  <cp:lastModifiedBy>Administrator</cp:lastModifiedBy>
  <cp:lastPrinted>2024-05-23T08:40:00Z</cp:lastPrinted>
  <dcterms:modified xsi:type="dcterms:W3CDTF">2024-09-24T09:13:37Z</dcterms:modified>
  <dc:title>湖南省财政厅发文（指标、函）稿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2024-05-20T09:17:04Z</vt:filetime>
  </property>
  <property fmtid="{D5CDD505-2E9C-101B-9397-08002B2CF9AE}" pid="4" name="KSOProductBuildVer">
    <vt:lpwstr>2052-12.1.0.18240</vt:lpwstr>
  </property>
  <property fmtid="{D5CDD505-2E9C-101B-9397-08002B2CF9AE}" pid="5" name="ICV">
    <vt:lpwstr>06FFD9E559E6414CA3C687AAD59A720E_13</vt:lpwstr>
  </property>
</Properties>
</file>