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3F" w:rsidRDefault="009B0DB5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附件3</w:t>
      </w:r>
    </w:p>
    <w:p w:rsidR="00936D3F" w:rsidRDefault="00936D3F">
      <w:pPr>
        <w:spacing w:line="3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6D3F" w:rsidRDefault="009B0DB5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龙山县团县委2022年部门整体支出绩效自评报告</w:t>
      </w:r>
    </w:p>
    <w:p w:rsidR="00936D3F" w:rsidRDefault="00936D3F">
      <w:pPr>
        <w:spacing w:line="3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6D3F" w:rsidRDefault="009B0DB5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为真实准确反映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我部门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2022年度财政拨款资金使用效 益，进一步提高预算绩效管理水平。按照《龙山县财政局关于开展2022年度部门预算支出绩效自评工作的通知》和《龙山县预算支出绩效评价管理办法》（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龙政办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发〔2020〕27号）文件</w:t>
      </w:r>
      <w:r>
        <w:rPr>
          <w:rFonts w:ascii="仿宋_GB2312" w:eastAsia="仿宋_GB2312" w:hAnsi="仿宋_GB2312" w:cs="仿宋_GB2312" w:hint="eastAsia"/>
          <w:color w:val="000000"/>
          <w:spacing w:val="13"/>
          <w:sz w:val="32"/>
          <w:szCs w:val="32"/>
        </w:rPr>
        <w:t>要求，现将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13"/>
          <w:sz w:val="32"/>
          <w:szCs w:val="32"/>
        </w:rPr>
        <w:t>我部门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13"/>
          <w:sz w:val="32"/>
          <w:szCs w:val="32"/>
        </w:rPr>
        <w:t>2022年度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部门整体支出</w:t>
      </w:r>
      <w:r>
        <w:rPr>
          <w:rFonts w:ascii="仿宋_GB2312" w:eastAsia="仿宋_GB2312" w:hAnsi="仿宋_GB2312" w:cs="仿宋_GB2312" w:hint="eastAsia"/>
          <w:color w:val="000000"/>
          <w:spacing w:val="-7"/>
          <w:sz w:val="32"/>
          <w:szCs w:val="32"/>
        </w:rPr>
        <w:t>绩效自评情况报告如下：</w:t>
      </w:r>
    </w:p>
    <w:p w:rsidR="00936D3F" w:rsidRDefault="009B0DB5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一、资金拨付及执行情况</w:t>
      </w:r>
    </w:p>
    <w:p w:rsidR="00936D3F" w:rsidRDefault="009B0DB5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2022年我部门年初预算批复数74.06万元,全年预算数</w:t>
      </w:r>
      <w:r w:rsidR="002E4E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262.31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万元, 年终决算数229.73 万元,预算总体执行率为100%。其中，基本支出89.76万元，项目支出139.97万元 ,按照绩效自评全覆盖原则，本次绩效自评金额共计229.73万元。</w:t>
      </w:r>
    </w:p>
    <w:p w:rsidR="00936D3F" w:rsidRDefault="009B0DB5">
      <w:pPr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二、绩效自评情况</w:t>
      </w:r>
    </w:p>
    <w:p w:rsidR="00936D3F" w:rsidRDefault="009B0DB5">
      <w:pPr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(</w:t>
      </w:r>
      <w:proofErr w:type="gramStart"/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一</w:t>
      </w:r>
      <w:proofErr w:type="gramEnd"/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)部门整体支出绩效目标完成情况</w:t>
      </w:r>
    </w:p>
    <w:p w:rsidR="00936D3F" w:rsidRDefault="009B0DB5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为顺利完成年初部门总体绩效目标，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我部门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重点完成了以下工作：</w:t>
      </w:r>
    </w:p>
    <w:p w:rsidR="00936D3F" w:rsidRDefault="009B0DB5">
      <w:pPr>
        <w:pStyle w:val="a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1、坚持以“青春铸魂”工程为引领，着力培养社会主义建设者和接班人</w:t>
      </w:r>
    </w:p>
    <w:p w:rsidR="00936D3F" w:rsidRDefault="009B0DB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狠抓理想信念教育。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将理想信念教育作为培养社会主义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可靠建设者和合格接班人的基础性思想教育。利用新媒体方式推进机关青年党员、10941名青年团员，46894名少先队员定期参与青年大学习、红领巾爱学习、主题团队日等学习，切实坚定理想信念。注重爱国主义教育，挖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推广出捡国旗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女孩少先队员付淑杰的优秀事迹，得到新华社、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等主流媒体关注推广，形成巨大影响，在全县中小学学校发起向“付淑杰”学习爱国主义热潮；累计培养红领巾讲解员32名，用少年之声传承红色故事。</w:t>
      </w:r>
    </w:p>
    <w:p w:rsidR="00936D3F" w:rsidRDefault="009B0DB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注重价值观教育。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用社会主义核心价值观去教育引导青少年。开展新时代文明实践活动，广泛组织开展疫情防控、城市清洁、学雷锋、义务植树、清明祭扫、爱心送考、文明劝导、保护母亲河等全域文明创建活动100余次，参与人数达5000余人。</w:t>
      </w:r>
    </w:p>
    <w:p w:rsidR="00936D3F" w:rsidRDefault="009B0DB5">
      <w:pPr>
        <w:pStyle w:val="CharChar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b w:val="0"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突出正能量传播。</w:t>
      </w:r>
      <w:r>
        <w:rPr>
          <w:rFonts w:ascii="仿宋_GB2312" w:eastAsia="仿宋_GB2312" w:hAnsi="仿宋_GB2312" w:cs="仿宋_GB2312" w:hint="eastAsia"/>
          <w:b w:val="0"/>
          <w:szCs w:val="32"/>
        </w:rPr>
        <w:t>切实加强共青团宣传工作，全年在人民日报客户端、学习强国、新湖南、</w:t>
      </w:r>
      <w:proofErr w:type="gramStart"/>
      <w:r>
        <w:rPr>
          <w:rFonts w:ascii="仿宋_GB2312" w:eastAsia="仿宋_GB2312" w:hAnsi="仿宋_GB2312" w:cs="仿宋_GB2312" w:hint="eastAsia"/>
          <w:b w:val="0"/>
          <w:szCs w:val="32"/>
        </w:rPr>
        <w:t>红网时刻</w:t>
      </w:r>
      <w:proofErr w:type="gramEnd"/>
      <w:r>
        <w:rPr>
          <w:rFonts w:ascii="仿宋_GB2312" w:eastAsia="仿宋_GB2312" w:hAnsi="仿宋_GB2312" w:cs="仿宋_GB2312" w:hint="eastAsia"/>
          <w:b w:val="0"/>
          <w:szCs w:val="32"/>
        </w:rPr>
        <w:t>、团结报、龙山新闻网等各级媒体上稿95条。选树推荐希望工程办公室主任、县青</w:t>
      </w:r>
      <w:proofErr w:type="gramStart"/>
      <w:r>
        <w:rPr>
          <w:rFonts w:ascii="仿宋_GB2312" w:eastAsia="仿宋_GB2312" w:hAnsi="仿宋_GB2312" w:cs="仿宋_GB2312" w:hint="eastAsia"/>
          <w:b w:val="0"/>
          <w:szCs w:val="32"/>
        </w:rPr>
        <w:t>志协会</w:t>
      </w:r>
      <w:proofErr w:type="gramEnd"/>
      <w:r>
        <w:rPr>
          <w:rFonts w:ascii="仿宋_GB2312" w:eastAsia="仿宋_GB2312" w:hAnsi="仿宋_GB2312" w:cs="仿宋_GB2312" w:hint="eastAsia"/>
          <w:b w:val="0"/>
          <w:szCs w:val="32"/>
        </w:rPr>
        <w:t>长李越为县民族团结进步先进个人、县道德模范，打造青年志愿服务先进典型。</w:t>
      </w:r>
    </w:p>
    <w:p w:rsidR="00936D3F" w:rsidRDefault="009B0DB5">
      <w:pPr>
        <w:pStyle w:val="a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2、坚持以“青春兴县”工程为主线，着力发挥青年生力军和突击队作用</w:t>
      </w:r>
    </w:p>
    <w:p w:rsidR="00936D3F" w:rsidRDefault="009B0DB5">
      <w:pPr>
        <w:pStyle w:val="a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助力疫情防控。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充分发挥青年志愿者和突击队作用。常态化组织一支400余人的疫情防控队伍，在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5月召市疫情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、10月和11月城区疫情突袭期间，每天组织400余名志愿者开展核酸采样、秩序维护、电话流调、信息录入、防疫消杀、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文明劝导、物资配送等志愿服务工作。同时，安排班子成员带队入驻方舱实验室开展封闭式志愿服务，用实际行动助力疫情防控。</w:t>
      </w:r>
    </w:p>
    <w:p w:rsidR="00936D3F" w:rsidRDefault="009B0DB5">
      <w:pPr>
        <w:pStyle w:val="CharChar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b w:val="0"/>
          <w:szCs w:val="32"/>
        </w:rPr>
      </w:pPr>
      <w:r>
        <w:rPr>
          <w:rFonts w:ascii="仿宋_GB2312" w:eastAsia="仿宋_GB2312" w:hAnsi="仿宋_GB2312" w:cs="仿宋_GB2312" w:hint="eastAsia"/>
          <w:bCs/>
          <w:szCs w:val="40"/>
        </w:rPr>
        <w:t>助力创新创业。</w:t>
      </w:r>
      <w:r>
        <w:rPr>
          <w:rFonts w:ascii="仿宋_GB2312" w:eastAsia="仿宋_GB2312" w:hAnsi="仿宋_GB2312" w:cs="仿宋_GB2312" w:hint="eastAsia"/>
          <w:b w:val="0"/>
          <w:szCs w:val="32"/>
        </w:rPr>
        <w:t>举办龙山县“八面红”直播电商人才成长营，对100名直播电商人才进行7天全天性培训，助力培养本土直播人才。推出茅坪乡春笋种植项目入选湖南省“返乡大学生乡村创业支持计划”，推荐青年创业人才蒋崇玉，李婷婷等16人参加全州乡村振兴返乡创业英才支持计划比赛。累计发布就业招聘、公职招考信息20余条、岗位2000余个。</w:t>
      </w:r>
    </w:p>
    <w:p w:rsidR="00936D3F" w:rsidRDefault="009B0DB5">
      <w:pPr>
        <w:pStyle w:val="CharChar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b w:val="0"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助力乡村振兴。</w:t>
      </w:r>
      <w:r>
        <w:rPr>
          <w:rFonts w:ascii="仿宋_GB2312" w:eastAsia="仿宋_GB2312" w:hAnsi="仿宋_GB2312" w:cs="仿宋_GB2312" w:hint="eastAsia"/>
          <w:b w:val="0"/>
          <w:szCs w:val="32"/>
        </w:rPr>
        <w:t>大力发展村集体经济，制定乡村振兴帮扶村</w:t>
      </w:r>
      <w:proofErr w:type="gramStart"/>
      <w:r>
        <w:rPr>
          <w:rFonts w:ascii="仿宋_GB2312" w:eastAsia="仿宋_GB2312" w:hAnsi="仿宋_GB2312" w:cs="仿宋_GB2312" w:hint="eastAsia"/>
          <w:b w:val="0"/>
          <w:szCs w:val="32"/>
        </w:rPr>
        <w:t>茨</w:t>
      </w:r>
      <w:proofErr w:type="gramEnd"/>
      <w:r>
        <w:rPr>
          <w:rFonts w:ascii="仿宋_GB2312" w:eastAsia="仿宋_GB2312" w:hAnsi="仿宋_GB2312" w:cs="仿宋_GB2312" w:hint="eastAsia"/>
          <w:b w:val="0"/>
          <w:szCs w:val="32"/>
        </w:rPr>
        <w:t>岩塘镇兴场</w:t>
      </w:r>
      <w:proofErr w:type="gramStart"/>
      <w:r>
        <w:rPr>
          <w:rFonts w:ascii="仿宋_GB2312" w:eastAsia="仿宋_GB2312" w:hAnsi="仿宋_GB2312" w:cs="仿宋_GB2312" w:hint="eastAsia"/>
          <w:b w:val="0"/>
          <w:szCs w:val="32"/>
        </w:rPr>
        <w:t>坳</w:t>
      </w:r>
      <w:proofErr w:type="gramEnd"/>
      <w:r>
        <w:rPr>
          <w:rFonts w:ascii="仿宋_GB2312" w:eastAsia="仿宋_GB2312" w:hAnsi="仿宋_GB2312" w:cs="仿宋_GB2312" w:hint="eastAsia"/>
          <w:b w:val="0"/>
          <w:szCs w:val="32"/>
        </w:rPr>
        <w:t>村2022年集体经济发展计划，选派两名优秀青年干部驻村开展工作，</w:t>
      </w:r>
      <w:proofErr w:type="gramStart"/>
      <w:r>
        <w:rPr>
          <w:rFonts w:ascii="仿宋_GB2312" w:eastAsia="仿宋_GB2312" w:hAnsi="仿宋_GB2312" w:cs="仿宋_GB2312" w:hint="eastAsia"/>
          <w:b w:val="0"/>
          <w:szCs w:val="32"/>
        </w:rPr>
        <w:t>以农旅融合</w:t>
      </w:r>
      <w:proofErr w:type="gramEnd"/>
      <w:r>
        <w:rPr>
          <w:rFonts w:ascii="仿宋_GB2312" w:eastAsia="仿宋_GB2312" w:hAnsi="仿宋_GB2312" w:cs="仿宋_GB2312" w:hint="eastAsia"/>
          <w:b w:val="0"/>
          <w:szCs w:val="32"/>
        </w:rPr>
        <w:t>的美丽乡村经济为总体思路，开展“红色</w:t>
      </w:r>
      <w:proofErr w:type="gramStart"/>
      <w:r>
        <w:rPr>
          <w:rFonts w:ascii="仿宋_GB2312" w:eastAsia="仿宋_GB2312" w:hAnsi="仿宋_GB2312" w:cs="仿宋_GB2312" w:hint="eastAsia"/>
          <w:b w:val="0"/>
          <w:szCs w:val="32"/>
        </w:rPr>
        <w:t>茨</w:t>
      </w:r>
      <w:proofErr w:type="gramEnd"/>
      <w:r>
        <w:rPr>
          <w:rFonts w:ascii="仿宋_GB2312" w:eastAsia="仿宋_GB2312" w:hAnsi="仿宋_GB2312" w:cs="仿宋_GB2312" w:hint="eastAsia"/>
          <w:b w:val="0"/>
          <w:szCs w:val="32"/>
        </w:rPr>
        <w:t>岩塘·精品玉针香”大米销售分红项目。招募20余名返乡大学生开展“乡村墙绘”志愿服务活动；对接爱心企业，为21个乡镇（街道）捐赠324箱爱心服饰，总价值227万元；在内溪乡开展两天4小时农产品销售直播，线上线下共销售蜜汁李300余单，为村集体经济创收近20000余元。</w:t>
      </w:r>
    </w:p>
    <w:p w:rsidR="00936D3F" w:rsidRDefault="009B0DB5">
      <w:pPr>
        <w:pStyle w:val="CharChar"/>
        <w:spacing w:line="560" w:lineRule="exact"/>
        <w:ind w:firstLineChars="200" w:firstLine="643"/>
        <w:jc w:val="both"/>
        <w:rPr>
          <w:rFonts w:ascii="楷体" w:eastAsia="楷体" w:hAnsi="楷体" w:cs="楷体"/>
          <w:bCs/>
          <w:szCs w:val="32"/>
        </w:rPr>
      </w:pPr>
      <w:r>
        <w:rPr>
          <w:rFonts w:ascii="楷体" w:eastAsia="楷体" w:hAnsi="楷体" w:cs="楷体" w:hint="eastAsia"/>
          <w:bCs/>
          <w:szCs w:val="32"/>
        </w:rPr>
        <w:t>3、坚持以“青春相伴”工程为重点，着力巩固和扩大党执政的青年群众基础</w:t>
      </w:r>
    </w:p>
    <w:p w:rsidR="00936D3F" w:rsidRDefault="009B0DB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加强希望工程助学。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开展希望工程“一元捐”，募集资金220104.84元。发放“一元捐”47200元，支助困难学生68人。开展“希望工程1 + 1——幻方助学计划”，支助175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名贫困女生。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为华塘芙蓉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学校捐赠爱心图书4万册。新建41家团团希望小屋。开展困难团员团干走访。共救助困难学生800多人次，帮扶资金100多万元。</w:t>
      </w:r>
    </w:p>
    <w:p w:rsidR="00936D3F" w:rsidRDefault="009B0DB5">
      <w:pPr>
        <w:pStyle w:val="a5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40"/>
        </w:rPr>
        <w:t>聚焦少年儿童关爱。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围绕未成年人保护“六防”等工作，编发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微信推文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6篇，切实加强未成年人保护知识宣传，营造良好的工作氛围。依托县内各初中、高中心理咨询室，组建心理咨询师队伍常态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化开展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未成年学生心理咨询工作。开展“七彩假期”“团团希望小屋”志愿服务活动，一对一为留守儿童开展帮扶活动。组织各学校开展学生家访，加强与家长的沟通，详细了解学生的家庭情况，建立学校、家庭、社会“三位一体”的教育体系，共同关爱未成年人健康成长。</w:t>
      </w:r>
    </w:p>
    <w:p w:rsidR="00936D3F" w:rsidRDefault="009B0DB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服务青年发展工作。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推动全县24个青年之家开展活动，围绕青年需求常态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化开展线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上线下活动520余次。落实“青年发展规划联席会议制度”，举办读书会、座谈会、彩虹跑等青年活动，参加人数超1500余人次，促进青年发展。在八面山举办龙桑青年相亲交友联谊活动，为两县各企事业单位优质单身男女搭建交友平台，助力推广八面山景区及龙山全域旅游向纵深发展。新指导成立直播电商协会，指导青年志愿者协会、青年创业者协会、大学生联合会等8家团属青年社团积极开展青年活动，增强协会活跃度。</w:t>
      </w:r>
    </w:p>
    <w:p w:rsidR="00936D3F" w:rsidRDefault="009B0DB5">
      <w:pPr>
        <w:pStyle w:val="CharChar"/>
        <w:spacing w:line="560" w:lineRule="exact"/>
        <w:ind w:firstLineChars="200" w:firstLine="643"/>
        <w:jc w:val="both"/>
        <w:rPr>
          <w:rFonts w:ascii="楷体" w:eastAsia="楷体" w:hAnsi="楷体" w:cs="楷体"/>
          <w:bCs/>
          <w:szCs w:val="32"/>
        </w:rPr>
      </w:pPr>
      <w:r>
        <w:rPr>
          <w:rFonts w:ascii="楷体" w:eastAsia="楷体" w:hAnsi="楷体" w:cs="楷体" w:hint="eastAsia"/>
          <w:bCs/>
          <w:szCs w:val="32"/>
        </w:rPr>
        <w:t>4、坚持以“青春硬核”工程为关键，着力加强自身建设</w:t>
      </w:r>
    </w:p>
    <w:p w:rsidR="00936D3F" w:rsidRDefault="009B0DB5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强化自身建设。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切实深化基层组织改革，落实《龙山县共青团基层组织改革试点工作方案》，全面完成改革试点工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作任务。加强党团队一体化建设，开展主题党日11次，加强党员日常教育管理。召开五四运动表彰大会，表扬50名先进基层团组织和优秀个人。推荐选树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皇仓中学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团委获省五四红旗团委，县消防大队荣获省青年文明号称号，苏俊铭等四名少先队员获省“红领巾奖章”个人四星章，吴添春、余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小龙获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第19届“湖南青年五四奖章”。</w:t>
      </w:r>
    </w:p>
    <w:p w:rsidR="00936D3F" w:rsidRDefault="009B0DB5">
      <w:pPr>
        <w:pStyle w:val="a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加强基层基础。</w:t>
      </w:r>
      <w:r>
        <w:rPr>
          <w:rFonts w:ascii="仿宋_GB2312" w:eastAsia="仿宋_GB2312" w:hAnsi="仿宋_GB2312" w:cs="仿宋_GB2312" w:hint="eastAsia"/>
          <w:sz w:val="32"/>
          <w:szCs w:val="32"/>
        </w:rPr>
        <w:t>选派10余名基层团干部、少先队辅导员参加团省委、团州委组织的培训班，开展青马工程、全县团干、少先队辅导员培训班6次，提升团队组织工作者综合素养。选聘35名在校大学生兼任乡镇（街道）团委副书记，选拔62名返乡大学生帮助县直单位开展团组织建设、青少年事务工作，开展暑假社会实践，夯实基层工作力量。</w:t>
      </w:r>
    </w:p>
    <w:p w:rsidR="00936D3F" w:rsidRDefault="009B0DB5">
      <w:pPr>
        <w:pStyle w:val="CharChar"/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b w:val="0"/>
          <w:szCs w:val="32"/>
        </w:rPr>
      </w:pPr>
      <w:r>
        <w:rPr>
          <w:rFonts w:ascii="仿宋_GB2312" w:eastAsia="仿宋_GB2312" w:hAnsi="仿宋_GB2312" w:cs="仿宋_GB2312" w:hint="eastAsia"/>
          <w:bCs/>
          <w:szCs w:val="40"/>
        </w:rPr>
        <w:t>推进从严治团。</w:t>
      </w:r>
      <w:r>
        <w:rPr>
          <w:rFonts w:ascii="仿宋_GB2312" w:eastAsia="仿宋_GB2312" w:hAnsi="仿宋_GB2312" w:cs="仿宋_GB2312" w:hint="eastAsia"/>
          <w:b w:val="0"/>
          <w:szCs w:val="32"/>
        </w:rPr>
        <w:t>抓牢抓</w:t>
      </w:r>
      <w:proofErr w:type="gramStart"/>
      <w:r>
        <w:rPr>
          <w:rFonts w:ascii="仿宋_GB2312" w:eastAsia="仿宋_GB2312" w:hAnsi="仿宋_GB2312" w:cs="仿宋_GB2312" w:hint="eastAsia"/>
          <w:b w:val="0"/>
          <w:szCs w:val="32"/>
        </w:rPr>
        <w:t>实基层</w:t>
      </w:r>
      <w:proofErr w:type="gramEnd"/>
      <w:r>
        <w:rPr>
          <w:rFonts w:ascii="仿宋_GB2312" w:eastAsia="仿宋_GB2312" w:hAnsi="仿宋_GB2312" w:cs="仿宋_GB2312" w:hint="eastAsia"/>
          <w:b w:val="0"/>
          <w:szCs w:val="32"/>
        </w:rPr>
        <w:t>团组织规范化建设各项指标任务的完成，在全县团组织开展“喜迎二十大”主题教育实践、“党的青年运动史”“建团100周年大会精神”、主题团（队）日学习率录入率均达100%。严格团员发展程序和要求，从严落实团员编号制和团前教育，新发展团员379名，档案资料全部录入智慧团建系统，完成全年指标66.9%。持续</w:t>
      </w:r>
      <w:proofErr w:type="gramStart"/>
      <w:r>
        <w:rPr>
          <w:rFonts w:ascii="仿宋_GB2312" w:eastAsia="仿宋_GB2312" w:hAnsi="仿宋_GB2312" w:cs="仿宋_GB2312" w:hint="eastAsia"/>
          <w:b w:val="0"/>
          <w:szCs w:val="32"/>
        </w:rPr>
        <w:t>深化团教</w:t>
      </w:r>
      <w:proofErr w:type="gramEnd"/>
      <w:r>
        <w:rPr>
          <w:rFonts w:ascii="仿宋_GB2312" w:eastAsia="仿宋_GB2312" w:hAnsi="仿宋_GB2312" w:cs="仿宋_GB2312" w:hint="eastAsia"/>
          <w:b w:val="0"/>
          <w:szCs w:val="32"/>
        </w:rPr>
        <w:t>协作，推进落实中学共青团、学校少先队改革，积极支持学校开展团、队活动。</w:t>
      </w:r>
    </w:p>
    <w:p w:rsidR="00936D3F" w:rsidRDefault="009B0DB5">
      <w:pPr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综上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我部门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履职完成情况与财政拨款金额基本匹配，较好地履行了部门职责，部门整体支出绩效自评得分94 分。</w:t>
      </w:r>
    </w:p>
    <w:p w:rsidR="00936D3F" w:rsidRDefault="009B0DB5">
      <w:pPr>
        <w:ind w:firstLineChars="200" w:firstLine="643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(二)项目支出绩效自评</w:t>
      </w:r>
    </w:p>
    <w:p w:rsidR="00936D3F" w:rsidRDefault="009B0DB5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1、预算绩效管理工作开展情况</w:t>
      </w:r>
    </w:p>
    <w:p w:rsidR="00936D3F" w:rsidRDefault="009B0DB5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根据预算绩效管理要求，本部门组织对2022年一般公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共预算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项目支出全面开展绩效自评。其中，专项业务费项目9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共涉及资金139.97万元，占一般公共预算项目支出总额的100%。</w:t>
      </w:r>
    </w:p>
    <w:p w:rsidR="00936D3F" w:rsidRDefault="009B0DB5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2022年无政府性基金项目支出。</w:t>
      </w:r>
    </w:p>
    <w:p w:rsidR="00936D3F" w:rsidRDefault="009B0DB5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2022年无国有资本经营项目支。</w:t>
      </w:r>
    </w:p>
    <w:p w:rsidR="00936D3F" w:rsidRDefault="009B0DB5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项目绩效自评结果</w:t>
      </w:r>
    </w:p>
    <w:p w:rsidR="00936D3F" w:rsidRDefault="009B0DB5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龙山县团县委项目绩效自评情况</w:t>
      </w:r>
    </w:p>
    <w:p w:rsidR="00936D3F" w:rsidRDefault="009B0DB5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（一）八面红直播电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商培训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专项项目绩效自评综述：根据年初设定的绩效目标，项目自评得分100分。项目全年预算数33万元，执行数33万元，完成预算的92.4％。主要产出和效果：通过项目实施，实现八面红直播电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商培训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工作有序开展，提升了龙山带货能力，拓宽龙山农产品销售渠道。的效果。</w:t>
      </w:r>
    </w:p>
    <w:p w:rsidR="00936D3F" w:rsidRDefault="009B0DB5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车补专项项目绩效自评综述：根据年初设定的绩效目标，项目自评得分100分。项目全年预算数2.27万元，执行数2.27万元，完成预算的100％。主要产出和效果：通过项目实施，实现根据工作目标实现工作预期，保障安全出行的效果。</w:t>
      </w:r>
    </w:p>
    <w:p w:rsidR="00936D3F" w:rsidRDefault="009B0DB5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（三）单位专项项目绩效自评综述：根据年初设定的绩效目标，项目自评得分96分。项目全年预算数19.9万元，执行数19.9万元，完成预算的100％。主要产出和效果：通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过项目实施，实现通过各种活动提高共青团的吸引力和凝聚力，把握青年需求，扎实推进团建，促进共青团共建共治的效果。</w:t>
      </w:r>
    </w:p>
    <w:p w:rsidR="00936D3F" w:rsidRDefault="009B0DB5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（四）十个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助学金专项项目绩效自评综述：根据年初设定的绩效目标，项目自评得分98分。项目全年预算数13.05万元，执行数13.05万元，完成预算的100％。主要产出和效果：通过项目实施，实现加强对基层共青团工作的指导，维护青少年合法权益的效果。</w:t>
      </w:r>
    </w:p>
    <w:p w:rsidR="00936D3F" w:rsidRDefault="009B0DB5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（五）团代会专项项目绩效自评综述：根据年初设定的绩效目标，项目自评得分100分。项目全年预算数3.63万元，执行数3.63万元，完成预算的100％。主要产出和效果：通过项目实施，实现通过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团代活动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提高共青团的吸引力和凝聚力，把握青年需求，扎实推进团建，促进共青团共建共治的效果。</w:t>
      </w:r>
    </w:p>
    <w:p w:rsidR="00936D3F" w:rsidRDefault="009B0DB5">
      <w:pPr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六）希望工程专项项目绩效自评综述：根据年初设定的绩效目标，项目自评得分98分。项目全年预算数13.86万元，执行数13.86万元，完成预算的100％。主要产出和效果：通过项目实施，实现通过组织希望工程建设推动希望学校的建成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村溪村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希望小屋工程得以完工。</w:t>
      </w:r>
    </w:p>
    <w:p w:rsidR="00936D3F" w:rsidRDefault="009B0DB5">
      <w:pPr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（七）一元捐专项项目绩效自评综述：根据年初设定的绩效目标，项目自评得分100分。项目全年预算数38.65万元，执行数38.65万元，完成预算的100％。主要产出和效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果：通过项目实施，实现通过做好一元捐救助工作，进一步保障受助人群权益的效果。</w:t>
      </w:r>
    </w:p>
    <w:p w:rsidR="00936D3F" w:rsidRDefault="009B0DB5">
      <w:pPr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八）英才计划奖金专项项目绩效自评综述：根据年初设定的绩效目标，项目自评得分98分。项目全年预算数10万元，执行数10万元，完成预算的100％。主要产出和效果：通过项目实施，实现通过英才计划培育青少年里的优秀人才，其能力得到提升的效果。</w:t>
      </w:r>
    </w:p>
    <w:p w:rsidR="00936D3F" w:rsidRDefault="009B0DB5">
      <w:pPr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（九）云上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七夕专项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项目绩效自评综述：根据年初设定的绩效目标，项目自评得分100分。项目全年预算数5.6万元，执行数5.6万元，完成预算的100％。主要产出和效果：通过项目实施，实现通过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团代活动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提高共青团的吸引力和凝聚力，把握青年需求，扎实推进团建，促进共青团共建共治的效果。</w:t>
      </w:r>
    </w:p>
    <w:p w:rsidR="00936D3F" w:rsidRDefault="00936D3F">
      <w:pPr>
        <w:pStyle w:val="a0"/>
      </w:pPr>
    </w:p>
    <w:p w:rsidR="00936D3F" w:rsidRDefault="00936D3F">
      <w:pPr>
        <w:pStyle w:val="a4"/>
      </w:pPr>
    </w:p>
    <w:p w:rsidR="00936D3F" w:rsidRDefault="009B0DB5">
      <w:pPr>
        <w:numPr>
          <w:ilvl w:val="0"/>
          <w:numId w:val="2"/>
        </w:numPr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部门预算绩效管理主要经验及做法</w:t>
      </w:r>
    </w:p>
    <w:p w:rsidR="00936D3F" w:rsidRDefault="009B0DB5">
      <w:pPr>
        <w:pStyle w:val="a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项目实施与资金下达不同步，部分工作前期准备不充分，影响了项目的实施进度和完成时间。</w:t>
      </w:r>
    </w:p>
    <w:p w:rsidR="00936D3F" w:rsidRDefault="009B0DB5">
      <w:pPr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四、预算绩效管理存在的问题及改进措施</w:t>
      </w:r>
    </w:p>
    <w:p w:rsidR="00936D3F" w:rsidRDefault="009B0DB5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对于每年相对比较固定项目资金及专项资金支出，在年初提前下达100%的资金指标，简化申报审批流程，加快资金下达进度，提高财政资金的使用效率。</w:t>
      </w:r>
    </w:p>
    <w:p w:rsidR="00936D3F" w:rsidRDefault="00936D3F">
      <w:pPr>
        <w:pStyle w:val="a4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6D3F" w:rsidRDefault="00936D3F" w:rsidP="009B0DB5">
      <w:pPr>
        <w:pStyle w:val="5"/>
        <w:ind w:left="168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6D3F" w:rsidRDefault="00936D3F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6D3F" w:rsidRDefault="00936D3F">
      <w:pPr>
        <w:pStyle w:val="a4"/>
      </w:pPr>
    </w:p>
    <w:tbl>
      <w:tblPr>
        <w:tblStyle w:val="a6"/>
        <w:tblpPr w:leftFromText="180" w:rightFromText="180" w:vertAnchor="text" w:tblpX="428" w:tblpY="306"/>
        <w:tblOverlap w:val="never"/>
        <w:tblW w:w="0" w:type="auto"/>
        <w:tblLook w:val="04A0" w:firstRow="1" w:lastRow="0" w:firstColumn="1" w:lastColumn="0" w:noHBand="0" w:noVBand="1"/>
      </w:tblPr>
      <w:tblGrid>
        <w:gridCol w:w="3468"/>
        <w:gridCol w:w="4440"/>
      </w:tblGrid>
      <w:tr w:rsidR="00936D3F">
        <w:trPr>
          <w:trHeight w:val="352"/>
        </w:trPr>
        <w:tc>
          <w:tcPr>
            <w:tcW w:w="3468" w:type="dxa"/>
          </w:tcPr>
          <w:p w:rsidR="00936D3F" w:rsidRDefault="009B0DB5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4440" w:type="dxa"/>
          </w:tcPr>
          <w:p w:rsidR="00936D3F" w:rsidRDefault="009B0DB5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审核结论</w:t>
            </w:r>
          </w:p>
        </w:tc>
      </w:tr>
      <w:tr w:rsidR="00936D3F">
        <w:trPr>
          <w:trHeight w:val="1506"/>
        </w:trPr>
        <w:tc>
          <w:tcPr>
            <w:tcW w:w="3468" w:type="dxa"/>
          </w:tcPr>
          <w:p w:rsidR="00936D3F" w:rsidRDefault="009B0DB5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预算单位上报意见</w:t>
            </w:r>
          </w:p>
        </w:tc>
        <w:tc>
          <w:tcPr>
            <w:tcW w:w="4440" w:type="dxa"/>
          </w:tcPr>
          <w:p w:rsidR="00936D3F" w:rsidRDefault="009B0DB5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</w:p>
          <w:p w:rsidR="00936D3F" w:rsidRDefault="009B0DB5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盖章</w:t>
            </w:r>
          </w:p>
          <w:p w:rsidR="00936D3F" w:rsidRDefault="009B0DB5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负责人签字： </w:t>
            </w:r>
          </w:p>
          <w:p w:rsidR="00936D3F" w:rsidRDefault="009B0DB5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年   月  日</w:t>
            </w:r>
          </w:p>
        </w:tc>
      </w:tr>
      <w:tr w:rsidR="00936D3F">
        <w:trPr>
          <w:trHeight w:val="1344"/>
        </w:trPr>
        <w:tc>
          <w:tcPr>
            <w:tcW w:w="3468" w:type="dxa"/>
          </w:tcPr>
          <w:p w:rsidR="00936D3F" w:rsidRDefault="00936D3F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936D3F" w:rsidRDefault="009B0DB5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财政归口业务股室意见</w:t>
            </w:r>
          </w:p>
        </w:tc>
        <w:tc>
          <w:tcPr>
            <w:tcW w:w="4440" w:type="dxa"/>
          </w:tcPr>
          <w:p w:rsidR="00936D3F" w:rsidRDefault="009B0DB5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</w:t>
            </w:r>
          </w:p>
          <w:p w:rsidR="00936D3F" w:rsidRDefault="009B0DB5">
            <w:pPr>
              <w:ind w:firstLineChars="900" w:firstLine="252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盖章</w:t>
            </w:r>
          </w:p>
          <w:p w:rsidR="00936D3F" w:rsidRDefault="009B0DB5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负责人签字：</w:t>
            </w:r>
          </w:p>
          <w:p w:rsidR="00936D3F" w:rsidRDefault="009B0DB5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年    月   日</w:t>
            </w:r>
          </w:p>
        </w:tc>
      </w:tr>
    </w:tbl>
    <w:p w:rsidR="00936D3F" w:rsidRDefault="00936D3F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6D3F" w:rsidRDefault="00936D3F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6D3F" w:rsidRDefault="009B0DB5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附件：1、部门年度工作总结</w:t>
      </w:r>
    </w:p>
    <w:p w:rsidR="00936D3F" w:rsidRDefault="009B0DB5">
      <w:pPr>
        <w:ind w:firstLineChars="300" w:firstLine="9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2、项目支出预算方案（一个项目一个方案）</w:t>
      </w:r>
    </w:p>
    <w:p w:rsidR="00936D3F" w:rsidRDefault="009B0DB5">
      <w:pPr>
        <w:ind w:firstLineChars="300" w:firstLine="9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3、项目支出明细表（一个项目一张表）</w:t>
      </w:r>
    </w:p>
    <w:p w:rsidR="00936D3F" w:rsidRDefault="00936D3F">
      <w:pPr>
        <w:ind w:firstLineChars="1700" w:firstLine="54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6D3F" w:rsidRDefault="00936D3F">
      <w:pPr>
        <w:ind w:firstLineChars="1700" w:firstLine="54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36D3F" w:rsidRDefault="009B0DB5">
      <w:pPr>
        <w:ind w:firstLineChars="1600" w:firstLine="51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龙山县团县委</w:t>
      </w:r>
    </w:p>
    <w:p w:rsidR="00936D3F" w:rsidRDefault="009B0DB5">
      <w:pPr>
        <w:ind w:firstLineChars="1500" w:firstLine="480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2023年6月28 日</w:t>
      </w:r>
    </w:p>
    <w:p w:rsidR="00936D3F" w:rsidRDefault="00936D3F">
      <w:pP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</w:p>
    <w:sectPr w:rsidR="00936D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121565"/>
    <w:multiLevelType w:val="singleLevel"/>
    <w:tmpl w:val="9C121565"/>
    <w:lvl w:ilvl="0">
      <w:start w:val="2"/>
      <w:numFmt w:val="decimal"/>
      <w:suff w:val="nothing"/>
      <w:lvlText w:val="%1、"/>
      <w:lvlJc w:val="left"/>
    </w:lvl>
  </w:abstractNum>
  <w:abstractNum w:abstractNumId="1">
    <w:nsid w:val="F290870D"/>
    <w:multiLevelType w:val="singleLevel"/>
    <w:tmpl w:val="F29087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YmFlNmE1NTExZGQ4NzRmYzAxOGY1OWRmZWMxNDkifQ=="/>
  </w:docVars>
  <w:rsids>
    <w:rsidRoot w:val="00936D3F"/>
    <w:rsid w:val="002E4E63"/>
    <w:rsid w:val="00936D3F"/>
    <w:rsid w:val="009B0DB5"/>
    <w:rsid w:val="05E83F29"/>
    <w:rsid w:val="06B75848"/>
    <w:rsid w:val="0A9830F6"/>
    <w:rsid w:val="0B0A565B"/>
    <w:rsid w:val="0B344A12"/>
    <w:rsid w:val="104C4F2E"/>
    <w:rsid w:val="131929D1"/>
    <w:rsid w:val="17D2052B"/>
    <w:rsid w:val="18AE37F5"/>
    <w:rsid w:val="192561AE"/>
    <w:rsid w:val="1B3501FE"/>
    <w:rsid w:val="1E5D5F60"/>
    <w:rsid w:val="1FC61D6D"/>
    <w:rsid w:val="2826784C"/>
    <w:rsid w:val="2AED5402"/>
    <w:rsid w:val="2EE8585B"/>
    <w:rsid w:val="2F433B90"/>
    <w:rsid w:val="348E0C53"/>
    <w:rsid w:val="358E07DF"/>
    <w:rsid w:val="3B1E53B3"/>
    <w:rsid w:val="3C767B24"/>
    <w:rsid w:val="401D4FDD"/>
    <w:rsid w:val="42F02B6F"/>
    <w:rsid w:val="453942C3"/>
    <w:rsid w:val="47152B0E"/>
    <w:rsid w:val="482E0C07"/>
    <w:rsid w:val="49B27967"/>
    <w:rsid w:val="49C5556E"/>
    <w:rsid w:val="4B0C5FD6"/>
    <w:rsid w:val="4BBB762A"/>
    <w:rsid w:val="4CE0771A"/>
    <w:rsid w:val="4D4A6024"/>
    <w:rsid w:val="4FBA6948"/>
    <w:rsid w:val="5A4E6B54"/>
    <w:rsid w:val="5AA5317A"/>
    <w:rsid w:val="5E4E2A84"/>
    <w:rsid w:val="5FE175D9"/>
    <w:rsid w:val="65CF4DBE"/>
    <w:rsid w:val="67A26B47"/>
    <w:rsid w:val="69192196"/>
    <w:rsid w:val="6983444E"/>
    <w:rsid w:val="6B463F87"/>
    <w:rsid w:val="6C7F08A6"/>
    <w:rsid w:val="6C847C6A"/>
    <w:rsid w:val="6EBD609B"/>
    <w:rsid w:val="70545BA6"/>
    <w:rsid w:val="73C31078"/>
    <w:rsid w:val="7434457B"/>
    <w:rsid w:val="764E30F5"/>
    <w:rsid w:val="76B13BBA"/>
    <w:rsid w:val="788A4280"/>
    <w:rsid w:val="7A5A025C"/>
    <w:rsid w:val="7C3030A2"/>
    <w:rsid w:val="7D995730"/>
    <w:rsid w:val="7DDD7DAF"/>
    <w:rsid w:val="7DE4791E"/>
    <w:rsid w:val="7F39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semiHidden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5">
    <w:name w:val="index 5"/>
    <w:basedOn w:val="a"/>
    <w:next w:val="a"/>
    <w:semiHidden/>
    <w:qFormat/>
    <w:pPr>
      <w:ind w:leftChars="800" w:left="800"/>
    </w:pPr>
  </w:style>
  <w:style w:type="paragraph" w:styleId="a4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标题 Char Char"/>
    <w:basedOn w:val="a"/>
    <w:uiPriority w:val="99"/>
    <w:qFormat/>
    <w:pPr>
      <w:jc w:val="center"/>
      <w:outlineLvl w:val="0"/>
    </w:pPr>
    <w:rPr>
      <w:rFonts w:ascii="Arial" w:hAnsi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semiHidden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5">
    <w:name w:val="index 5"/>
    <w:basedOn w:val="a"/>
    <w:next w:val="a"/>
    <w:semiHidden/>
    <w:qFormat/>
    <w:pPr>
      <w:ind w:leftChars="800" w:left="800"/>
    </w:pPr>
  </w:style>
  <w:style w:type="paragraph" w:styleId="a4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标题 Char Char"/>
    <w:basedOn w:val="a"/>
    <w:uiPriority w:val="99"/>
    <w:qFormat/>
    <w:pPr>
      <w:jc w:val="center"/>
      <w:outlineLvl w:val="0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659</Words>
  <Characters>3758</Characters>
  <Application>Microsoft Office Word</Application>
  <DocSecurity>0</DocSecurity>
  <Lines>31</Lines>
  <Paragraphs>8</Paragraphs>
  <ScaleCrop>false</ScaleCrop>
  <Company>微软中国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张粤宁</cp:lastModifiedBy>
  <cp:revision>3</cp:revision>
  <dcterms:created xsi:type="dcterms:W3CDTF">2023-05-04T05:11:00Z</dcterms:created>
  <dcterms:modified xsi:type="dcterms:W3CDTF">2023-07-04T04:06:00Z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887D5444C00440DD851B305B3B1C3B55_12</vt:lpwstr>
  </property>
</Properties>
</file>